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250" w:lineRule="auto"/>
      </w:pPr>
      <w:bookmarkStart w:id="523" w:name="_GoBack"/>
      <w:bookmarkEnd w:id="523"/>
    </w:p>
    <w:p>
      <w:pPr>
        <w:pStyle w:val="8"/>
        <w:spacing w:line="250" w:lineRule="auto"/>
      </w:pPr>
    </w:p>
    <w:p>
      <w:pPr>
        <w:pStyle w:val="8"/>
        <w:spacing w:line="250" w:lineRule="auto"/>
      </w:pPr>
    </w:p>
    <w:p>
      <w:pPr>
        <w:pStyle w:val="8"/>
        <w:spacing w:line="250" w:lineRule="auto"/>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黑体" w:hAnsi="黑体" w:eastAsia="黑体" w:cs="黑体"/>
          <w:sz w:val="44"/>
          <w:szCs w:val="44"/>
        </w:rPr>
      </w:pPr>
      <w:r>
        <w:rPr>
          <w:rFonts w:hint="eastAsia" w:ascii="黑体" w:hAnsi="黑体" w:eastAsia="黑体" w:cs="黑体"/>
          <w:sz w:val="44"/>
          <w:szCs w:val="44"/>
          <w:lang w:val="en-US" w:eastAsia="zh-CN"/>
        </w:rPr>
        <w:t>叶县2022年马庄乡张庄村畜产品精细加工物流园建设项目</w:t>
      </w:r>
    </w:p>
    <w:p>
      <w:pPr>
        <w:keepNext w:val="0"/>
        <w:keepLines w:val="0"/>
        <w:pageBreakBefore w:val="0"/>
        <w:widowControl/>
        <w:kinsoku w:val="0"/>
        <w:wordWrap/>
        <w:overflowPunct/>
        <w:topLinePunct w:val="0"/>
        <w:autoSpaceDE w:val="0"/>
        <w:autoSpaceDN w:val="0"/>
        <w:bidi w:val="0"/>
        <w:adjustRightInd w:val="0"/>
        <w:snapToGrid w:val="0"/>
        <w:spacing w:before="280" w:line="360" w:lineRule="auto"/>
        <w:ind w:left="1168"/>
        <w:textAlignment w:val="baseline"/>
        <w:outlineLvl w:val="9"/>
        <w:rPr>
          <w:rFonts w:ascii="宋体" w:hAnsi="宋体" w:eastAsia="宋体" w:cs="宋体"/>
          <w:b/>
          <w:bCs/>
          <w:sz w:val="71"/>
          <w:szCs w:val="71"/>
        </w:rPr>
      </w:pPr>
      <w:r>
        <w:rPr>
          <w:rFonts w:ascii="宋体" w:hAnsi="宋体" w:eastAsia="宋体" w:cs="宋体"/>
          <w:b/>
          <w:bCs/>
          <w:spacing w:val="130"/>
          <w:sz w:val="71"/>
          <w:szCs w:val="71"/>
        </w:rPr>
        <w:t>环境影响报告书</w:t>
      </w:r>
    </w:p>
    <w:p>
      <w:pPr>
        <w:keepNext w:val="0"/>
        <w:keepLines w:val="0"/>
        <w:pageBreakBefore w:val="0"/>
        <w:widowControl/>
        <w:kinsoku w:val="0"/>
        <w:wordWrap/>
        <w:overflowPunct/>
        <w:topLinePunct w:val="0"/>
        <w:autoSpaceDE w:val="0"/>
        <w:autoSpaceDN w:val="0"/>
        <w:bidi w:val="0"/>
        <w:adjustRightInd w:val="0"/>
        <w:snapToGrid w:val="0"/>
        <w:spacing w:line="240" w:lineRule="auto"/>
        <w:ind w:left="3294"/>
        <w:textAlignment w:val="baseline"/>
        <w:rPr>
          <w:rFonts w:ascii="宋体" w:hAnsi="宋体" w:eastAsia="宋体" w:cs="宋体"/>
          <w:sz w:val="35"/>
          <w:szCs w:val="35"/>
        </w:rPr>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widowControl/>
        <w:kinsoku/>
        <w:autoSpaceDE/>
        <w:autoSpaceDN/>
        <w:adjustRightInd/>
        <w:snapToGrid/>
        <w:spacing w:line="360" w:lineRule="auto"/>
        <w:ind w:firstLine="0" w:firstLineChars="0"/>
        <w:jc w:val="center"/>
        <w:textAlignment w:val="auto"/>
        <w:rPr>
          <w:rFonts w:hint="eastAsia" w:ascii="宋体" w:hAnsi="宋体" w:eastAsia="宋体" w:cs="宋体"/>
          <w:b/>
          <w:bCs/>
          <w:snapToGrid/>
          <w:color w:val="000000"/>
          <w:kern w:val="0"/>
          <w:sz w:val="32"/>
          <w:szCs w:val="32"/>
          <w:lang w:eastAsia="zh-CN" w:bidi="ar"/>
        </w:rPr>
      </w:pPr>
    </w:p>
    <w:p>
      <w:pPr>
        <w:widowControl/>
        <w:kinsoku/>
        <w:autoSpaceDE/>
        <w:autoSpaceDN/>
        <w:adjustRightInd/>
        <w:snapToGrid/>
        <w:spacing w:line="360" w:lineRule="auto"/>
        <w:ind w:firstLine="0" w:firstLineChars="0"/>
        <w:jc w:val="center"/>
        <w:textAlignment w:val="auto"/>
        <w:rPr>
          <w:rFonts w:hint="eastAsia" w:ascii="宋体" w:hAnsi="宋体" w:eastAsia="宋体" w:cs="宋体"/>
          <w:b/>
          <w:bCs/>
          <w:snapToGrid/>
          <w:color w:val="000000"/>
          <w:kern w:val="0"/>
          <w:sz w:val="32"/>
          <w:szCs w:val="32"/>
          <w:lang w:eastAsia="zh-CN" w:bidi="ar"/>
        </w:rPr>
      </w:pPr>
    </w:p>
    <w:p>
      <w:pPr>
        <w:widowControl/>
        <w:kinsoku/>
        <w:autoSpaceDE/>
        <w:autoSpaceDN/>
        <w:adjustRightInd/>
        <w:snapToGrid/>
        <w:spacing w:line="360" w:lineRule="auto"/>
        <w:ind w:firstLine="0" w:firstLineChars="0"/>
        <w:jc w:val="center"/>
        <w:textAlignment w:val="auto"/>
        <w:rPr>
          <w:rFonts w:hint="eastAsia" w:ascii="宋体" w:hAnsi="宋体" w:eastAsia="宋体" w:cs="宋体"/>
          <w:b/>
          <w:bCs/>
          <w:snapToGrid/>
          <w:color w:val="000000"/>
          <w:kern w:val="0"/>
          <w:sz w:val="32"/>
          <w:szCs w:val="32"/>
          <w:lang w:eastAsia="zh-CN" w:bidi="ar"/>
        </w:rPr>
      </w:pPr>
    </w:p>
    <w:p>
      <w:pPr>
        <w:widowControl/>
        <w:kinsoku/>
        <w:autoSpaceDE/>
        <w:autoSpaceDN/>
        <w:adjustRightInd/>
        <w:snapToGrid/>
        <w:spacing w:line="360" w:lineRule="auto"/>
        <w:ind w:firstLine="0" w:firstLineChars="0"/>
        <w:jc w:val="center"/>
        <w:textAlignment w:val="auto"/>
        <w:rPr>
          <w:rFonts w:hint="eastAsia" w:ascii="宋体" w:hAnsi="宋体" w:eastAsia="宋体" w:cs="宋体"/>
          <w:b/>
          <w:bCs/>
          <w:snapToGrid/>
          <w:color w:val="000000"/>
          <w:kern w:val="0"/>
          <w:sz w:val="32"/>
          <w:szCs w:val="32"/>
          <w:lang w:eastAsia="zh-CN" w:bidi="ar"/>
        </w:rPr>
      </w:pPr>
    </w:p>
    <w:p>
      <w:pPr>
        <w:widowControl/>
        <w:kinsoku/>
        <w:autoSpaceDE/>
        <w:autoSpaceDN/>
        <w:adjustRightInd/>
        <w:snapToGrid/>
        <w:spacing w:line="360" w:lineRule="auto"/>
        <w:ind w:firstLine="0" w:firstLineChars="0"/>
        <w:jc w:val="center"/>
        <w:textAlignment w:val="auto"/>
        <w:rPr>
          <w:rFonts w:hint="eastAsia" w:ascii="宋体" w:hAnsi="宋体" w:eastAsia="宋体" w:cs="宋体"/>
          <w:b/>
          <w:bCs/>
          <w:snapToGrid/>
          <w:color w:val="000000"/>
          <w:kern w:val="0"/>
          <w:sz w:val="32"/>
          <w:szCs w:val="32"/>
          <w:lang w:eastAsia="zh-CN" w:bidi="ar"/>
        </w:rPr>
      </w:pPr>
      <w:r>
        <w:rPr>
          <w:rFonts w:hint="eastAsia" w:ascii="宋体" w:hAnsi="宋体" w:eastAsia="宋体" w:cs="宋体"/>
          <w:b/>
          <w:bCs/>
          <w:snapToGrid/>
          <w:color w:val="000000"/>
          <w:kern w:val="0"/>
          <w:sz w:val="32"/>
          <w:szCs w:val="32"/>
          <w:lang w:eastAsia="zh-CN" w:bidi="ar"/>
        </w:rPr>
        <w:t>建设单位：叶县迪可清真食品有限公司</w:t>
      </w:r>
    </w:p>
    <w:p>
      <w:pPr>
        <w:widowControl/>
        <w:kinsoku/>
        <w:autoSpaceDE/>
        <w:autoSpaceDN/>
        <w:adjustRightInd/>
        <w:snapToGrid/>
        <w:spacing w:line="360" w:lineRule="auto"/>
        <w:ind w:firstLine="0" w:firstLineChars="0"/>
        <w:jc w:val="center"/>
        <w:textAlignment w:val="auto"/>
        <w:rPr>
          <w:rFonts w:hint="eastAsia" w:ascii="宋体" w:hAnsi="宋体" w:eastAsia="宋体" w:cs="宋体"/>
          <w:b/>
          <w:bCs/>
          <w:snapToGrid/>
          <w:color w:val="000000"/>
          <w:kern w:val="0"/>
          <w:sz w:val="32"/>
          <w:szCs w:val="32"/>
          <w:lang w:eastAsia="zh-CN" w:bidi="ar"/>
        </w:rPr>
      </w:pPr>
      <w:r>
        <w:rPr>
          <w:rFonts w:hint="eastAsia" w:ascii="宋体" w:hAnsi="宋体" w:eastAsia="宋体" w:cs="宋体"/>
          <w:b/>
          <w:bCs/>
          <w:snapToGrid/>
          <w:color w:val="000000"/>
          <w:kern w:val="0"/>
          <w:sz w:val="32"/>
          <w:szCs w:val="32"/>
          <w:lang w:eastAsia="zh-CN" w:bidi="ar"/>
        </w:rPr>
        <w:t>环评单位：</w:t>
      </w:r>
      <w:r>
        <w:rPr>
          <w:rFonts w:hint="eastAsia" w:ascii="宋体" w:hAnsi="宋体" w:eastAsia="宋体" w:cs="宋体"/>
          <w:b/>
          <w:bCs/>
          <w:snapToGrid/>
          <w:color w:val="000000"/>
          <w:kern w:val="0"/>
          <w:sz w:val="32"/>
          <w:szCs w:val="32"/>
          <w:highlight w:val="none"/>
          <w:lang w:eastAsia="zh-CN" w:bidi="ar"/>
        </w:rPr>
        <w:t>河南秋晟环境科技有限公司</w:t>
      </w:r>
    </w:p>
    <w:p>
      <w:pPr>
        <w:spacing w:line="219" w:lineRule="auto"/>
        <w:jc w:val="center"/>
        <w:rPr>
          <w:rFonts w:ascii="宋体" w:hAnsi="宋体" w:eastAsia="宋体" w:cs="宋体"/>
          <w:sz w:val="30"/>
          <w:szCs w:val="30"/>
        </w:rPr>
        <w:sectPr>
          <w:pgSz w:w="11906" w:h="16839"/>
          <w:pgMar w:top="1431" w:right="1785" w:bottom="0" w:left="1785" w:header="0" w:footer="0" w:gutter="0"/>
          <w:pgBorders>
            <w:top w:val="none" w:sz="0" w:space="0"/>
            <w:left w:val="none" w:sz="0" w:space="0"/>
            <w:bottom w:val="none" w:sz="0" w:space="0"/>
            <w:right w:val="none" w:sz="0" w:space="0"/>
          </w:pgBorders>
          <w:pgNumType w:fmt="upperRoman"/>
          <w:cols w:space="720" w:num="1"/>
        </w:sectPr>
      </w:pPr>
      <w:r>
        <w:rPr>
          <w:rFonts w:hint="eastAsia" w:ascii="宋体" w:hAnsi="宋体" w:eastAsia="宋体" w:cs="宋体"/>
          <w:b/>
          <w:bCs/>
          <w:snapToGrid/>
          <w:color w:val="000000"/>
          <w:kern w:val="0"/>
          <w:sz w:val="32"/>
          <w:szCs w:val="32"/>
          <w:lang w:val="en-US" w:eastAsia="zh-CN" w:bidi="ar"/>
        </w:rPr>
        <w:t>2024</w:t>
      </w:r>
      <w:r>
        <w:rPr>
          <w:rFonts w:hint="eastAsia" w:ascii="宋体" w:hAnsi="宋体" w:eastAsia="宋体" w:cs="宋体"/>
          <w:b/>
          <w:bCs/>
          <w:snapToGrid/>
          <w:color w:val="000000"/>
          <w:kern w:val="0"/>
          <w:sz w:val="32"/>
          <w:szCs w:val="32"/>
          <w:lang w:eastAsia="zh-CN" w:bidi="ar"/>
        </w:rPr>
        <w:t>年</w:t>
      </w:r>
      <w:r>
        <w:rPr>
          <w:rFonts w:hint="eastAsia" w:ascii="宋体" w:hAnsi="宋体" w:eastAsia="宋体" w:cs="宋体"/>
          <w:b/>
          <w:bCs/>
          <w:snapToGrid/>
          <w:color w:val="000000"/>
          <w:kern w:val="0"/>
          <w:sz w:val="32"/>
          <w:szCs w:val="32"/>
          <w:lang w:val="en-US" w:eastAsia="zh-CN" w:bidi="ar"/>
        </w:rPr>
        <w:t>3</w:t>
      </w:r>
      <w:r>
        <w:rPr>
          <w:rFonts w:hint="eastAsia" w:ascii="宋体" w:hAnsi="宋体" w:eastAsia="宋体" w:cs="宋体"/>
          <w:b/>
          <w:bCs/>
          <w:snapToGrid/>
          <w:color w:val="000000"/>
          <w:kern w:val="0"/>
          <w:sz w:val="32"/>
          <w:szCs w:val="32"/>
          <w:lang w:eastAsia="zh-CN" w:bidi="ar"/>
        </w:rPr>
        <w:t>月</w:t>
      </w:r>
    </w:p>
    <w:sdt>
      <w:sdtPr>
        <w:rPr>
          <w:rFonts w:hint="eastAsia" w:ascii="黑体" w:hAnsi="黑体" w:eastAsia="黑体" w:cs="黑体"/>
          <w:snapToGrid w:val="0"/>
          <w:color w:val="000000"/>
          <w:kern w:val="0"/>
          <w:sz w:val="36"/>
          <w:szCs w:val="36"/>
          <w:lang w:val="en-US" w:eastAsia="en-US" w:bidi="ar-SA"/>
        </w:rPr>
        <w:id w:val="147459537"/>
        <w15:color w:val="DBDBDB"/>
      </w:sdtPr>
      <w:sdtEndPr>
        <w:rPr>
          <w:rFonts w:hint="eastAsia" w:ascii="黑体" w:hAnsi="黑体" w:eastAsia="黑体" w:cs="黑体"/>
          <w:snapToGrid w:val="0"/>
          <w:color w:val="000000"/>
          <w:kern w:val="0"/>
          <w:sz w:val="36"/>
          <w:szCs w:val="36"/>
          <w:lang w:val="en-US" w:eastAsia="en-US"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_Toc31430 </w:instrText>
          </w:r>
          <w:r>
            <w:rPr>
              <w:rFonts w:hint="eastAsia" w:ascii="仿宋" w:hAnsi="仿宋" w:eastAsia="仿宋" w:cs="仿宋"/>
              <w:b/>
              <w:bCs/>
              <w:sz w:val="28"/>
              <w:szCs w:val="28"/>
            </w:rPr>
            <w:fldChar w:fldCharType="separate"/>
          </w:r>
          <w:r>
            <w:rPr>
              <w:rFonts w:hint="eastAsia" w:ascii="仿宋" w:hAnsi="仿宋" w:eastAsia="仿宋" w:cs="仿宋"/>
              <w:b/>
              <w:bCs/>
              <w:spacing w:val="-8"/>
              <w:sz w:val="28"/>
              <w:szCs w:val="28"/>
            </w:rPr>
            <w:t>1概述</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_Toc31430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- 1 -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_Toc30243 </w:instrText>
          </w:r>
          <w:r>
            <w:rPr>
              <w:rFonts w:hint="eastAsia" w:ascii="仿宋" w:hAnsi="仿宋" w:eastAsia="仿宋" w:cs="仿宋"/>
              <w:sz w:val="28"/>
              <w:szCs w:val="28"/>
            </w:rPr>
            <w:fldChar w:fldCharType="separate"/>
          </w:r>
          <w:r>
            <w:rPr>
              <w:rFonts w:hint="eastAsia" w:ascii="仿宋" w:hAnsi="仿宋" w:eastAsia="仿宋" w:cs="仿宋"/>
              <w:spacing w:val="-11"/>
              <w:sz w:val="28"/>
              <w:szCs w:val="28"/>
            </w:rPr>
            <w:t>1.1项目由来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_Toc30243 \h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_Toc22109 </w:instrText>
          </w:r>
          <w:r>
            <w:rPr>
              <w:rFonts w:hint="eastAsia" w:ascii="仿宋" w:hAnsi="仿宋" w:eastAsia="仿宋" w:cs="仿宋"/>
              <w:sz w:val="28"/>
              <w:szCs w:val="28"/>
            </w:rPr>
            <w:fldChar w:fldCharType="separate"/>
          </w:r>
          <w:r>
            <w:rPr>
              <w:rFonts w:hint="eastAsia" w:ascii="仿宋" w:hAnsi="仿宋" w:eastAsia="仿宋" w:cs="仿宋"/>
              <w:snapToGrid/>
              <w:kern w:val="0"/>
              <w:sz w:val="28"/>
              <w:szCs w:val="28"/>
              <w:lang w:eastAsia="zh-CN" w:bidi="ar"/>
            </w:rPr>
            <w:t>1.2</w:t>
          </w:r>
          <w:r>
            <w:rPr>
              <w:rFonts w:hint="eastAsia" w:ascii="仿宋" w:hAnsi="仿宋" w:eastAsia="仿宋" w:cs="仿宋"/>
              <w:spacing w:val="-2"/>
              <w:sz w:val="28"/>
              <w:szCs w:val="28"/>
            </w:rPr>
            <w:t>项目建设特点及环境特征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_Toc22109 \h </w:instrText>
          </w:r>
          <w:r>
            <w:rPr>
              <w:rFonts w:hint="eastAsia" w:ascii="仿宋" w:hAnsi="仿宋" w:eastAsia="仿宋" w:cs="仿宋"/>
              <w:sz w:val="28"/>
              <w:szCs w:val="28"/>
            </w:rPr>
            <w:fldChar w:fldCharType="separate"/>
          </w:r>
          <w:r>
            <w:rPr>
              <w:rFonts w:hint="eastAsia" w:ascii="仿宋" w:hAnsi="仿宋" w:eastAsia="仿宋" w:cs="仿宋"/>
              <w:sz w:val="28"/>
              <w:szCs w:val="28"/>
            </w:rPr>
            <w:t>- 3 -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_Toc29802 </w:instrText>
          </w:r>
          <w:r>
            <w:rPr>
              <w:rFonts w:hint="eastAsia" w:ascii="仿宋" w:hAnsi="仿宋" w:eastAsia="仿宋" w:cs="仿宋"/>
              <w:sz w:val="28"/>
              <w:szCs w:val="28"/>
            </w:rPr>
            <w:fldChar w:fldCharType="separate"/>
          </w:r>
          <w:r>
            <w:rPr>
              <w:rFonts w:hint="eastAsia" w:ascii="仿宋" w:hAnsi="仿宋" w:eastAsia="仿宋" w:cs="仿宋"/>
              <w:spacing w:val="-2"/>
              <w:sz w:val="28"/>
              <w:szCs w:val="28"/>
            </w:rPr>
            <w:t>1.3环境影响评价的工作过程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_Toc29802 \h </w:instrText>
          </w:r>
          <w:r>
            <w:rPr>
              <w:rFonts w:hint="eastAsia" w:ascii="仿宋" w:hAnsi="仿宋" w:eastAsia="仿宋" w:cs="仿宋"/>
              <w:sz w:val="28"/>
              <w:szCs w:val="28"/>
            </w:rPr>
            <w:fldChar w:fldCharType="separate"/>
          </w:r>
          <w:r>
            <w:rPr>
              <w:rFonts w:hint="eastAsia" w:ascii="仿宋" w:hAnsi="仿宋" w:eastAsia="仿宋" w:cs="仿宋"/>
              <w:sz w:val="28"/>
              <w:szCs w:val="28"/>
            </w:rPr>
            <w:t>- 4 -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_Toc32003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1.4环保相关规划政策分析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_Toc32003 \h </w:instrText>
          </w:r>
          <w:r>
            <w:rPr>
              <w:rFonts w:hint="eastAsia" w:ascii="仿宋" w:hAnsi="仿宋" w:eastAsia="仿宋" w:cs="仿宋"/>
              <w:sz w:val="28"/>
              <w:szCs w:val="28"/>
            </w:rPr>
            <w:fldChar w:fldCharType="separate"/>
          </w:r>
          <w:r>
            <w:rPr>
              <w:rFonts w:hint="eastAsia" w:ascii="仿宋" w:hAnsi="仿宋" w:eastAsia="仿宋" w:cs="仿宋"/>
              <w:sz w:val="28"/>
              <w:szCs w:val="28"/>
            </w:rPr>
            <w:t>- 6 -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_Toc7723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1.5关注的主要环境问题及环境影响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_Toc7723 \h </w:instrText>
          </w:r>
          <w:r>
            <w:rPr>
              <w:rFonts w:hint="eastAsia" w:ascii="仿宋" w:hAnsi="仿宋" w:eastAsia="仿宋" w:cs="仿宋"/>
              <w:sz w:val="28"/>
              <w:szCs w:val="28"/>
            </w:rPr>
            <w:fldChar w:fldCharType="separate"/>
          </w:r>
          <w:r>
            <w:rPr>
              <w:rFonts w:hint="eastAsia" w:ascii="仿宋" w:hAnsi="仿宋" w:eastAsia="仿宋" w:cs="仿宋"/>
              <w:sz w:val="28"/>
              <w:szCs w:val="28"/>
            </w:rPr>
            <w:t>- 23 -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_Toc8267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1.6环境影响报告书主要结论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_Toc8267 \h </w:instrText>
          </w:r>
          <w:r>
            <w:rPr>
              <w:rFonts w:hint="eastAsia" w:ascii="仿宋" w:hAnsi="仿宋" w:eastAsia="仿宋" w:cs="仿宋"/>
              <w:sz w:val="28"/>
              <w:szCs w:val="28"/>
            </w:rPr>
            <w:fldChar w:fldCharType="separate"/>
          </w:r>
          <w:r>
            <w:rPr>
              <w:rFonts w:hint="eastAsia" w:ascii="仿宋" w:hAnsi="仿宋" w:eastAsia="仿宋" w:cs="仿宋"/>
              <w:sz w:val="28"/>
              <w:szCs w:val="28"/>
            </w:rPr>
            <w:t>- 23 -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_Toc26068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2总则</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_Toc26068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- 24 -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_Toc31595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2.1编制依据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_Toc31595 \h </w:instrText>
          </w:r>
          <w:r>
            <w:rPr>
              <w:rFonts w:hint="eastAsia" w:ascii="仿宋" w:hAnsi="仿宋" w:eastAsia="仿宋" w:cs="仿宋"/>
              <w:sz w:val="28"/>
              <w:szCs w:val="28"/>
            </w:rPr>
            <w:fldChar w:fldCharType="separate"/>
          </w:r>
          <w:r>
            <w:rPr>
              <w:rFonts w:hint="eastAsia" w:ascii="仿宋" w:hAnsi="仿宋" w:eastAsia="仿宋" w:cs="仿宋"/>
              <w:sz w:val="28"/>
              <w:szCs w:val="28"/>
            </w:rPr>
            <w:t>- 24 -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_Toc27199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2.2评价目的与评价原则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_Toc27199 \h </w:instrText>
          </w:r>
          <w:r>
            <w:rPr>
              <w:rFonts w:hint="eastAsia" w:ascii="仿宋" w:hAnsi="仿宋" w:eastAsia="仿宋" w:cs="仿宋"/>
              <w:sz w:val="28"/>
              <w:szCs w:val="28"/>
            </w:rPr>
            <w:fldChar w:fldCharType="separate"/>
          </w:r>
          <w:r>
            <w:rPr>
              <w:rFonts w:hint="eastAsia" w:ascii="仿宋" w:hAnsi="仿宋" w:eastAsia="仿宋" w:cs="仿宋"/>
              <w:sz w:val="28"/>
              <w:szCs w:val="28"/>
            </w:rPr>
            <w:t>- 28 -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_Toc10347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2.3环境影响识别及评价因子筛选</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_Toc10347 \h </w:instrText>
          </w:r>
          <w:r>
            <w:rPr>
              <w:rFonts w:hint="eastAsia" w:ascii="仿宋" w:hAnsi="仿宋" w:eastAsia="仿宋" w:cs="仿宋"/>
              <w:sz w:val="28"/>
              <w:szCs w:val="28"/>
            </w:rPr>
            <w:fldChar w:fldCharType="separate"/>
          </w:r>
          <w:r>
            <w:rPr>
              <w:rFonts w:hint="eastAsia" w:ascii="仿宋" w:hAnsi="仿宋" w:eastAsia="仿宋" w:cs="仿宋"/>
              <w:sz w:val="28"/>
              <w:szCs w:val="28"/>
            </w:rPr>
            <w:t>- 28 -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_Toc16796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2.4评价标准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_Toc16796 \h </w:instrText>
          </w:r>
          <w:r>
            <w:rPr>
              <w:rFonts w:hint="eastAsia" w:ascii="仿宋" w:hAnsi="仿宋" w:eastAsia="仿宋" w:cs="仿宋"/>
              <w:sz w:val="28"/>
              <w:szCs w:val="28"/>
            </w:rPr>
            <w:fldChar w:fldCharType="separate"/>
          </w:r>
          <w:r>
            <w:rPr>
              <w:rFonts w:hint="eastAsia" w:ascii="仿宋" w:hAnsi="仿宋" w:eastAsia="仿宋" w:cs="仿宋"/>
              <w:sz w:val="28"/>
              <w:szCs w:val="28"/>
            </w:rPr>
            <w:t>- 30 -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_Toc24541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2.5评价工作等级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_Toc24541 \h </w:instrText>
          </w:r>
          <w:r>
            <w:rPr>
              <w:rFonts w:hint="eastAsia" w:ascii="仿宋" w:hAnsi="仿宋" w:eastAsia="仿宋" w:cs="仿宋"/>
              <w:sz w:val="28"/>
              <w:szCs w:val="28"/>
            </w:rPr>
            <w:fldChar w:fldCharType="separate"/>
          </w:r>
          <w:r>
            <w:rPr>
              <w:rFonts w:hint="eastAsia" w:ascii="仿宋" w:hAnsi="仿宋" w:eastAsia="仿宋" w:cs="仿宋"/>
              <w:sz w:val="28"/>
              <w:szCs w:val="28"/>
            </w:rPr>
            <w:t>- 35 -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_Toc22737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2.6评价范围及环境保护目标分布情况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_Toc22737 \h </w:instrText>
          </w:r>
          <w:r>
            <w:rPr>
              <w:rFonts w:hint="eastAsia" w:ascii="仿宋" w:hAnsi="仿宋" w:eastAsia="仿宋" w:cs="仿宋"/>
              <w:sz w:val="28"/>
              <w:szCs w:val="28"/>
            </w:rPr>
            <w:fldChar w:fldCharType="separate"/>
          </w:r>
          <w:r>
            <w:rPr>
              <w:rFonts w:hint="eastAsia" w:ascii="仿宋" w:hAnsi="仿宋" w:eastAsia="仿宋" w:cs="仿宋"/>
              <w:sz w:val="28"/>
              <w:szCs w:val="28"/>
            </w:rPr>
            <w:t>- 39 -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_Toc32572 </w:instrText>
          </w:r>
          <w:r>
            <w:rPr>
              <w:rFonts w:hint="eastAsia" w:ascii="仿宋" w:hAnsi="仿宋" w:eastAsia="仿宋" w:cs="仿宋"/>
              <w:sz w:val="28"/>
              <w:szCs w:val="28"/>
            </w:rPr>
            <w:fldChar w:fldCharType="separate"/>
          </w:r>
          <w:r>
            <w:rPr>
              <w:rFonts w:hint="eastAsia" w:ascii="仿宋" w:hAnsi="仿宋" w:eastAsia="仿宋" w:cs="仿宋"/>
              <w:snapToGrid/>
              <w:kern w:val="0"/>
              <w:sz w:val="28"/>
              <w:szCs w:val="28"/>
              <w:lang w:val="en-US" w:eastAsia="zh-CN" w:bidi="ar"/>
            </w:rPr>
            <w:t>2.7评价重点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_Toc32572 \h </w:instrText>
          </w:r>
          <w:r>
            <w:rPr>
              <w:rFonts w:hint="eastAsia" w:ascii="仿宋" w:hAnsi="仿宋" w:eastAsia="仿宋" w:cs="仿宋"/>
              <w:sz w:val="28"/>
              <w:szCs w:val="28"/>
            </w:rPr>
            <w:fldChar w:fldCharType="separate"/>
          </w:r>
          <w:r>
            <w:rPr>
              <w:rFonts w:hint="eastAsia" w:ascii="仿宋" w:hAnsi="仿宋" w:eastAsia="仿宋" w:cs="仿宋"/>
              <w:sz w:val="28"/>
              <w:szCs w:val="28"/>
            </w:rPr>
            <w:t>- 40 -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_Toc29398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val="en-US" w:eastAsia="zh-CN"/>
            </w:rPr>
            <w:t>3建设项目工程分析</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_Toc29398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- 42 -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_Toc21351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3.1项目基本情况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_Toc21351 \h </w:instrText>
          </w:r>
          <w:r>
            <w:rPr>
              <w:rFonts w:hint="eastAsia" w:ascii="仿宋" w:hAnsi="仿宋" w:eastAsia="仿宋" w:cs="仿宋"/>
              <w:sz w:val="28"/>
              <w:szCs w:val="28"/>
            </w:rPr>
            <w:fldChar w:fldCharType="separate"/>
          </w:r>
          <w:r>
            <w:rPr>
              <w:rFonts w:hint="eastAsia" w:ascii="仿宋" w:hAnsi="仿宋" w:eastAsia="仿宋" w:cs="仿宋"/>
              <w:sz w:val="28"/>
              <w:szCs w:val="28"/>
            </w:rPr>
            <w:t>- 42 -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_Toc28617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3.2生产工艺分析及产污环节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_Toc28617 \h </w:instrText>
          </w:r>
          <w:r>
            <w:rPr>
              <w:rFonts w:hint="eastAsia" w:ascii="仿宋" w:hAnsi="仿宋" w:eastAsia="仿宋" w:cs="仿宋"/>
              <w:sz w:val="28"/>
              <w:szCs w:val="28"/>
            </w:rPr>
            <w:fldChar w:fldCharType="separate"/>
          </w:r>
          <w:r>
            <w:rPr>
              <w:rFonts w:hint="eastAsia" w:ascii="仿宋" w:hAnsi="仿宋" w:eastAsia="仿宋" w:cs="仿宋"/>
              <w:sz w:val="28"/>
              <w:szCs w:val="28"/>
            </w:rPr>
            <w:t>- 49 -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_Toc20435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3.3项目污染源分析及污染物产排情况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_Toc20435 \h </w:instrText>
          </w:r>
          <w:r>
            <w:rPr>
              <w:rFonts w:hint="eastAsia" w:ascii="仿宋" w:hAnsi="仿宋" w:eastAsia="仿宋" w:cs="仿宋"/>
              <w:sz w:val="28"/>
              <w:szCs w:val="28"/>
            </w:rPr>
            <w:fldChar w:fldCharType="separate"/>
          </w:r>
          <w:r>
            <w:rPr>
              <w:rFonts w:hint="eastAsia" w:ascii="仿宋" w:hAnsi="仿宋" w:eastAsia="仿宋" w:cs="仿宋"/>
              <w:sz w:val="28"/>
              <w:szCs w:val="28"/>
            </w:rPr>
            <w:t>- 58 -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_Toc468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3.4清洁生产分析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_Toc468 \h </w:instrText>
          </w:r>
          <w:r>
            <w:rPr>
              <w:rFonts w:hint="eastAsia" w:ascii="仿宋" w:hAnsi="仿宋" w:eastAsia="仿宋" w:cs="仿宋"/>
              <w:sz w:val="28"/>
              <w:szCs w:val="28"/>
            </w:rPr>
            <w:fldChar w:fldCharType="separate"/>
          </w:r>
          <w:r>
            <w:rPr>
              <w:rFonts w:hint="eastAsia" w:ascii="仿宋" w:hAnsi="仿宋" w:eastAsia="仿宋" w:cs="仿宋"/>
              <w:sz w:val="28"/>
              <w:szCs w:val="28"/>
            </w:rPr>
            <w:t>- 75 -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_Toc24678 </w:instrText>
          </w:r>
          <w:r>
            <w:rPr>
              <w:rFonts w:hint="eastAsia" w:ascii="仿宋" w:hAnsi="仿宋" w:eastAsia="仿宋" w:cs="仿宋"/>
              <w:b/>
              <w:bCs/>
              <w:sz w:val="28"/>
              <w:szCs w:val="28"/>
            </w:rPr>
            <w:fldChar w:fldCharType="separate"/>
          </w:r>
          <w:r>
            <w:rPr>
              <w:rFonts w:hint="eastAsia" w:ascii="仿宋" w:hAnsi="仿宋" w:eastAsia="仿宋" w:cs="仿宋"/>
              <w:b/>
              <w:bCs/>
              <w:spacing w:val="7"/>
              <w:sz w:val="28"/>
              <w:szCs w:val="28"/>
            </w:rPr>
            <w:t>4环境现状调查与评价</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_Toc24678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- 80 -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_Toc26141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4.1自然环境概况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_Toc26141 \h </w:instrText>
          </w:r>
          <w:r>
            <w:rPr>
              <w:rFonts w:hint="eastAsia" w:ascii="仿宋" w:hAnsi="仿宋" w:eastAsia="仿宋" w:cs="仿宋"/>
              <w:sz w:val="28"/>
              <w:szCs w:val="28"/>
            </w:rPr>
            <w:fldChar w:fldCharType="separate"/>
          </w:r>
          <w:r>
            <w:rPr>
              <w:rFonts w:hint="eastAsia" w:ascii="仿宋" w:hAnsi="仿宋" w:eastAsia="仿宋" w:cs="仿宋"/>
              <w:sz w:val="28"/>
              <w:szCs w:val="28"/>
            </w:rPr>
            <w:t>- 80 -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_Toc13088 </w:instrText>
          </w:r>
          <w:r>
            <w:rPr>
              <w:rFonts w:hint="eastAsia" w:ascii="仿宋" w:hAnsi="仿宋" w:eastAsia="仿宋" w:cs="仿宋"/>
              <w:sz w:val="28"/>
              <w:szCs w:val="28"/>
            </w:rPr>
            <w:fldChar w:fldCharType="separate"/>
          </w:r>
          <w:r>
            <w:rPr>
              <w:rFonts w:hint="eastAsia" w:ascii="仿宋" w:hAnsi="仿宋" w:eastAsia="仿宋" w:cs="仿宋"/>
              <w:sz w:val="28"/>
              <w:szCs w:val="28"/>
            </w:rPr>
            <w:t>4.2区域污染源调查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_Toc13088 \h </w:instrText>
          </w:r>
          <w:r>
            <w:rPr>
              <w:rFonts w:hint="eastAsia" w:ascii="仿宋" w:hAnsi="仿宋" w:eastAsia="仿宋" w:cs="仿宋"/>
              <w:sz w:val="28"/>
              <w:szCs w:val="28"/>
            </w:rPr>
            <w:fldChar w:fldCharType="separate"/>
          </w:r>
          <w:r>
            <w:rPr>
              <w:rFonts w:hint="eastAsia" w:ascii="仿宋" w:hAnsi="仿宋" w:eastAsia="仿宋" w:cs="仿宋"/>
              <w:sz w:val="28"/>
              <w:szCs w:val="28"/>
            </w:rPr>
            <w:t>- 85 -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_Toc10837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4.3环境质量现状调查与评价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_Toc10837 \h </w:instrText>
          </w:r>
          <w:r>
            <w:rPr>
              <w:rFonts w:hint="eastAsia" w:ascii="仿宋" w:hAnsi="仿宋" w:eastAsia="仿宋" w:cs="仿宋"/>
              <w:sz w:val="28"/>
              <w:szCs w:val="28"/>
            </w:rPr>
            <w:fldChar w:fldCharType="separate"/>
          </w:r>
          <w:r>
            <w:rPr>
              <w:rFonts w:hint="eastAsia" w:ascii="仿宋" w:hAnsi="仿宋" w:eastAsia="仿宋" w:cs="仿宋"/>
              <w:sz w:val="28"/>
              <w:szCs w:val="28"/>
            </w:rPr>
            <w:t>- 85 -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_Toc32751 </w:instrText>
          </w:r>
          <w:r>
            <w:rPr>
              <w:rFonts w:hint="eastAsia" w:ascii="仿宋" w:hAnsi="仿宋" w:eastAsia="仿宋" w:cs="仿宋"/>
              <w:b/>
              <w:bCs/>
              <w:sz w:val="28"/>
              <w:szCs w:val="28"/>
            </w:rPr>
            <w:fldChar w:fldCharType="separate"/>
          </w:r>
          <w:r>
            <w:rPr>
              <w:rFonts w:hint="eastAsia" w:ascii="仿宋" w:hAnsi="仿宋" w:eastAsia="仿宋" w:cs="仿宋"/>
              <w:b/>
              <w:bCs/>
              <w:spacing w:val="6"/>
              <w:sz w:val="28"/>
              <w:szCs w:val="28"/>
            </w:rPr>
            <w:t>5环境影响预测与评价</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_Toc32751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- 107 -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_Toc2978 </w:instrText>
          </w:r>
          <w:r>
            <w:rPr>
              <w:rFonts w:hint="eastAsia" w:ascii="仿宋" w:hAnsi="仿宋" w:eastAsia="仿宋" w:cs="仿宋"/>
              <w:sz w:val="28"/>
              <w:szCs w:val="28"/>
            </w:rPr>
            <w:fldChar w:fldCharType="separate"/>
          </w:r>
          <w:r>
            <w:rPr>
              <w:rFonts w:hint="eastAsia" w:ascii="仿宋" w:hAnsi="仿宋" w:eastAsia="仿宋" w:cs="仿宋"/>
              <w:spacing w:val="-4"/>
              <w:sz w:val="28"/>
              <w:szCs w:val="28"/>
            </w:rPr>
            <w:t>5.1施工期环境影响分析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_Toc2978 \h </w:instrText>
          </w:r>
          <w:r>
            <w:rPr>
              <w:rFonts w:hint="eastAsia" w:ascii="仿宋" w:hAnsi="仿宋" w:eastAsia="仿宋" w:cs="仿宋"/>
              <w:sz w:val="28"/>
              <w:szCs w:val="28"/>
            </w:rPr>
            <w:fldChar w:fldCharType="separate"/>
          </w:r>
          <w:r>
            <w:rPr>
              <w:rFonts w:hint="eastAsia" w:ascii="仿宋" w:hAnsi="仿宋" w:eastAsia="仿宋" w:cs="仿宋"/>
              <w:sz w:val="28"/>
              <w:szCs w:val="28"/>
            </w:rPr>
            <w:t>- 107 -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_Toc18546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5.2运营期环境影响预测与评价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_Toc18546 \h </w:instrText>
          </w:r>
          <w:r>
            <w:rPr>
              <w:rFonts w:hint="eastAsia" w:ascii="仿宋" w:hAnsi="仿宋" w:eastAsia="仿宋" w:cs="仿宋"/>
              <w:sz w:val="28"/>
              <w:szCs w:val="28"/>
            </w:rPr>
            <w:fldChar w:fldCharType="separate"/>
          </w:r>
          <w:r>
            <w:rPr>
              <w:rFonts w:hint="eastAsia" w:ascii="仿宋" w:hAnsi="仿宋" w:eastAsia="仿宋" w:cs="仿宋"/>
              <w:sz w:val="28"/>
              <w:szCs w:val="28"/>
            </w:rPr>
            <w:t>- 114 -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_Toc8697 </w:instrText>
          </w:r>
          <w:r>
            <w:rPr>
              <w:rFonts w:hint="eastAsia" w:ascii="仿宋" w:hAnsi="仿宋" w:eastAsia="仿宋" w:cs="仿宋"/>
              <w:sz w:val="28"/>
              <w:szCs w:val="28"/>
            </w:rPr>
            <w:fldChar w:fldCharType="separate"/>
          </w:r>
          <w:r>
            <w:rPr>
              <w:rFonts w:hint="eastAsia" w:ascii="仿宋" w:hAnsi="仿宋" w:eastAsia="仿宋" w:cs="仿宋"/>
              <w:spacing w:val="-2"/>
              <w:sz w:val="28"/>
              <w:szCs w:val="28"/>
            </w:rPr>
            <w:t>5.3总量控制分析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_Toc8697 \h </w:instrText>
          </w:r>
          <w:r>
            <w:rPr>
              <w:rFonts w:hint="eastAsia" w:ascii="仿宋" w:hAnsi="仿宋" w:eastAsia="仿宋" w:cs="仿宋"/>
              <w:sz w:val="28"/>
              <w:szCs w:val="28"/>
            </w:rPr>
            <w:fldChar w:fldCharType="separate"/>
          </w:r>
          <w:r>
            <w:rPr>
              <w:rFonts w:hint="eastAsia" w:ascii="仿宋" w:hAnsi="仿宋" w:eastAsia="仿宋" w:cs="仿宋"/>
              <w:sz w:val="28"/>
              <w:szCs w:val="28"/>
            </w:rPr>
            <w:t>- 163 -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_Toc5742 </w:instrText>
          </w:r>
          <w:r>
            <w:rPr>
              <w:rFonts w:hint="eastAsia" w:ascii="仿宋" w:hAnsi="仿宋" w:eastAsia="仿宋" w:cs="仿宋"/>
              <w:b/>
              <w:bCs/>
              <w:sz w:val="28"/>
              <w:szCs w:val="28"/>
            </w:rPr>
            <w:fldChar w:fldCharType="separate"/>
          </w:r>
          <w:r>
            <w:rPr>
              <w:rFonts w:hint="eastAsia" w:ascii="仿宋" w:hAnsi="仿宋" w:eastAsia="仿宋" w:cs="仿宋"/>
              <w:b/>
              <w:bCs/>
              <w:spacing w:val="7"/>
              <w:sz w:val="28"/>
              <w:szCs w:val="28"/>
            </w:rPr>
            <w:t>6环境保护措施及可行性论证</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_Toc5742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- 165 -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_Toc25378 </w:instrText>
          </w:r>
          <w:r>
            <w:rPr>
              <w:rFonts w:hint="eastAsia" w:ascii="仿宋" w:hAnsi="仿宋" w:eastAsia="仿宋" w:cs="仿宋"/>
              <w:sz w:val="28"/>
              <w:szCs w:val="28"/>
            </w:rPr>
            <w:fldChar w:fldCharType="separate"/>
          </w:r>
          <w:r>
            <w:rPr>
              <w:rFonts w:hint="eastAsia" w:ascii="仿宋" w:hAnsi="仿宋" w:eastAsia="仿宋" w:cs="仿宋"/>
              <w:spacing w:val="-3"/>
              <w:sz w:val="28"/>
              <w:szCs w:val="28"/>
            </w:rPr>
            <w:t>6.1施工期污染防治措施分析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_Toc25378 \h </w:instrText>
          </w:r>
          <w:r>
            <w:rPr>
              <w:rFonts w:hint="eastAsia" w:ascii="仿宋" w:hAnsi="仿宋" w:eastAsia="仿宋" w:cs="仿宋"/>
              <w:sz w:val="28"/>
              <w:szCs w:val="28"/>
            </w:rPr>
            <w:fldChar w:fldCharType="separate"/>
          </w:r>
          <w:r>
            <w:rPr>
              <w:rFonts w:hint="eastAsia" w:ascii="仿宋" w:hAnsi="仿宋" w:eastAsia="仿宋" w:cs="仿宋"/>
              <w:sz w:val="28"/>
              <w:szCs w:val="28"/>
            </w:rPr>
            <w:t>- 165 -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_Toc14141 </w:instrText>
          </w:r>
          <w:r>
            <w:rPr>
              <w:rFonts w:hint="eastAsia" w:ascii="仿宋" w:hAnsi="仿宋" w:eastAsia="仿宋" w:cs="仿宋"/>
              <w:sz w:val="28"/>
              <w:szCs w:val="28"/>
            </w:rPr>
            <w:fldChar w:fldCharType="separate"/>
          </w:r>
          <w:r>
            <w:rPr>
              <w:rFonts w:hint="eastAsia" w:ascii="仿宋" w:hAnsi="仿宋" w:eastAsia="仿宋" w:cs="仿宋"/>
              <w:sz w:val="28"/>
              <w:szCs w:val="28"/>
            </w:rPr>
            <w:t>6.2营运期污染防治措施分析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_Toc14141 \h </w:instrText>
          </w:r>
          <w:r>
            <w:rPr>
              <w:rFonts w:hint="eastAsia" w:ascii="仿宋" w:hAnsi="仿宋" w:eastAsia="仿宋" w:cs="仿宋"/>
              <w:sz w:val="28"/>
              <w:szCs w:val="28"/>
            </w:rPr>
            <w:fldChar w:fldCharType="separate"/>
          </w:r>
          <w:r>
            <w:rPr>
              <w:rFonts w:hint="eastAsia" w:ascii="仿宋" w:hAnsi="仿宋" w:eastAsia="仿宋" w:cs="仿宋"/>
              <w:sz w:val="28"/>
              <w:szCs w:val="28"/>
            </w:rPr>
            <w:t>- 169 -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_Toc8952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6.3项目环保设施设施投资估算及竣工验收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_Toc8952 \h </w:instrText>
          </w:r>
          <w:r>
            <w:rPr>
              <w:rFonts w:hint="eastAsia" w:ascii="仿宋" w:hAnsi="仿宋" w:eastAsia="仿宋" w:cs="仿宋"/>
              <w:sz w:val="28"/>
              <w:szCs w:val="28"/>
            </w:rPr>
            <w:fldChar w:fldCharType="separate"/>
          </w:r>
          <w:r>
            <w:rPr>
              <w:rFonts w:hint="eastAsia" w:ascii="仿宋" w:hAnsi="仿宋" w:eastAsia="仿宋" w:cs="仿宋"/>
              <w:sz w:val="28"/>
              <w:szCs w:val="28"/>
            </w:rPr>
            <w:t>- 190 -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_Toc9101 </w:instrText>
          </w:r>
          <w:r>
            <w:rPr>
              <w:rFonts w:hint="eastAsia" w:ascii="仿宋" w:hAnsi="仿宋" w:eastAsia="仿宋" w:cs="仿宋"/>
              <w:b/>
              <w:bCs/>
              <w:sz w:val="28"/>
              <w:szCs w:val="28"/>
            </w:rPr>
            <w:fldChar w:fldCharType="separate"/>
          </w:r>
          <w:r>
            <w:rPr>
              <w:rFonts w:hint="eastAsia" w:ascii="仿宋" w:hAnsi="仿宋" w:eastAsia="仿宋" w:cs="仿宋"/>
              <w:b/>
              <w:bCs/>
              <w:spacing w:val="5"/>
              <w:sz w:val="28"/>
              <w:szCs w:val="28"/>
            </w:rPr>
            <w:t>7环境经济损益分析</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_Toc9101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- 194 -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_Toc8878 </w:instrText>
          </w:r>
          <w:r>
            <w:rPr>
              <w:rFonts w:hint="eastAsia" w:ascii="仿宋" w:hAnsi="仿宋" w:eastAsia="仿宋" w:cs="仿宋"/>
              <w:sz w:val="28"/>
              <w:szCs w:val="28"/>
            </w:rPr>
            <w:fldChar w:fldCharType="separate"/>
          </w:r>
          <w:r>
            <w:rPr>
              <w:rFonts w:hint="eastAsia" w:ascii="仿宋" w:hAnsi="仿宋" w:eastAsia="仿宋" w:cs="仿宋"/>
              <w:spacing w:val="-4"/>
              <w:sz w:val="28"/>
              <w:szCs w:val="28"/>
            </w:rPr>
            <w:t>7.1环保投资估算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_Toc8878 \h </w:instrText>
          </w:r>
          <w:r>
            <w:rPr>
              <w:rFonts w:hint="eastAsia" w:ascii="仿宋" w:hAnsi="仿宋" w:eastAsia="仿宋" w:cs="仿宋"/>
              <w:sz w:val="28"/>
              <w:szCs w:val="28"/>
            </w:rPr>
            <w:fldChar w:fldCharType="separate"/>
          </w:r>
          <w:r>
            <w:rPr>
              <w:rFonts w:hint="eastAsia" w:ascii="仿宋" w:hAnsi="仿宋" w:eastAsia="仿宋" w:cs="仿宋"/>
              <w:sz w:val="28"/>
              <w:szCs w:val="28"/>
            </w:rPr>
            <w:t>- 194 -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_Toc32284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7.2经济效益分析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_Toc32284 \h </w:instrText>
          </w:r>
          <w:r>
            <w:rPr>
              <w:rFonts w:hint="eastAsia" w:ascii="仿宋" w:hAnsi="仿宋" w:eastAsia="仿宋" w:cs="仿宋"/>
              <w:sz w:val="28"/>
              <w:szCs w:val="28"/>
            </w:rPr>
            <w:fldChar w:fldCharType="separate"/>
          </w:r>
          <w:r>
            <w:rPr>
              <w:rFonts w:hint="eastAsia" w:ascii="仿宋" w:hAnsi="仿宋" w:eastAsia="仿宋" w:cs="仿宋"/>
              <w:sz w:val="28"/>
              <w:szCs w:val="28"/>
            </w:rPr>
            <w:t>- 194 -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_Toc3860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7.3环境效益分析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_Toc3860 \h </w:instrText>
          </w:r>
          <w:r>
            <w:rPr>
              <w:rFonts w:hint="eastAsia" w:ascii="仿宋" w:hAnsi="仿宋" w:eastAsia="仿宋" w:cs="仿宋"/>
              <w:sz w:val="28"/>
              <w:szCs w:val="28"/>
            </w:rPr>
            <w:fldChar w:fldCharType="separate"/>
          </w:r>
          <w:r>
            <w:rPr>
              <w:rFonts w:hint="eastAsia" w:ascii="仿宋" w:hAnsi="仿宋" w:eastAsia="仿宋" w:cs="仿宋"/>
              <w:sz w:val="28"/>
              <w:szCs w:val="28"/>
            </w:rPr>
            <w:t>- 194 -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_Toc10584 </w:instrText>
          </w:r>
          <w:r>
            <w:rPr>
              <w:rFonts w:hint="eastAsia" w:ascii="仿宋" w:hAnsi="仿宋" w:eastAsia="仿宋" w:cs="仿宋"/>
              <w:sz w:val="28"/>
              <w:szCs w:val="28"/>
            </w:rPr>
            <w:fldChar w:fldCharType="separate"/>
          </w:r>
          <w:r>
            <w:rPr>
              <w:rFonts w:hint="eastAsia" w:ascii="仿宋" w:hAnsi="仿宋" w:eastAsia="仿宋" w:cs="仿宋"/>
              <w:spacing w:val="-1"/>
              <w:sz w:val="28"/>
              <w:szCs w:val="28"/>
            </w:rPr>
            <w:t>7.4社会效益分析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_Toc10584 \h </w:instrText>
          </w:r>
          <w:r>
            <w:rPr>
              <w:rFonts w:hint="eastAsia" w:ascii="仿宋" w:hAnsi="仿宋" w:eastAsia="仿宋" w:cs="仿宋"/>
              <w:sz w:val="28"/>
              <w:szCs w:val="28"/>
            </w:rPr>
            <w:fldChar w:fldCharType="separate"/>
          </w:r>
          <w:r>
            <w:rPr>
              <w:rFonts w:hint="eastAsia" w:ascii="仿宋" w:hAnsi="仿宋" w:eastAsia="仿宋" w:cs="仿宋"/>
              <w:sz w:val="28"/>
              <w:szCs w:val="28"/>
            </w:rPr>
            <w:t>- 197 -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_Toc3637 </w:instrText>
          </w:r>
          <w:r>
            <w:rPr>
              <w:rFonts w:hint="eastAsia" w:ascii="仿宋" w:hAnsi="仿宋" w:eastAsia="仿宋" w:cs="仿宋"/>
              <w:sz w:val="28"/>
              <w:szCs w:val="28"/>
            </w:rPr>
            <w:fldChar w:fldCharType="separate"/>
          </w:r>
          <w:r>
            <w:rPr>
              <w:rFonts w:hint="eastAsia" w:ascii="仿宋" w:hAnsi="仿宋" w:eastAsia="仿宋" w:cs="仿宋"/>
              <w:spacing w:val="-4"/>
              <w:sz w:val="28"/>
              <w:szCs w:val="28"/>
            </w:rPr>
            <w:t>7.5分析结论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_Toc3637 \h </w:instrText>
          </w:r>
          <w:r>
            <w:rPr>
              <w:rFonts w:hint="eastAsia" w:ascii="仿宋" w:hAnsi="仿宋" w:eastAsia="仿宋" w:cs="仿宋"/>
              <w:sz w:val="28"/>
              <w:szCs w:val="28"/>
            </w:rPr>
            <w:fldChar w:fldCharType="separate"/>
          </w:r>
          <w:r>
            <w:rPr>
              <w:rFonts w:hint="eastAsia" w:ascii="仿宋" w:hAnsi="仿宋" w:eastAsia="仿宋" w:cs="仿宋"/>
              <w:sz w:val="28"/>
              <w:szCs w:val="28"/>
            </w:rPr>
            <w:t>- 197 -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_Toc13074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8环境管理与监测计划</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_Toc13074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- 198 -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_Toc16076 </w:instrText>
          </w:r>
          <w:r>
            <w:rPr>
              <w:rFonts w:hint="eastAsia" w:ascii="仿宋" w:hAnsi="仿宋" w:eastAsia="仿宋" w:cs="仿宋"/>
              <w:sz w:val="28"/>
              <w:szCs w:val="28"/>
            </w:rPr>
            <w:fldChar w:fldCharType="separate"/>
          </w:r>
          <w:r>
            <w:rPr>
              <w:rFonts w:hint="eastAsia" w:ascii="仿宋" w:hAnsi="仿宋" w:eastAsia="仿宋" w:cs="仿宋"/>
              <w:spacing w:val="-9"/>
              <w:sz w:val="28"/>
              <w:szCs w:val="28"/>
            </w:rPr>
            <w:t>8.1环境管理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_Toc16076 \h </w:instrText>
          </w:r>
          <w:r>
            <w:rPr>
              <w:rFonts w:hint="eastAsia" w:ascii="仿宋" w:hAnsi="仿宋" w:eastAsia="仿宋" w:cs="仿宋"/>
              <w:sz w:val="28"/>
              <w:szCs w:val="28"/>
            </w:rPr>
            <w:fldChar w:fldCharType="separate"/>
          </w:r>
          <w:r>
            <w:rPr>
              <w:rFonts w:hint="eastAsia" w:ascii="仿宋" w:hAnsi="仿宋" w:eastAsia="仿宋" w:cs="仿宋"/>
              <w:sz w:val="28"/>
              <w:szCs w:val="28"/>
            </w:rPr>
            <w:t>- 198 -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_Toc3742 </w:instrText>
          </w:r>
          <w:r>
            <w:rPr>
              <w:rFonts w:hint="eastAsia" w:ascii="仿宋" w:hAnsi="仿宋" w:eastAsia="仿宋" w:cs="仿宋"/>
              <w:sz w:val="28"/>
              <w:szCs w:val="28"/>
            </w:rPr>
            <w:fldChar w:fldCharType="separate"/>
          </w:r>
          <w:r>
            <w:rPr>
              <w:rFonts w:hint="eastAsia" w:ascii="仿宋" w:hAnsi="仿宋" w:eastAsia="仿宋" w:cs="仿宋"/>
              <w:spacing w:val="-2"/>
              <w:sz w:val="28"/>
              <w:szCs w:val="28"/>
            </w:rPr>
            <w:t>8.2环境监测计划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_Toc3742 \h </w:instrText>
          </w:r>
          <w:r>
            <w:rPr>
              <w:rFonts w:hint="eastAsia" w:ascii="仿宋" w:hAnsi="仿宋" w:eastAsia="仿宋" w:cs="仿宋"/>
              <w:sz w:val="28"/>
              <w:szCs w:val="28"/>
            </w:rPr>
            <w:fldChar w:fldCharType="separate"/>
          </w:r>
          <w:r>
            <w:rPr>
              <w:rFonts w:hint="eastAsia" w:ascii="仿宋" w:hAnsi="仿宋" w:eastAsia="仿宋" w:cs="仿宋"/>
              <w:sz w:val="28"/>
              <w:szCs w:val="28"/>
            </w:rPr>
            <w:t>- 202 -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_Toc24662 </w:instrText>
          </w:r>
          <w:r>
            <w:rPr>
              <w:rFonts w:hint="eastAsia" w:ascii="仿宋" w:hAnsi="仿宋" w:eastAsia="仿宋" w:cs="仿宋"/>
              <w:sz w:val="28"/>
              <w:szCs w:val="28"/>
            </w:rPr>
            <w:fldChar w:fldCharType="separate"/>
          </w:r>
          <w:r>
            <w:rPr>
              <w:rFonts w:hint="eastAsia" w:ascii="仿宋" w:hAnsi="仿宋" w:eastAsia="仿宋" w:cs="仿宋"/>
              <w:spacing w:val="-2"/>
              <w:sz w:val="28"/>
              <w:szCs w:val="28"/>
            </w:rPr>
            <w:t>8.3排污口规范化管理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_Toc24662 \h </w:instrText>
          </w:r>
          <w:r>
            <w:rPr>
              <w:rFonts w:hint="eastAsia" w:ascii="仿宋" w:hAnsi="仿宋" w:eastAsia="仿宋" w:cs="仿宋"/>
              <w:sz w:val="28"/>
              <w:szCs w:val="28"/>
            </w:rPr>
            <w:fldChar w:fldCharType="separate"/>
          </w:r>
          <w:r>
            <w:rPr>
              <w:rFonts w:hint="eastAsia" w:ascii="仿宋" w:hAnsi="仿宋" w:eastAsia="仿宋" w:cs="仿宋"/>
              <w:sz w:val="28"/>
              <w:szCs w:val="28"/>
            </w:rPr>
            <w:t>- 203 -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_Toc6421 </w:instrText>
          </w:r>
          <w:r>
            <w:rPr>
              <w:rFonts w:hint="eastAsia" w:ascii="仿宋" w:hAnsi="仿宋" w:eastAsia="仿宋" w:cs="仿宋"/>
              <w:sz w:val="28"/>
              <w:szCs w:val="28"/>
            </w:rPr>
            <w:fldChar w:fldCharType="separate"/>
          </w:r>
          <w:r>
            <w:rPr>
              <w:rFonts w:hint="eastAsia" w:ascii="仿宋" w:hAnsi="仿宋" w:eastAsia="仿宋" w:cs="仿宋"/>
              <w:sz w:val="28"/>
              <w:szCs w:val="28"/>
            </w:rPr>
            <w:t>8.4 污染物排放管理要求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_Toc6421 \h </w:instrText>
          </w:r>
          <w:r>
            <w:rPr>
              <w:rFonts w:hint="eastAsia" w:ascii="仿宋" w:hAnsi="仿宋" w:eastAsia="仿宋" w:cs="仿宋"/>
              <w:sz w:val="28"/>
              <w:szCs w:val="28"/>
            </w:rPr>
            <w:fldChar w:fldCharType="separate"/>
          </w:r>
          <w:r>
            <w:rPr>
              <w:rFonts w:hint="eastAsia" w:ascii="仿宋" w:hAnsi="仿宋" w:eastAsia="仿宋" w:cs="仿宋"/>
              <w:sz w:val="28"/>
              <w:szCs w:val="28"/>
            </w:rPr>
            <w:t>- 205 -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_Toc20691 </w:instrText>
          </w:r>
          <w:r>
            <w:rPr>
              <w:rFonts w:hint="eastAsia" w:ascii="仿宋" w:hAnsi="仿宋" w:eastAsia="仿宋" w:cs="仿宋"/>
              <w:b/>
              <w:bCs/>
              <w:sz w:val="28"/>
              <w:szCs w:val="28"/>
            </w:rPr>
            <w:fldChar w:fldCharType="separate"/>
          </w:r>
          <w:r>
            <w:rPr>
              <w:rFonts w:hint="eastAsia" w:ascii="仿宋" w:hAnsi="仿宋" w:eastAsia="仿宋" w:cs="仿宋"/>
              <w:b/>
              <w:bCs/>
              <w:spacing w:val="7"/>
              <w:sz w:val="28"/>
              <w:szCs w:val="28"/>
            </w:rPr>
            <w:t>9项目选址可行性及平面布置合理性</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_Toc20691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- 207 -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_Toc154 </w:instrText>
          </w:r>
          <w:r>
            <w:rPr>
              <w:rFonts w:hint="eastAsia" w:ascii="仿宋" w:hAnsi="仿宋" w:eastAsia="仿宋" w:cs="仿宋"/>
              <w:sz w:val="28"/>
              <w:szCs w:val="28"/>
            </w:rPr>
            <w:fldChar w:fldCharType="separate"/>
          </w:r>
          <w:r>
            <w:rPr>
              <w:rFonts w:hint="eastAsia" w:ascii="仿宋" w:hAnsi="仿宋" w:eastAsia="仿宋" w:cs="仿宋"/>
              <w:sz w:val="28"/>
              <w:szCs w:val="28"/>
            </w:rPr>
            <w:t>9.1项目选址可行性分析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_Toc154 \h </w:instrText>
          </w:r>
          <w:r>
            <w:rPr>
              <w:rFonts w:hint="eastAsia" w:ascii="仿宋" w:hAnsi="仿宋" w:eastAsia="仿宋" w:cs="仿宋"/>
              <w:sz w:val="28"/>
              <w:szCs w:val="28"/>
            </w:rPr>
            <w:fldChar w:fldCharType="separate"/>
          </w:r>
          <w:r>
            <w:rPr>
              <w:rFonts w:hint="eastAsia" w:ascii="仿宋" w:hAnsi="仿宋" w:eastAsia="仿宋" w:cs="仿宋"/>
              <w:sz w:val="28"/>
              <w:szCs w:val="28"/>
            </w:rPr>
            <w:t>- 207 -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_Toc13683 </w:instrText>
          </w:r>
          <w:r>
            <w:rPr>
              <w:rFonts w:hint="eastAsia" w:ascii="仿宋" w:hAnsi="仿宋" w:eastAsia="仿宋" w:cs="仿宋"/>
              <w:sz w:val="28"/>
              <w:szCs w:val="28"/>
            </w:rPr>
            <w:fldChar w:fldCharType="separate"/>
          </w:r>
          <w:r>
            <w:rPr>
              <w:rFonts w:hint="eastAsia" w:ascii="仿宋" w:hAnsi="仿宋" w:eastAsia="仿宋" w:cs="仿宋"/>
              <w:sz w:val="28"/>
              <w:szCs w:val="28"/>
            </w:rPr>
            <w:t>9.2项目平面布置合理性分析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_Toc13683 \h </w:instrText>
          </w:r>
          <w:r>
            <w:rPr>
              <w:rFonts w:hint="eastAsia" w:ascii="仿宋" w:hAnsi="仿宋" w:eastAsia="仿宋" w:cs="仿宋"/>
              <w:sz w:val="28"/>
              <w:szCs w:val="28"/>
            </w:rPr>
            <w:fldChar w:fldCharType="separate"/>
          </w:r>
          <w:r>
            <w:rPr>
              <w:rFonts w:hint="eastAsia" w:ascii="仿宋" w:hAnsi="仿宋" w:eastAsia="仿宋" w:cs="仿宋"/>
              <w:sz w:val="28"/>
              <w:szCs w:val="28"/>
            </w:rPr>
            <w:t>- 208 -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_Toc11981 </w:instrText>
          </w:r>
          <w:r>
            <w:rPr>
              <w:rFonts w:hint="eastAsia" w:ascii="仿宋" w:hAnsi="仿宋" w:eastAsia="仿宋" w:cs="仿宋"/>
              <w:b/>
              <w:bCs/>
              <w:sz w:val="28"/>
              <w:szCs w:val="28"/>
            </w:rPr>
            <w:fldChar w:fldCharType="separate"/>
          </w:r>
          <w:r>
            <w:rPr>
              <w:rFonts w:hint="eastAsia" w:ascii="仿宋" w:hAnsi="仿宋" w:eastAsia="仿宋" w:cs="仿宋"/>
              <w:b/>
              <w:bCs/>
              <w:spacing w:val="3"/>
              <w:sz w:val="28"/>
              <w:szCs w:val="28"/>
              <w:highlight w:val="none"/>
            </w:rPr>
            <w:t>10评价结论与建议</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_Toc11981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- 209 -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_Toc3520 </w:instrText>
          </w:r>
          <w:r>
            <w:rPr>
              <w:rFonts w:hint="eastAsia" w:ascii="仿宋" w:hAnsi="仿宋" w:eastAsia="仿宋" w:cs="仿宋"/>
              <w:sz w:val="28"/>
              <w:szCs w:val="28"/>
            </w:rPr>
            <w:fldChar w:fldCharType="separate"/>
          </w:r>
          <w:r>
            <w:rPr>
              <w:rFonts w:hint="eastAsia" w:ascii="仿宋" w:hAnsi="仿宋" w:eastAsia="仿宋" w:cs="仿宋"/>
              <w:sz w:val="28"/>
              <w:szCs w:val="28"/>
            </w:rPr>
            <w:t>10.1评价结论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_Toc3520 \h </w:instrText>
          </w:r>
          <w:r>
            <w:rPr>
              <w:rFonts w:hint="eastAsia" w:ascii="仿宋" w:hAnsi="仿宋" w:eastAsia="仿宋" w:cs="仿宋"/>
              <w:sz w:val="28"/>
              <w:szCs w:val="28"/>
            </w:rPr>
            <w:fldChar w:fldCharType="separate"/>
          </w:r>
          <w:r>
            <w:rPr>
              <w:rFonts w:hint="eastAsia" w:ascii="仿宋" w:hAnsi="仿宋" w:eastAsia="仿宋" w:cs="仿宋"/>
              <w:sz w:val="28"/>
              <w:szCs w:val="28"/>
            </w:rPr>
            <w:t>- 209 -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_Toc6098 </w:instrText>
          </w:r>
          <w:r>
            <w:rPr>
              <w:rFonts w:hint="eastAsia" w:ascii="仿宋" w:hAnsi="仿宋" w:eastAsia="仿宋" w:cs="仿宋"/>
              <w:sz w:val="28"/>
              <w:szCs w:val="28"/>
            </w:rPr>
            <w:fldChar w:fldCharType="separate"/>
          </w:r>
          <w:r>
            <w:rPr>
              <w:rFonts w:hint="eastAsia" w:ascii="仿宋" w:hAnsi="仿宋" w:eastAsia="仿宋" w:cs="仿宋"/>
              <w:sz w:val="28"/>
              <w:szCs w:val="28"/>
            </w:rPr>
            <w:t>10.2评价建议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_Toc6098 \h </w:instrText>
          </w:r>
          <w:r>
            <w:rPr>
              <w:rFonts w:hint="eastAsia" w:ascii="仿宋" w:hAnsi="仿宋" w:eastAsia="仿宋" w:cs="仿宋"/>
              <w:sz w:val="28"/>
              <w:szCs w:val="28"/>
            </w:rPr>
            <w:fldChar w:fldCharType="separate"/>
          </w:r>
          <w:r>
            <w:rPr>
              <w:rFonts w:hint="eastAsia" w:ascii="仿宋" w:hAnsi="仿宋" w:eastAsia="仿宋" w:cs="仿宋"/>
              <w:sz w:val="28"/>
              <w:szCs w:val="28"/>
            </w:rPr>
            <w:t>- 213 -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7"/>
            <w:keepNext w:val="0"/>
            <w:keepLines w:val="0"/>
            <w:pageBreakBefore w:val="0"/>
            <w:widowControl/>
            <w:tabs>
              <w:tab w:val="right" w:leader="dot" w:pos="8336"/>
            </w:tabs>
            <w:wordWrap/>
            <w:overflowPunct/>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_Toc11527 </w:instrText>
          </w:r>
          <w:r>
            <w:rPr>
              <w:rFonts w:hint="eastAsia" w:ascii="仿宋" w:hAnsi="仿宋" w:eastAsia="仿宋" w:cs="仿宋"/>
              <w:sz w:val="28"/>
              <w:szCs w:val="28"/>
            </w:rPr>
            <w:fldChar w:fldCharType="separate"/>
          </w:r>
          <w:r>
            <w:rPr>
              <w:rFonts w:hint="eastAsia" w:ascii="仿宋" w:hAnsi="仿宋" w:eastAsia="仿宋" w:cs="仿宋"/>
              <w:sz w:val="28"/>
              <w:szCs w:val="28"/>
            </w:rPr>
            <w:t>10.3评价总结论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_Toc11527 \h </w:instrText>
          </w:r>
          <w:r>
            <w:rPr>
              <w:rFonts w:hint="eastAsia" w:ascii="仿宋" w:hAnsi="仿宋" w:eastAsia="仿宋" w:cs="仿宋"/>
              <w:sz w:val="28"/>
              <w:szCs w:val="28"/>
            </w:rPr>
            <w:fldChar w:fldCharType="separate"/>
          </w:r>
          <w:r>
            <w:rPr>
              <w:rFonts w:hint="eastAsia" w:ascii="仿宋" w:hAnsi="仿宋" w:eastAsia="仿宋" w:cs="仿宋"/>
              <w:sz w:val="28"/>
              <w:szCs w:val="28"/>
            </w:rPr>
            <w:t>- 214 -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keepNext w:val="0"/>
            <w:keepLines w:val="0"/>
            <w:pageBreakBefore w:val="0"/>
            <w:widowControl/>
            <w:wordWrap/>
            <w:overflowPunct/>
            <w:topLinePunct w:val="0"/>
            <w:bidi w:val="0"/>
            <w:spacing w:line="360" w:lineRule="auto"/>
          </w:pPr>
          <w:r>
            <w:rPr>
              <w:rFonts w:hint="eastAsia" w:ascii="仿宋" w:hAnsi="仿宋" w:eastAsia="仿宋" w:cs="仿宋"/>
              <w:sz w:val="28"/>
              <w:szCs w:val="28"/>
            </w:rPr>
            <w:fldChar w:fldCharType="end"/>
          </w:r>
        </w:p>
      </w:sdtContent>
    </w:sdt>
    <w:p>
      <w:pPr>
        <w:keepNext w:val="0"/>
        <w:keepLines w:val="0"/>
        <w:pageBreakBefore w:val="0"/>
        <w:widowControl/>
        <w:kinsoku w:val="0"/>
        <w:wordWrap/>
        <w:overflowPunct/>
        <w:topLinePunct w:val="0"/>
        <w:autoSpaceDE w:val="0"/>
        <w:autoSpaceDN w:val="0"/>
        <w:bidi w:val="0"/>
        <w:adjustRightInd w:val="0"/>
        <w:snapToGrid w:val="0"/>
        <w:spacing w:before="175" w:after="0" w:afterLines="50" w:line="219" w:lineRule="auto"/>
        <w:ind w:left="476"/>
        <w:textAlignment w:val="baseline"/>
        <w:rPr>
          <w:rFonts w:ascii="宋体" w:hAnsi="宋体" w:eastAsia="宋体" w:cs="宋体"/>
          <w:b/>
          <w:bCs/>
          <w:spacing w:val="-15"/>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before="175" w:after="0" w:afterLines="50" w:line="219" w:lineRule="auto"/>
        <w:ind w:left="476"/>
        <w:textAlignment w:val="baseline"/>
        <w:rPr>
          <w:rFonts w:ascii="宋体" w:hAnsi="宋体" w:eastAsia="宋体" w:cs="宋体"/>
          <w:b/>
          <w:bCs/>
          <w:sz w:val="28"/>
          <w:szCs w:val="28"/>
          <w:highlight w:val="none"/>
        </w:rPr>
      </w:pPr>
      <w:r>
        <w:rPr>
          <w:rFonts w:ascii="宋体" w:hAnsi="宋体" w:eastAsia="宋体" w:cs="宋体"/>
          <w:b/>
          <w:bCs/>
          <w:spacing w:val="-15"/>
          <w:sz w:val="28"/>
          <w:szCs w:val="28"/>
          <w:highlight w:val="none"/>
        </w:rPr>
        <w:t>附图</w:t>
      </w:r>
    </w:p>
    <w:tbl>
      <w:tblPr>
        <w:tblStyle w:val="24"/>
        <w:tblW w:w="7970" w:type="dxa"/>
        <w:jc w:val="center"/>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61"/>
        <w:gridCol w:w="670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一</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9"/>
              <w:jc w:val="both"/>
              <w:textAlignment w:val="baseline"/>
              <w:rPr>
                <w:rFonts w:hint="eastAsia" w:eastAsia="宋体"/>
                <w:sz w:val="24"/>
                <w:szCs w:val="24"/>
                <w:lang w:eastAsia="zh-CN"/>
              </w:rPr>
            </w:pPr>
            <w:r>
              <w:rPr>
                <w:spacing w:val="-2"/>
                <w:sz w:val="24"/>
                <w:szCs w:val="24"/>
              </w:rPr>
              <w:t>地理位置图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二</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6"/>
              <w:jc w:val="both"/>
              <w:textAlignment w:val="baseline"/>
              <w:rPr>
                <w:sz w:val="24"/>
                <w:szCs w:val="24"/>
              </w:rPr>
            </w:pPr>
            <w:r>
              <w:rPr>
                <w:spacing w:val="-2"/>
                <w:sz w:val="24"/>
                <w:szCs w:val="24"/>
              </w:rPr>
              <w:t>周边环境</w:t>
            </w:r>
            <w:r>
              <w:rPr>
                <w:rFonts w:hint="eastAsia"/>
                <w:spacing w:val="-2"/>
                <w:sz w:val="24"/>
                <w:szCs w:val="24"/>
                <w:lang w:eastAsia="zh-CN"/>
              </w:rPr>
              <w:t>敏感点</w:t>
            </w:r>
            <w:r>
              <w:rPr>
                <w:spacing w:val="-2"/>
                <w:sz w:val="24"/>
                <w:szCs w:val="24"/>
              </w:rPr>
              <w:t>示意图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三</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9"/>
              <w:jc w:val="both"/>
              <w:textAlignment w:val="baseline"/>
              <w:rPr>
                <w:sz w:val="24"/>
                <w:szCs w:val="24"/>
              </w:rPr>
            </w:pPr>
            <w:r>
              <w:rPr>
                <w:spacing w:val="-2"/>
                <w:sz w:val="24"/>
                <w:szCs w:val="24"/>
              </w:rPr>
              <w:t>项目厂区总平面布置图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宋体"/>
                <w:spacing w:val="-10"/>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四</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9"/>
              <w:jc w:val="both"/>
              <w:textAlignment w:val="baseline"/>
              <w:rPr>
                <w:rFonts w:hint="eastAsia" w:eastAsia="宋体"/>
                <w:spacing w:val="-2"/>
                <w:sz w:val="24"/>
                <w:szCs w:val="24"/>
                <w:lang w:eastAsia="zh-CN"/>
              </w:rPr>
            </w:pPr>
            <w:r>
              <w:rPr>
                <w:rFonts w:hint="eastAsia"/>
                <w:spacing w:val="-2"/>
                <w:sz w:val="24"/>
                <w:szCs w:val="24"/>
                <w:lang w:eastAsia="zh-CN"/>
              </w:rPr>
              <w:t>厂区分区防渗示意图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宋体"/>
                <w:spacing w:val="-10"/>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五</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9"/>
              <w:jc w:val="both"/>
              <w:textAlignment w:val="baseline"/>
              <w:rPr>
                <w:rFonts w:hint="eastAsia"/>
                <w:spacing w:val="-2"/>
                <w:sz w:val="24"/>
                <w:szCs w:val="24"/>
                <w:lang w:eastAsia="zh-CN"/>
              </w:rPr>
            </w:pPr>
            <w:r>
              <w:rPr>
                <w:rFonts w:hint="eastAsia"/>
                <w:spacing w:val="-2"/>
                <w:sz w:val="24"/>
                <w:szCs w:val="24"/>
                <w:lang w:eastAsia="zh-CN"/>
              </w:rPr>
              <w:t>叶县县城污水处理厂收水范围图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宋体"/>
                <w:spacing w:val="-10"/>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六</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9"/>
              <w:jc w:val="both"/>
              <w:textAlignment w:val="baseline"/>
              <w:rPr>
                <w:rFonts w:hint="eastAsia"/>
                <w:spacing w:val="-2"/>
                <w:sz w:val="24"/>
                <w:szCs w:val="24"/>
                <w:lang w:eastAsia="zh-CN"/>
              </w:rPr>
            </w:pPr>
            <w:r>
              <w:rPr>
                <w:rFonts w:hint="eastAsia"/>
                <w:spacing w:val="-2"/>
                <w:sz w:val="24"/>
                <w:szCs w:val="24"/>
                <w:lang w:val="en-US" w:eastAsia="zh-CN"/>
              </w:rPr>
              <w:t>项目废水排入污水处理厂的管道路线图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七</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sz w:val="24"/>
                <w:szCs w:val="24"/>
              </w:rPr>
            </w:pPr>
            <w:r>
              <w:rPr>
                <w:spacing w:val="-2"/>
                <w:sz w:val="24"/>
                <w:szCs w:val="24"/>
              </w:rPr>
              <w:t>项目区域水文地质图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宋体"/>
                <w:spacing w:val="-10"/>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八</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宋体"/>
                <w:spacing w:val="-2"/>
                <w:sz w:val="24"/>
                <w:szCs w:val="24"/>
                <w:lang w:eastAsia="zh-CN"/>
              </w:rPr>
            </w:pPr>
            <w:r>
              <w:rPr>
                <w:rFonts w:hint="eastAsia"/>
                <w:spacing w:val="-2"/>
                <w:sz w:val="24"/>
                <w:szCs w:val="24"/>
                <w:lang w:eastAsia="zh-CN"/>
              </w:rPr>
              <w:t>叶县水系分布图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sz w:val="24"/>
                <w:szCs w:val="24"/>
                <w:lang w:eastAsia="zh-CN"/>
              </w:rPr>
            </w:pPr>
            <w:r>
              <w:rPr>
                <w:spacing w:val="-10"/>
                <w:sz w:val="24"/>
                <w:szCs w:val="24"/>
              </w:rPr>
              <w:t>附图</w:t>
            </w:r>
            <w:r>
              <w:rPr>
                <w:rFonts w:hint="eastAsia" w:ascii="Times New Roman" w:hAnsi="Times New Roman" w:eastAsia="宋体" w:cs="Times New Roman"/>
                <w:spacing w:val="-10"/>
                <w:sz w:val="24"/>
                <w:szCs w:val="24"/>
                <w:lang w:eastAsia="zh-CN"/>
              </w:rPr>
              <w:t>九</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9"/>
              <w:jc w:val="both"/>
              <w:textAlignment w:val="baseline"/>
              <w:rPr>
                <w:sz w:val="24"/>
                <w:szCs w:val="24"/>
              </w:rPr>
            </w:pPr>
            <w:r>
              <w:rPr>
                <w:spacing w:val="-2"/>
                <w:sz w:val="24"/>
                <w:szCs w:val="24"/>
              </w:rPr>
              <w:t>项目大气评价范围图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附图</w:t>
            </w:r>
            <w:r>
              <w:rPr>
                <w:rFonts w:hint="eastAsia" w:ascii="Times New Roman" w:hAnsi="Times New Roman" w:cs="Times New Roman"/>
                <w:sz w:val="24"/>
                <w:szCs w:val="24"/>
                <w:lang w:val="en-US" w:eastAsia="zh-CN"/>
              </w:rPr>
              <w:t>十</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9"/>
              <w:jc w:val="both"/>
              <w:textAlignment w:val="baseline"/>
              <w:rPr>
                <w:sz w:val="24"/>
                <w:szCs w:val="24"/>
              </w:rPr>
            </w:pPr>
            <w:r>
              <w:rPr>
                <w:rFonts w:hint="eastAsia"/>
                <w:spacing w:val="-1"/>
                <w:sz w:val="24"/>
                <w:szCs w:val="24"/>
                <w:lang w:eastAsia="zh-CN"/>
              </w:rPr>
              <w:t>与最近的饮用水水源位置关系图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ascii="Times New Roman" w:hAnsi="Times New Roman" w:eastAsia="Times New Roman" w:cs="Times New Roman"/>
                <w:sz w:val="24"/>
                <w:szCs w:val="24"/>
              </w:rPr>
            </w:pPr>
            <w:r>
              <w:rPr>
                <w:rFonts w:hint="eastAsia" w:ascii="Times New Roman" w:hAnsi="Times New Roman" w:eastAsia="宋体" w:cs="Times New Roman"/>
                <w:sz w:val="24"/>
                <w:szCs w:val="24"/>
                <w:lang w:eastAsia="zh-CN"/>
              </w:rPr>
              <w:t>附图</w:t>
            </w:r>
            <w:r>
              <w:rPr>
                <w:rFonts w:hint="eastAsia" w:ascii="Times New Roman" w:hAnsi="Times New Roman" w:cs="Times New Roman"/>
                <w:sz w:val="24"/>
                <w:szCs w:val="24"/>
                <w:lang w:val="en-US" w:eastAsia="zh-CN"/>
              </w:rPr>
              <w:t>十一</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43"/>
              <w:jc w:val="both"/>
              <w:textAlignment w:val="baseline"/>
              <w:rPr>
                <w:sz w:val="24"/>
                <w:szCs w:val="24"/>
              </w:rPr>
            </w:pPr>
            <w:r>
              <w:rPr>
                <w:spacing w:val="-1"/>
                <w:sz w:val="24"/>
                <w:szCs w:val="24"/>
              </w:rPr>
              <w:t>环境质量现状监测布点图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ascii="Times New Roman" w:hAnsi="Times New Roman" w:eastAsia="Times New Roman" w:cs="Times New Roman"/>
                <w:sz w:val="24"/>
                <w:szCs w:val="24"/>
              </w:rPr>
            </w:pPr>
            <w:r>
              <w:rPr>
                <w:rFonts w:hint="eastAsia" w:ascii="Times New Roman" w:hAnsi="Times New Roman" w:eastAsia="宋体" w:cs="Times New Roman"/>
                <w:sz w:val="24"/>
                <w:szCs w:val="24"/>
                <w:lang w:eastAsia="zh-CN"/>
              </w:rPr>
              <w:t>附图</w:t>
            </w:r>
            <w:r>
              <w:rPr>
                <w:rFonts w:hint="eastAsia" w:ascii="Times New Roman" w:hAnsi="Times New Roman" w:cs="Times New Roman"/>
                <w:sz w:val="24"/>
                <w:szCs w:val="24"/>
                <w:lang w:val="en-US" w:eastAsia="zh-CN"/>
              </w:rPr>
              <w:t>十二</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9"/>
              <w:jc w:val="both"/>
              <w:textAlignment w:val="baseline"/>
              <w:rPr>
                <w:sz w:val="24"/>
                <w:szCs w:val="24"/>
              </w:rPr>
            </w:pPr>
            <w:r>
              <w:rPr>
                <w:rFonts w:hint="eastAsia" w:ascii="宋体" w:hAnsi="宋体" w:eastAsia="宋体" w:cs="宋体"/>
                <w:spacing w:val="-3"/>
                <w:sz w:val="24"/>
                <w:szCs w:val="24"/>
                <w:lang w:val="en-US" w:eastAsia="zh-CN"/>
              </w:rPr>
              <w:t>本项目在</w:t>
            </w:r>
            <w:r>
              <w:rPr>
                <w:rFonts w:hint="eastAsia" w:ascii="宋体" w:hAnsi="宋体" w:eastAsia="宋体" w:cs="宋体"/>
                <w:spacing w:val="-3"/>
                <w:sz w:val="24"/>
                <w:szCs w:val="24"/>
                <w:lang w:eastAsia="zh-CN"/>
              </w:rPr>
              <w:t>河南省“三线一单”成果查询系统</w:t>
            </w:r>
            <w:r>
              <w:rPr>
                <w:rFonts w:hint="eastAsia" w:ascii="宋体" w:hAnsi="宋体" w:eastAsia="宋体" w:cs="宋体"/>
                <w:spacing w:val="-3"/>
                <w:sz w:val="24"/>
                <w:szCs w:val="24"/>
              </w:rPr>
              <w:t>示意图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ascii="Times New Roman" w:hAnsi="Times New Roman" w:eastAsia="Times New Roman" w:cs="Times New Roman"/>
                <w:sz w:val="24"/>
                <w:szCs w:val="24"/>
              </w:rPr>
            </w:pPr>
            <w:r>
              <w:rPr>
                <w:rFonts w:hint="eastAsia" w:ascii="Times New Roman" w:hAnsi="Times New Roman" w:eastAsia="宋体" w:cs="Times New Roman"/>
                <w:sz w:val="24"/>
                <w:szCs w:val="24"/>
                <w:lang w:eastAsia="zh-CN"/>
              </w:rPr>
              <w:t>附图</w:t>
            </w:r>
            <w:r>
              <w:rPr>
                <w:rFonts w:hint="eastAsia" w:ascii="Times New Roman" w:hAnsi="Times New Roman" w:cs="Times New Roman"/>
                <w:sz w:val="24"/>
                <w:szCs w:val="24"/>
                <w:lang w:val="en-US" w:eastAsia="zh-CN"/>
              </w:rPr>
              <w:t>十三</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5"/>
              <w:jc w:val="both"/>
              <w:textAlignment w:val="baseline"/>
              <w:rPr>
                <w:sz w:val="24"/>
                <w:szCs w:val="24"/>
              </w:rPr>
            </w:pPr>
            <w:r>
              <w:rPr>
                <w:rFonts w:hint="eastAsia" w:cs="宋体"/>
                <w:spacing w:val="-4"/>
                <w:sz w:val="24"/>
                <w:szCs w:val="24"/>
                <w:lang w:eastAsia="zh-CN"/>
              </w:rPr>
              <w:t>叶县城镇职能体系图（含乡集镇）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jc w:val="center"/>
        </w:trPr>
        <w:tc>
          <w:tcPr>
            <w:tcW w:w="1261"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附图</w:t>
            </w:r>
            <w:r>
              <w:rPr>
                <w:rFonts w:hint="eastAsia" w:ascii="Times New Roman" w:hAnsi="Times New Roman" w:cs="Times New Roman"/>
                <w:sz w:val="24"/>
                <w:szCs w:val="24"/>
                <w:lang w:val="en-US" w:eastAsia="zh-CN"/>
              </w:rPr>
              <w:t>十四</w:t>
            </w:r>
          </w:p>
        </w:tc>
        <w:tc>
          <w:tcPr>
            <w:tcW w:w="6709"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125"/>
              <w:jc w:val="both"/>
              <w:textAlignment w:val="baseline"/>
              <w:rPr>
                <w:rFonts w:hint="eastAsia" w:cs="宋体"/>
                <w:spacing w:val="-4"/>
                <w:sz w:val="24"/>
                <w:szCs w:val="24"/>
                <w:lang w:eastAsia="zh-CN"/>
              </w:rPr>
            </w:pPr>
            <w:r>
              <w:rPr>
                <w:rFonts w:hint="eastAsia" w:cs="宋体"/>
                <w:spacing w:val="-4"/>
                <w:sz w:val="24"/>
                <w:szCs w:val="24"/>
                <w:lang w:eastAsia="zh-CN"/>
              </w:rPr>
              <w:t>现场调查实景</w:t>
            </w:r>
            <w:r>
              <w:rPr>
                <w:rFonts w:ascii="宋体" w:hAnsi="宋体" w:eastAsia="宋体" w:cs="宋体"/>
                <w:spacing w:val="-4"/>
                <w:sz w:val="24"/>
                <w:szCs w:val="24"/>
              </w:rPr>
              <w:t>片</w:t>
            </w:r>
          </w:p>
        </w:tc>
      </w:tr>
    </w:tbl>
    <w:p>
      <w:pPr>
        <w:pStyle w:val="8"/>
        <w:spacing w:line="290" w:lineRule="auto"/>
      </w:pPr>
    </w:p>
    <w:p>
      <w:pPr>
        <w:keepNext w:val="0"/>
        <w:keepLines w:val="0"/>
        <w:pageBreakBefore w:val="0"/>
        <w:widowControl/>
        <w:kinsoku w:val="0"/>
        <w:wordWrap/>
        <w:overflowPunct/>
        <w:topLinePunct w:val="0"/>
        <w:autoSpaceDE w:val="0"/>
        <w:autoSpaceDN w:val="0"/>
        <w:bidi w:val="0"/>
        <w:adjustRightInd w:val="0"/>
        <w:snapToGrid w:val="0"/>
        <w:spacing w:line="360" w:lineRule="auto"/>
        <w:ind w:left="476"/>
        <w:textAlignment w:val="baseline"/>
        <w:rPr>
          <w:rFonts w:ascii="宋体" w:hAnsi="宋体" w:eastAsia="宋体" w:cs="宋体"/>
          <w:b/>
          <w:bCs/>
          <w:sz w:val="28"/>
          <w:szCs w:val="28"/>
          <w:highlight w:val="none"/>
        </w:rPr>
      </w:pPr>
      <w:r>
        <w:rPr>
          <w:rFonts w:ascii="宋体" w:hAnsi="宋体" w:eastAsia="宋体" w:cs="宋体"/>
          <w:b/>
          <w:bCs/>
          <w:spacing w:val="-15"/>
          <w:sz w:val="28"/>
          <w:szCs w:val="28"/>
          <w:highlight w:val="none"/>
        </w:rPr>
        <w:t>附件</w:t>
      </w:r>
    </w:p>
    <w:tbl>
      <w:tblPr>
        <w:tblStyle w:val="24"/>
        <w:tblW w:w="8220" w:type="dxa"/>
        <w:tblInd w:w="17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75"/>
        <w:gridCol w:w="694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Times New Roman" w:cs="Times New Roman"/>
                <w:sz w:val="24"/>
                <w:szCs w:val="24"/>
              </w:rPr>
            </w:pPr>
            <w:r>
              <w:rPr>
                <w:spacing w:val="-10"/>
                <w:sz w:val="24"/>
                <w:szCs w:val="24"/>
              </w:rPr>
              <w:t>附件</w:t>
            </w:r>
            <w:r>
              <w:rPr>
                <w:rFonts w:ascii="Times New Roman" w:hAnsi="Times New Roman" w:eastAsia="Times New Roman" w:cs="Times New Roman"/>
                <w:spacing w:val="-10"/>
                <w:sz w:val="24"/>
                <w:szCs w:val="24"/>
              </w:rPr>
              <w:t>1</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4"/>
                <w:szCs w:val="24"/>
              </w:rPr>
            </w:pPr>
            <w:r>
              <w:rPr>
                <w:spacing w:val="-3"/>
                <w:sz w:val="24"/>
                <w:szCs w:val="24"/>
              </w:rPr>
              <w:t>委托书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Times New Roman" w:cs="Times New Roman"/>
                <w:sz w:val="24"/>
                <w:szCs w:val="24"/>
              </w:rPr>
            </w:pPr>
            <w:r>
              <w:rPr>
                <w:spacing w:val="-10"/>
                <w:sz w:val="24"/>
                <w:szCs w:val="24"/>
              </w:rPr>
              <w:t>附件</w:t>
            </w:r>
            <w:r>
              <w:rPr>
                <w:rFonts w:ascii="Times New Roman" w:hAnsi="Times New Roman" w:eastAsia="Times New Roman" w:cs="Times New Roman"/>
                <w:spacing w:val="-10"/>
                <w:sz w:val="24"/>
                <w:szCs w:val="24"/>
              </w:rPr>
              <w:t>2</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eastAsia="宋体"/>
                <w:sz w:val="24"/>
                <w:szCs w:val="24"/>
                <w:lang w:eastAsia="zh-CN"/>
              </w:rPr>
            </w:pPr>
            <w:r>
              <w:rPr>
                <w:spacing w:val="-2"/>
                <w:sz w:val="24"/>
                <w:szCs w:val="24"/>
              </w:rPr>
              <w:t>发改委</w:t>
            </w:r>
            <w:r>
              <w:rPr>
                <w:rFonts w:hint="eastAsia"/>
                <w:spacing w:val="-2"/>
                <w:sz w:val="24"/>
                <w:szCs w:val="24"/>
                <w:lang w:eastAsia="zh-CN"/>
              </w:rPr>
              <w:t>批复文件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Times New Roman" w:cs="Times New Roman"/>
                <w:sz w:val="24"/>
                <w:szCs w:val="24"/>
              </w:rPr>
            </w:pPr>
            <w:r>
              <w:rPr>
                <w:spacing w:val="-10"/>
                <w:sz w:val="24"/>
                <w:szCs w:val="24"/>
              </w:rPr>
              <w:t>附件</w:t>
            </w:r>
            <w:r>
              <w:rPr>
                <w:rFonts w:ascii="Times New Roman" w:hAnsi="Times New Roman" w:eastAsia="Times New Roman" w:cs="Times New Roman"/>
                <w:spacing w:val="-10"/>
                <w:sz w:val="24"/>
                <w:szCs w:val="24"/>
              </w:rPr>
              <w:t>3</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eastAsia="宋体"/>
                <w:sz w:val="24"/>
                <w:szCs w:val="24"/>
                <w:lang w:eastAsia="zh-CN"/>
              </w:rPr>
            </w:pPr>
            <w:r>
              <w:rPr>
                <w:rFonts w:hint="eastAsia"/>
                <w:sz w:val="24"/>
                <w:szCs w:val="24"/>
                <w:lang w:eastAsia="zh-CN"/>
              </w:rPr>
              <w:t>规划证明</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Times New Roman" w:cs="Times New Roman"/>
                <w:sz w:val="24"/>
                <w:szCs w:val="24"/>
              </w:rPr>
            </w:pPr>
            <w:r>
              <w:rPr>
                <w:spacing w:val="-10"/>
                <w:sz w:val="24"/>
                <w:szCs w:val="24"/>
              </w:rPr>
              <w:t>附件</w:t>
            </w:r>
            <w:r>
              <w:rPr>
                <w:rFonts w:ascii="Times New Roman" w:hAnsi="Times New Roman" w:eastAsia="Times New Roman" w:cs="Times New Roman"/>
                <w:spacing w:val="-10"/>
                <w:sz w:val="24"/>
                <w:szCs w:val="24"/>
              </w:rPr>
              <w:t>4</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eastAsia="宋体"/>
                <w:sz w:val="24"/>
                <w:szCs w:val="24"/>
                <w:lang w:eastAsia="zh-CN"/>
              </w:rPr>
            </w:pPr>
            <w:r>
              <w:rPr>
                <w:rFonts w:hint="eastAsia"/>
                <w:sz w:val="24"/>
                <w:szCs w:val="24"/>
                <w:lang w:eastAsia="zh-CN"/>
              </w:rPr>
              <w:t>关于城镇开发边界的复函</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Times New Roman" w:cs="Times New Roman"/>
                <w:sz w:val="24"/>
                <w:szCs w:val="24"/>
              </w:rPr>
            </w:pPr>
            <w:r>
              <w:rPr>
                <w:spacing w:val="-10"/>
                <w:sz w:val="24"/>
                <w:szCs w:val="24"/>
              </w:rPr>
              <w:t>附件</w:t>
            </w:r>
            <w:r>
              <w:rPr>
                <w:rFonts w:ascii="Times New Roman" w:hAnsi="Times New Roman" w:eastAsia="Times New Roman" w:cs="Times New Roman"/>
                <w:spacing w:val="-10"/>
                <w:sz w:val="24"/>
                <w:szCs w:val="24"/>
              </w:rPr>
              <w:t>5</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eastAsia="宋体"/>
                <w:sz w:val="24"/>
                <w:szCs w:val="24"/>
                <w:lang w:eastAsia="zh-CN"/>
              </w:rPr>
            </w:pPr>
            <w:r>
              <w:rPr>
                <w:rFonts w:hint="eastAsia"/>
                <w:sz w:val="24"/>
                <w:szCs w:val="24"/>
                <w:lang w:eastAsia="zh-CN"/>
              </w:rPr>
              <w:t>土地使用证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Times New Roman" w:cs="Times New Roman"/>
                <w:sz w:val="24"/>
                <w:szCs w:val="24"/>
              </w:rPr>
            </w:pPr>
            <w:r>
              <w:rPr>
                <w:spacing w:val="-10"/>
                <w:sz w:val="24"/>
                <w:szCs w:val="24"/>
              </w:rPr>
              <w:t>附件</w:t>
            </w:r>
            <w:r>
              <w:rPr>
                <w:rFonts w:ascii="Times New Roman" w:hAnsi="Times New Roman" w:eastAsia="Times New Roman" w:cs="Times New Roman"/>
                <w:spacing w:val="-10"/>
                <w:sz w:val="24"/>
                <w:szCs w:val="24"/>
              </w:rPr>
              <w:t>6</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4"/>
                <w:szCs w:val="24"/>
              </w:rPr>
            </w:pPr>
            <w:r>
              <w:rPr>
                <w:spacing w:val="-3"/>
                <w:sz w:val="24"/>
                <w:szCs w:val="24"/>
              </w:rPr>
              <w:t>租赁</w:t>
            </w:r>
            <w:r>
              <w:rPr>
                <w:rFonts w:hint="eastAsia"/>
                <w:spacing w:val="-3"/>
                <w:sz w:val="24"/>
                <w:szCs w:val="24"/>
                <w:lang w:eastAsia="zh-CN"/>
              </w:rPr>
              <w:t>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ascii="Times New Roman" w:hAnsi="Times New Roman" w:eastAsia="宋体" w:cs="Times New Roman"/>
                <w:sz w:val="24"/>
                <w:szCs w:val="24"/>
                <w:lang w:eastAsia="zh-CN"/>
              </w:rPr>
            </w:pPr>
            <w:r>
              <w:rPr>
                <w:spacing w:val="-10"/>
                <w:sz w:val="24"/>
                <w:szCs w:val="24"/>
              </w:rPr>
              <w:t>附件</w:t>
            </w:r>
            <w:r>
              <w:rPr>
                <w:rFonts w:hint="eastAsia" w:ascii="Times New Roman" w:hAnsi="Times New Roman" w:eastAsia="宋体" w:cs="Times New Roman"/>
                <w:spacing w:val="-10"/>
                <w:sz w:val="24"/>
                <w:szCs w:val="24"/>
                <w:lang w:val="en-US" w:eastAsia="zh-CN"/>
              </w:rPr>
              <w:t>7</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eastAsia="宋体"/>
                <w:sz w:val="24"/>
                <w:szCs w:val="24"/>
                <w:lang w:eastAsia="zh-CN"/>
              </w:rPr>
            </w:pPr>
            <w:r>
              <w:rPr>
                <w:rFonts w:hint="eastAsia" w:cs="宋体"/>
                <w:spacing w:val="-3"/>
                <w:sz w:val="24"/>
                <w:szCs w:val="24"/>
                <w:lang w:eastAsia="zh-CN"/>
              </w:rPr>
              <w:t>牛羊粪收购协议以及</w:t>
            </w:r>
            <w:r>
              <w:rPr>
                <w:rFonts w:hint="eastAsia" w:ascii="宋体" w:hAnsi="宋体" w:eastAsia="宋体" w:cs="宋体"/>
                <w:spacing w:val="-3"/>
                <w:sz w:val="24"/>
                <w:szCs w:val="24"/>
                <w:lang w:eastAsia="zh-CN"/>
              </w:rPr>
              <w:t>病死动物无害化处理协议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Times New Roman" w:cs="Times New Roman"/>
                <w:sz w:val="24"/>
                <w:szCs w:val="24"/>
              </w:rPr>
            </w:pPr>
            <w:r>
              <w:rPr>
                <w:spacing w:val="-10"/>
                <w:sz w:val="24"/>
                <w:szCs w:val="24"/>
              </w:rPr>
              <w:t>附件</w:t>
            </w:r>
            <w:r>
              <w:rPr>
                <w:rFonts w:ascii="Times New Roman" w:hAnsi="Times New Roman" w:eastAsia="Times New Roman" w:cs="Times New Roman"/>
                <w:spacing w:val="-10"/>
                <w:sz w:val="24"/>
                <w:szCs w:val="24"/>
              </w:rPr>
              <w:t>8</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eastAsia="宋体"/>
                <w:sz w:val="24"/>
                <w:szCs w:val="24"/>
                <w:lang w:eastAsia="zh-CN"/>
              </w:rPr>
            </w:pPr>
            <w:r>
              <w:rPr>
                <w:spacing w:val="-2"/>
                <w:sz w:val="24"/>
                <w:szCs w:val="24"/>
              </w:rPr>
              <w:t>环境质量监测报告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817"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pacing w:val="-10"/>
                <w:sz w:val="24"/>
                <w:szCs w:val="24"/>
              </w:rPr>
            </w:pPr>
            <w:r>
              <w:rPr>
                <w:rFonts w:hint="eastAsia"/>
                <w:sz w:val="24"/>
                <w:szCs w:val="24"/>
                <w:lang w:eastAsia="zh-CN"/>
              </w:rPr>
              <w:t>附件</w:t>
            </w:r>
            <w:r>
              <w:rPr>
                <w:rFonts w:hint="default" w:ascii="Times New Roman" w:hAnsi="Times New Roman" w:cs="Times New Roman"/>
                <w:sz w:val="24"/>
                <w:szCs w:val="24"/>
                <w:lang w:val="en-US" w:eastAsia="zh-CN"/>
              </w:rPr>
              <w:t>9</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sz w:val="24"/>
                <w:szCs w:val="24"/>
                <w:lang w:eastAsia="zh-CN"/>
              </w:rPr>
            </w:pPr>
            <w:r>
              <w:rPr>
                <w:rFonts w:hint="eastAsia"/>
                <w:sz w:val="24"/>
                <w:szCs w:val="24"/>
                <w:lang w:eastAsia="zh-CN"/>
              </w:rPr>
              <w:t>技术评审意见（含专家签到表）、修改对照单及专家确认回执单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0" w:hRule="atLeast"/>
        </w:trPr>
        <w:tc>
          <w:tcPr>
            <w:tcW w:w="127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sz w:val="24"/>
                <w:szCs w:val="24"/>
                <w:lang w:val="en-US" w:eastAsia="zh-CN"/>
              </w:rPr>
            </w:pPr>
            <w:r>
              <w:rPr>
                <w:rFonts w:hint="eastAsia"/>
                <w:sz w:val="24"/>
                <w:szCs w:val="24"/>
                <w:lang w:eastAsia="zh-CN"/>
              </w:rPr>
              <w:t>附件</w:t>
            </w:r>
            <w:r>
              <w:rPr>
                <w:rFonts w:hint="eastAsia" w:ascii="Times New Roman" w:hAnsi="Times New Roman" w:cs="Times New Roman"/>
                <w:sz w:val="24"/>
                <w:szCs w:val="24"/>
                <w:lang w:val="en-US" w:eastAsia="zh-CN"/>
              </w:rPr>
              <w:t>10</w:t>
            </w:r>
          </w:p>
        </w:tc>
        <w:tc>
          <w:tcPr>
            <w:tcW w:w="6945" w:type="dxa"/>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sz w:val="24"/>
                <w:szCs w:val="24"/>
                <w:highlight w:val="none"/>
                <w:lang w:eastAsia="zh-CN"/>
              </w:rPr>
            </w:pPr>
            <w:r>
              <w:rPr>
                <w:rFonts w:hint="eastAsia"/>
                <w:sz w:val="24"/>
                <w:szCs w:val="24"/>
                <w:highlight w:val="none"/>
                <w:lang w:eastAsia="zh-CN"/>
              </w:rPr>
              <w:t>基础信息表</w:t>
            </w:r>
          </w:p>
        </w:tc>
      </w:tr>
    </w:tbl>
    <w:p>
      <w:pPr>
        <w:spacing w:before="259" w:line="219" w:lineRule="auto"/>
        <w:ind w:left="474"/>
        <w:rPr>
          <w:rFonts w:ascii="宋体" w:hAnsi="宋体" w:eastAsia="宋体" w:cs="宋体"/>
          <w:sz w:val="24"/>
          <w:szCs w:val="24"/>
        </w:rPr>
        <w:sectPr>
          <w:footerReference r:id="rId3" w:type="default"/>
          <w:pgSz w:w="11906" w:h="16839"/>
          <w:pgMar w:top="1431" w:right="1785" w:bottom="0" w:left="1785" w:header="0" w:footer="567" w:gutter="0"/>
          <w:pgBorders>
            <w:top w:val="none" w:sz="0" w:space="0"/>
            <w:left w:val="none" w:sz="0" w:space="0"/>
            <w:bottom w:val="none" w:sz="0" w:space="0"/>
            <w:right w:val="none" w:sz="0" w:space="0"/>
          </w:pgBorders>
          <w:pgNumType w:fmt="upperRoman" w:start="1"/>
          <w:cols w:space="720" w:num="1"/>
        </w:sectPr>
      </w:pPr>
    </w:p>
    <w:p>
      <w:pPr>
        <w:pStyle w:val="3"/>
        <w:bidi w:val="0"/>
        <w:jc w:val="center"/>
        <w:rPr>
          <w:rFonts w:ascii="黑体" w:hAnsi="黑体" w:eastAsia="黑体" w:cs="黑体"/>
          <w:sz w:val="44"/>
          <w:szCs w:val="44"/>
        </w:rPr>
      </w:pPr>
      <w:bookmarkStart w:id="0" w:name="bookmark2"/>
      <w:bookmarkEnd w:id="0"/>
      <w:bookmarkStart w:id="1" w:name="bookmark1"/>
      <w:bookmarkEnd w:id="1"/>
      <w:bookmarkStart w:id="2" w:name="_Toc12963"/>
      <w:bookmarkStart w:id="3" w:name="_Toc31430"/>
      <w:r>
        <w:rPr>
          <w:rFonts w:ascii="Times New Roman" w:hAnsi="Times New Roman" w:eastAsia="Times New Roman" w:cs="Times New Roman"/>
          <w:spacing w:val="-8"/>
          <w:sz w:val="44"/>
          <w:szCs w:val="44"/>
        </w:rPr>
        <w:t>1</w:t>
      </w:r>
      <w:r>
        <w:rPr>
          <w:rFonts w:ascii="Times New Roman" w:hAnsi="Times New Roman" w:eastAsia="Times New Roman" w:cs="Times New Roman"/>
          <w:spacing w:val="7"/>
          <w:sz w:val="44"/>
          <w:szCs w:val="44"/>
        </w:rPr>
        <w:t xml:space="preserve">  </w:t>
      </w:r>
      <w:r>
        <w:rPr>
          <w:rFonts w:ascii="黑体" w:hAnsi="黑体" w:eastAsia="黑体" w:cs="黑体"/>
          <w:spacing w:val="-8"/>
          <w:sz w:val="44"/>
          <w:szCs w:val="44"/>
        </w:rPr>
        <w:t>概述</w:t>
      </w:r>
      <w:bookmarkEnd w:id="2"/>
      <w:bookmarkEnd w:id="3"/>
    </w:p>
    <w:p>
      <w:pPr>
        <w:pStyle w:val="4"/>
        <w:bidi w:val="0"/>
        <w:rPr>
          <w:rFonts w:ascii="黑体" w:hAnsi="黑体" w:eastAsia="黑体" w:cs="黑体"/>
          <w:sz w:val="28"/>
          <w:szCs w:val="28"/>
        </w:rPr>
      </w:pPr>
      <w:bookmarkStart w:id="4" w:name="_Toc20444"/>
      <w:bookmarkStart w:id="5" w:name="_Toc30243"/>
      <w:r>
        <w:rPr>
          <w:rFonts w:ascii="Times New Roman" w:hAnsi="Times New Roman" w:eastAsia="Times New Roman" w:cs="Times New Roman"/>
          <w:spacing w:val="-11"/>
          <w:sz w:val="28"/>
          <w:szCs w:val="28"/>
        </w:rPr>
        <w:t>1.1</w:t>
      </w:r>
      <w:r>
        <w:rPr>
          <w:rFonts w:ascii="黑体" w:hAnsi="黑体" w:eastAsia="黑体" w:cs="黑体"/>
          <w:spacing w:val="-11"/>
          <w:sz w:val="28"/>
          <w:szCs w:val="28"/>
        </w:rPr>
        <w:t>项目由来</w:t>
      </w:r>
      <w:bookmarkEnd w:id="4"/>
      <w:bookmarkEnd w:id="5"/>
    </w:p>
    <w:p>
      <w:pPr>
        <w:widowControl/>
        <w:kinsoku/>
        <w:autoSpaceDE/>
        <w:autoSpaceDN/>
        <w:adjustRightInd/>
        <w:snapToGrid/>
        <w:spacing w:line="360" w:lineRule="auto"/>
        <w:ind w:firstLine="480" w:firstLineChars="200"/>
        <w:jc w:val="left"/>
        <w:textAlignment w:val="auto"/>
        <w:rPr>
          <w:rFonts w:hint="eastAsia" w:ascii="宋体" w:hAnsi="宋体" w:eastAsia="宋体" w:cs="宋体"/>
          <w:snapToGrid/>
          <w:color w:val="000000"/>
          <w:kern w:val="0"/>
          <w:sz w:val="24"/>
          <w:szCs w:val="24"/>
          <w:lang w:val="en-US" w:eastAsia="zh-CN" w:bidi="ar"/>
        </w:rPr>
      </w:pPr>
      <w:bookmarkStart w:id="6" w:name="bookmark3"/>
      <w:bookmarkEnd w:id="6"/>
      <w:r>
        <w:rPr>
          <w:rFonts w:hint="eastAsia" w:ascii="宋体" w:hAnsi="宋体" w:eastAsia="宋体" w:cs="宋体"/>
          <w:snapToGrid/>
          <w:color w:val="000000"/>
          <w:kern w:val="0"/>
          <w:sz w:val="24"/>
          <w:szCs w:val="24"/>
          <w:lang w:val="en-US" w:eastAsia="zh-CN" w:bidi="ar"/>
        </w:rPr>
        <w:t>随着人们生活水平的提高，对生存质量的要求及食品饮食的安全，越来越引起高度的重视。“十四五”以来，习近平总书记多次对食品安全工作作出重要指示，强调严防、严管、严控食品安全风险，保证广大人民群众吃得放心、安心。当前针对肉类屠宰业情况，叶县生猪屠宰已形成了统一监管下的定点屠宰模式，无论是肉食安全、环保、卫生保护，便民服务等都取得了良好的实效。</w:t>
      </w:r>
    </w:p>
    <w:p>
      <w:pPr>
        <w:widowControl/>
        <w:kinsoku/>
        <w:autoSpaceDE/>
        <w:autoSpaceDN/>
        <w:adjustRightInd/>
        <w:snapToGrid/>
        <w:spacing w:line="360" w:lineRule="auto"/>
        <w:ind w:firstLine="480" w:firstLineChars="200"/>
        <w:jc w:val="left"/>
        <w:textAlignment w:val="auto"/>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相比之下，叶县肉牛、肉羊屠宰方面仍处于个人经营、就地随意宰杀情况，突出表现在屠宰无固定场所，卫生条件不达标，检疫管理难度大，质量无追溯源头，给监管部门带来了一定的工作难度，另外，牛羊个人宰杀过程的随意性，既不利于环境的保护，也不利于人们的健康，影响了人们生活环境质量；同时，由于是零星经营，没有固定的市场，给人们的购买也带来了不便。为了舌尖上的安全，有效地把控牛、羊肉质量，保证牛、羊肉食品的安全性，有效的完善生产源头追溯体系，确保人们吃的安全、吃的放心，更好的维护人们生存、生活环境，优化环境卫生条件，提高生存质量，建立规模化牛、羊屠宰、生鲜牛羊肉及制品销售一体化批发市场，抓紧规范肉牛、肉羊生杀屠宰场，并配套相应的精细加工场所、牛羊肉集散物流园以及集约化的固定分销市场，势在必行。</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firstLine="480" w:firstLineChars="200"/>
        <w:jc w:val="both"/>
        <w:textAlignment w:val="baseline"/>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叶县马庄回族乡是河南省12个民族乡之一，也是叶县唯一的民族乡。目前全乡辖有8个行政村，17个自然村，35个村民组。20世纪90年开始，该乡立足自身优势，逐步形成了以清真食品加工为核心的支柱产业，经济迅猛发展，先后被农业部等部门命名为“中原黄牛产品开发第一乡”和乡镇企业“状元乡”。</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firstLine="480" w:firstLineChars="200"/>
        <w:jc w:val="both"/>
        <w:textAlignment w:val="baseline"/>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马庄回族乡境内的河南省平顶山市迪可（集团）食品有限公司，创立于1997年，占地面积56000m</w:t>
      </w:r>
      <w:r>
        <w:rPr>
          <w:rFonts w:hint="eastAsia" w:ascii="Times New Roman" w:hAnsi="Times New Roman" w:eastAsia="宋体" w:cs="Times New Roman"/>
          <w:kern w:val="0"/>
          <w:sz w:val="24"/>
          <w:szCs w:val="24"/>
          <w:vertAlign w:val="superscript"/>
          <w:lang w:val="en-US" w:eastAsia="zh-CN" w:bidi="ar-SA"/>
        </w:rPr>
        <w:t>2</w:t>
      </w:r>
      <w:r>
        <w:rPr>
          <w:rFonts w:hint="eastAsia" w:ascii="Times New Roman" w:hAnsi="Times New Roman" w:eastAsia="宋体" w:cs="Times New Roman"/>
          <w:kern w:val="0"/>
          <w:sz w:val="24"/>
          <w:szCs w:val="24"/>
          <w:lang w:val="en-US" w:eastAsia="zh-CN" w:bidi="ar-SA"/>
        </w:rPr>
        <w:t>，注册资金1000万元，主要生产软包装牛羊肉产品，目前产品已入驻京东、天猫、淘宝、阿里巴巴等网络销售平台，年销售额9100万元。河南省平顶山市迪可（集团）食品有限公司深耕平顶山市场，起步较早，发展迅速，是叶县远近闻名的畜产品精加工企业，在业界遥遥领先拥有扎实的项目基础、稳固的产品渠道、良好的建设环境。</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firstLine="480" w:firstLineChars="200"/>
        <w:jc w:val="both"/>
        <w:textAlignment w:val="baseline"/>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叶县2022年马庄乡张庄村畜产品精细加工物流园建设项目（以下简称本项目），位于马庄乡张庄村许南路东(河南省平顶山市迪可集团食品有限公司院内)。本项目建设符合马庄乡建设发展规划，由马庄乡人民政府主办，由叶县迪可清真食品有限公司承办，并负责组织具体实施（本项目在当地的规划证明，见附件3）。</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firstLine="480" w:firstLineChars="200"/>
        <w:jc w:val="both"/>
        <w:textAlignment w:val="baseline"/>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河南省平顶山市迪可（集团）食品有限公司，厂区紧邻昆阳大道，交通便利，且厂区内尚有大量闲置工业用地（土地使用证，见附件5），非常有利于承接有关配套性企业。但受制于资金以及技术方面的限制，河南省平顶山市迪可（集团）食品有限公司将厂区闲置用地出租给叶县迪可清真食品有限公司用于叶县2022年马庄乡张庄村畜产品精细加工物流园建设项目（租赁协议见附件6）。</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firstLine="480" w:firstLineChars="200"/>
        <w:jc w:val="both"/>
        <w:textAlignment w:val="baseline"/>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本项目预计建设牛羊吊宰生产线(含排酸预冷间)，牛羊待宰圈、精细分割加工车间各1个，储量1500吨冷库一座，生鲜牛羊肉批发市场40间，及案台、污水处理、化验室等相关配套设施以及厂区道路、办公楼等，并配套购置各种机械化牛羊屠宰设备。该项目建成后，屠宰规模为年屠宰肉牛1万头，肉羊15万只。</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firstLine="480" w:firstLineChars="200"/>
        <w:jc w:val="both"/>
        <w:textAlignment w:val="baseline"/>
        <w:rPr>
          <w:rFonts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根据《产业结构调整指导目录（2024年本）》，本项目包括牛羊的屠宰和肉制品的加工、保鲜、储运以及市场销售，属“鼓励类”第一项“农林牧渔业”</w:t>
      </w:r>
      <w:r>
        <w:rPr>
          <w:rFonts w:hint="eastAsia" w:ascii="Times New Roman" w:hAnsi="Times New Roman" w:eastAsia="宋体" w:cs="Times New Roman"/>
          <w:kern w:val="0"/>
          <w:sz w:val="24"/>
          <w:szCs w:val="24"/>
          <w:highlight w:val="none"/>
          <w:lang w:val="en-US" w:eastAsia="zh-CN" w:bidi="ar-SA"/>
        </w:rPr>
        <w:t>第8条“农产品仓储运输：农林牧渔产品储运、保鲜、加工与综合利用”，且本项目不属于“淘汰类”中第29条</w:t>
      </w:r>
      <w:r>
        <w:rPr>
          <w:rFonts w:hint="eastAsia" w:ascii="Times New Roman" w:hAnsi="Times New Roman" w:eastAsia="宋体" w:cs="Times New Roman"/>
          <w:kern w:val="0"/>
          <w:sz w:val="24"/>
          <w:szCs w:val="24"/>
          <w:lang w:val="en-US" w:eastAsia="zh-CN" w:bidi="ar-SA"/>
        </w:rPr>
        <w:t>“猪、牛、羊、禽手工屠宰工艺”（本项目屠宰以机械自动化为主，人工为辅），符合当前国家产业政策。项目已由叶县发展和改革委员会出具了批复文件，项目代码为：</w:t>
      </w:r>
      <w:r>
        <w:rPr>
          <w:rFonts w:hint="default" w:ascii="Times New Roman" w:hAnsi="Times New Roman" w:eastAsia="宋体" w:cs="Times New Roman"/>
          <w:kern w:val="0"/>
          <w:sz w:val="24"/>
          <w:szCs w:val="24"/>
          <w:lang w:val="en-US" w:eastAsia="zh-CN" w:bidi="ar-SA"/>
        </w:rPr>
        <w:t>220</w:t>
      </w:r>
      <w:r>
        <w:rPr>
          <w:rFonts w:hint="eastAsia" w:ascii="Times New Roman" w:hAnsi="Times New Roman" w:eastAsia="宋体" w:cs="Times New Roman"/>
          <w:kern w:val="0"/>
          <w:sz w:val="24"/>
          <w:szCs w:val="24"/>
          <w:lang w:val="en-US" w:eastAsia="zh-CN" w:bidi="ar-SA"/>
        </w:rPr>
        <w:t>5</w:t>
      </w:r>
      <w:r>
        <w:rPr>
          <w:rFonts w:hint="default" w:ascii="Times New Roman" w:hAnsi="Times New Roman" w:eastAsia="宋体" w:cs="Times New Roman"/>
          <w:kern w:val="0"/>
          <w:sz w:val="24"/>
          <w:szCs w:val="24"/>
          <w:lang w:val="en-US" w:eastAsia="zh-CN" w:bidi="ar-SA"/>
        </w:rPr>
        <w:t>-410</w:t>
      </w:r>
      <w:r>
        <w:rPr>
          <w:rFonts w:hint="eastAsia" w:ascii="Times New Roman" w:hAnsi="Times New Roman" w:eastAsia="宋体" w:cs="Times New Roman"/>
          <w:kern w:val="0"/>
          <w:sz w:val="24"/>
          <w:szCs w:val="24"/>
          <w:lang w:val="en-US" w:eastAsia="zh-CN" w:bidi="ar-SA"/>
        </w:rPr>
        <w:t>422</w:t>
      </w:r>
      <w:r>
        <w:rPr>
          <w:rFonts w:hint="default" w:ascii="Times New Roman" w:hAnsi="Times New Roman" w:eastAsia="宋体" w:cs="Times New Roman"/>
          <w:kern w:val="0"/>
          <w:sz w:val="24"/>
          <w:szCs w:val="24"/>
          <w:lang w:val="en-US" w:eastAsia="zh-CN" w:bidi="ar-SA"/>
        </w:rPr>
        <w:t>-04-01-</w:t>
      </w:r>
      <w:r>
        <w:rPr>
          <w:rFonts w:hint="eastAsia" w:ascii="Times New Roman" w:hAnsi="Times New Roman" w:eastAsia="宋体" w:cs="Times New Roman"/>
          <w:kern w:val="0"/>
          <w:sz w:val="24"/>
          <w:szCs w:val="24"/>
          <w:lang w:val="en-US" w:eastAsia="zh-CN" w:bidi="ar-SA"/>
        </w:rPr>
        <w:t>710458（见附件</w:t>
      </w:r>
      <w:r>
        <w:rPr>
          <w:rFonts w:hint="default" w:ascii="Times New Roman" w:hAnsi="Times New Roman" w:eastAsia="宋体" w:cs="Times New Roman"/>
          <w:kern w:val="0"/>
          <w:sz w:val="24"/>
          <w:szCs w:val="24"/>
          <w:lang w:val="en-US" w:eastAsia="zh-CN" w:bidi="ar-SA"/>
        </w:rPr>
        <w:t>2</w:t>
      </w:r>
      <w:r>
        <w:rPr>
          <w:rFonts w:hint="eastAsia" w:ascii="Times New Roman" w:hAnsi="Times New Roman" w:eastAsia="宋体" w:cs="Times New Roman"/>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lang w:eastAsia="zh-CN" w:bidi="ar"/>
        </w:rPr>
      </w:pPr>
      <w:r>
        <w:rPr>
          <w:rFonts w:hint="eastAsia" w:ascii="Times New Roman" w:hAnsi="Times New Roman" w:eastAsia="宋体" w:cs="Times New Roman"/>
          <w:snapToGrid/>
          <w:kern w:val="0"/>
          <w:sz w:val="24"/>
          <w:szCs w:val="24"/>
          <w:lang w:eastAsia="zh-CN" w:bidi="ar"/>
        </w:rPr>
        <w:t>根据</w:t>
      </w:r>
      <w:r>
        <w:rPr>
          <w:rFonts w:hint="eastAsia" w:ascii="Times New Roman" w:hAnsi="Times New Roman" w:eastAsia="宋体" w:cs="Times New Roman"/>
          <w:snapToGrid/>
          <w:kern w:val="0"/>
          <w:sz w:val="24"/>
          <w:szCs w:val="24"/>
          <w:u w:val="none"/>
          <w:lang w:eastAsia="zh-CN" w:bidi="ar"/>
        </w:rPr>
        <w:t>《建设项目环境影响评价分类管理名录（2021年版）》（以下简称名录），</w:t>
      </w:r>
      <w:r>
        <w:rPr>
          <w:rFonts w:hint="eastAsia" w:ascii="Times New Roman" w:hAnsi="Times New Roman" w:eastAsia="宋体" w:cs="Times New Roman"/>
          <w:snapToGrid/>
          <w:kern w:val="0"/>
          <w:sz w:val="24"/>
          <w:szCs w:val="24"/>
          <w:lang w:val="en-US" w:eastAsia="zh-CN" w:bidi="ar"/>
        </w:rPr>
        <w:t>叶县2022年马庄乡张庄村畜产品精细加工物流园建设项目属于</w:t>
      </w:r>
      <w:r>
        <w:rPr>
          <w:rFonts w:hint="eastAsia" w:ascii="Times New Roman" w:hAnsi="Times New Roman" w:eastAsia="宋体" w:cs="Times New Roman"/>
          <w:snapToGrid/>
          <w:kern w:val="0"/>
          <w:sz w:val="24"/>
          <w:szCs w:val="24"/>
          <w:lang w:eastAsia="zh-CN" w:bidi="ar"/>
        </w:rPr>
        <w:t>“屠宰及肉类加工”以及“仓储物流”。本项目物流园仅进行牛、羊肉的冷冻暂存和集散，不进行危险品仓储，因此，</w:t>
      </w:r>
      <w:r>
        <w:rPr>
          <w:rFonts w:hint="eastAsia" w:ascii="Times New Roman" w:hAnsi="Times New Roman" w:eastAsia="宋体" w:cs="Times New Roman"/>
          <w:snapToGrid/>
          <w:kern w:val="0"/>
          <w:sz w:val="24"/>
          <w:szCs w:val="24"/>
          <w:u w:val="none"/>
          <w:lang w:eastAsia="zh-CN" w:bidi="ar"/>
        </w:rPr>
        <w:t>该物流园不纳入环境影响评价管理。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0"/>
          <w:sz w:val="24"/>
          <w:szCs w:val="24"/>
          <w:lang w:eastAsia="zh-CN" w:bidi="ar"/>
        </w:rPr>
        <w:t>本项目的“畜产品精细加工”属于名录中的“十、</w:t>
      </w:r>
      <w:r>
        <w:rPr>
          <w:rFonts w:hint="eastAsia" w:ascii="Times New Roman" w:hAnsi="Times New Roman" w:eastAsia="宋体" w:cs="Times New Roman"/>
          <w:snapToGrid/>
          <w:kern w:val="0"/>
          <w:sz w:val="24"/>
          <w:szCs w:val="24"/>
          <w:lang w:val="en-US" w:eastAsia="zh-CN" w:bidi="ar"/>
        </w:rPr>
        <w:t>农副食品加工业13</w:t>
      </w:r>
      <w:r>
        <w:rPr>
          <w:rFonts w:hint="eastAsia" w:ascii="Times New Roman" w:hAnsi="Times New Roman" w:eastAsia="宋体" w:cs="Times New Roman"/>
          <w:snapToGrid/>
          <w:kern w:val="0"/>
          <w:sz w:val="24"/>
          <w:szCs w:val="24"/>
          <w:lang w:eastAsia="zh-CN" w:bidi="ar"/>
        </w:rPr>
        <w:t>，</w:t>
      </w:r>
      <w:r>
        <w:rPr>
          <w:rFonts w:hint="eastAsia" w:ascii="Times New Roman" w:hAnsi="Times New Roman" w:eastAsia="宋体" w:cs="Times New Roman"/>
          <w:snapToGrid/>
          <w:kern w:val="0"/>
          <w:sz w:val="24"/>
          <w:szCs w:val="24"/>
          <w:lang w:val="en-US" w:eastAsia="zh-CN" w:bidi="ar"/>
        </w:rPr>
        <w:t>18</w:t>
      </w:r>
      <w:r>
        <w:rPr>
          <w:rFonts w:hint="eastAsia" w:ascii="Times New Roman" w:hAnsi="Times New Roman" w:eastAsia="宋体" w:cs="Times New Roman"/>
          <w:snapToGrid/>
          <w:kern w:val="0"/>
          <w:sz w:val="24"/>
          <w:szCs w:val="24"/>
          <w:lang w:eastAsia="zh-CN" w:bidi="ar"/>
        </w:rPr>
        <w:t>、屠宰及肉类加工”中的“</w:t>
      </w:r>
      <w:r>
        <w:rPr>
          <w:rFonts w:hint="eastAsia" w:ascii="Times New Roman" w:hAnsi="Times New Roman" w:eastAsia="宋体" w:cs="Times New Roman"/>
          <w:snapToGrid/>
          <w:kern w:val="0"/>
          <w:sz w:val="24"/>
          <w:szCs w:val="24"/>
          <w:lang w:val="en-US" w:eastAsia="zh-CN" w:bidi="ar"/>
        </w:rPr>
        <w:t>屠宰生猪10万头、肉牛1万头、肉羊15万只、禽类1000万只及以上的（本项目屠宰规模为年屠宰肉牛1万头、肉羊15万只）</w:t>
      </w:r>
      <w:r>
        <w:rPr>
          <w:rFonts w:hint="eastAsia" w:ascii="Times New Roman" w:hAnsi="Times New Roman" w:eastAsia="宋体" w:cs="Times New Roman"/>
          <w:snapToGrid/>
          <w:kern w:val="0"/>
          <w:sz w:val="24"/>
          <w:szCs w:val="24"/>
          <w:lang w:eastAsia="zh-CN" w:bidi="ar"/>
        </w:rPr>
        <w:t>”</w:t>
      </w:r>
      <w:r>
        <w:rPr>
          <w:rFonts w:hint="eastAsia" w:ascii="Times New Roman" w:hAnsi="Times New Roman" w:eastAsia="宋体" w:cs="Times New Roman"/>
          <w:bCs/>
          <w:snapToGrid/>
          <w:kern w:val="2"/>
          <w:sz w:val="24"/>
          <w:szCs w:val="24"/>
          <w:lang w:eastAsia="zh-CN"/>
        </w:rPr>
        <w:t>，应编制报告书</w:t>
      </w:r>
      <w:r>
        <w:rPr>
          <w:rFonts w:hint="eastAsia" w:ascii="Times New Roman" w:hAnsi="Times New Roman" w:eastAsia="宋体" w:cs="Times New Roman"/>
          <w:snapToGrid/>
          <w:kern w:val="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受叶县迪可清真食品有限公司委托，河南秋晟环境科技有限公司承担了该项目的环境影响评价工作（</w:t>
      </w:r>
      <w:r>
        <w:rPr>
          <w:rFonts w:hint="eastAsia"/>
          <w:sz w:val="24"/>
          <w:szCs w:val="24"/>
          <w:lang w:val="en-US" w:eastAsia="zh-CN"/>
        </w:rPr>
        <w:t>委托书见附件</w:t>
      </w:r>
      <w:r>
        <w:rPr>
          <w:rFonts w:hint="default" w:ascii="Times New Roman" w:hAnsi="Times New Roman" w:cs="Times New Roman"/>
          <w:sz w:val="24"/>
          <w:szCs w:val="24"/>
          <w:lang w:val="en-US" w:eastAsia="zh-CN"/>
        </w:rPr>
        <w:t>1</w:t>
      </w:r>
      <w:r>
        <w:rPr>
          <w:rFonts w:hint="eastAsia"/>
          <w:sz w:val="24"/>
          <w:szCs w:val="24"/>
          <w:lang w:eastAsia="zh-CN"/>
        </w:rPr>
        <w:t>），为本项目在建设过程和建成投入运营后，完善环境管理，落实污染防治措施，减轻对环境的影响，改善和保护环境提供科学依据。公司接受委托后，及时组织专业技术人员到项目现场进行调查和勘察（</w:t>
      </w:r>
      <w:r>
        <w:rPr>
          <w:rFonts w:hint="eastAsia"/>
          <w:sz w:val="24"/>
          <w:szCs w:val="24"/>
          <w:lang w:val="en-US" w:eastAsia="zh-CN"/>
        </w:rPr>
        <w:t>现场调查实景图，见附图十三</w:t>
      </w:r>
      <w:r>
        <w:rPr>
          <w:rFonts w:hint="eastAsia"/>
          <w:sz w:val="24"/>
          <w:szCs w:val="24"/>
          <w:lang w:eastAsia="zh-CN"/>
        </w:rPr>
        <w:t>），并在资料收集整理，环境质量现状监测等的基础上，遵照国家及省内有关环保法规和评价技术导则的有关规定和要求，本着客观、公正、科学、规范的要求，编制完成了该项目的环境影响报告书。</w:t>
      </w:r>
    </w:p>
    <w:p>
      <w:pPr>
        <w:pStyle w:val="4"/>
        <w:bidi w:val="0"/>
        <w:rPr>
          <w:rFonts w:ascii="黑体" w:hAnsi="黑体" w:eastAsia="黑体" w:cs="黑体"/>
          <w:sz w:val="28"/>
          <w:szCs w:val="28"/>
        </w:rPr>
      </w:pPr>
      <w:bookmarkStart w:id="7" w:name="_Toc22109"/>
      <w:bookmarkStart w:id="8" w:name="_Toc10694"/>
      <w:r>
        <w:rPr>
          <w:rFonts w:hint="eastAsia" w:ascii="Times New Roman" w:hAnsi="Times New Roman" w:eastAsia="宋体" w:cs="Times New Roman"/>
          <w:snapToGrid/>
          <w:kern w:val="0"/>
          <w:sz w:val="28"/>
          <w:szCs w:val="28"/>
          <w:lang w:eastAsia="zh-CN" w:bidi="ar"/>
        </w:rPr>
        <w:t>1.2</w:t>
      </w:r>
      <w:r>
        <w:rPr>
          <w:rFonts w:ascii="黑体" w:hAnsi="黑体" w:eastAsia="黑体" w:cs="黑体"/>
          <w:spacing w:val="-2"/>
          <w:sz w:val="28"/>
          <w:szCs w:val="28"/>
        </w:rPr>
        <w:t>项目建设特点及环境特征</w:t>
      </w:r>
      <w:bookmarkEnd w:id="7"/>
      <w:bookmarkEnd w:id="8"/>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ascii="楷体" w:hAnsi="楷体" w:eastAsia="楷体" w:cs="楷体"/>
          <w:sz w:val="28"/>
          <w:szCs w:val="28"/>
        </w:rPr>
      </w:pPr>
      <w:bookmarkStart w:id="9" w:name="bookmark4"/>
      <w:bookmarkEnd w:id="9"/>
      <w:r>
        <w:rPr>
          <w:rFonts w:ascii="Times New Roman" w:hAnsi="Times New Roman" w:eastAsia="Times New Roman" w:cs="Times New Roman"/>
          <w:spacing w:val="-3"/>
          <w:sz w:val="28"/>
          <w:szCs w:val="28"/>
        </w:rPr>
        <w:t>1.2.1</w:t>
      </w:r>
      <w:r>
        <w:rPr>
          <w:rFonts w:ascii="楷体" w:hAnsi="楷体" w:eastAsia="楷体" w:cs="楷体"/>
          <w:spacing w:val="-3"/>
          <w:sz w:val="28"/>
          <w:szCs w:val="28"/>
        </w:rPr>
        <w:t>工程建设特点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bookmarkStart w:id="10" w:name="bookmark5"/>
      <w:bookmarkEnd w:id="10"/>
      <w:r>
        <w:rPr>
          <w:rFonts w:hint="default" w:ascii="Times New Roman" w:hAnsi="Times New Roman" w:eastAsia="宋体" w:cs="Times New Roman"/>
          <w:sz w:val="24"/>
          <w:szCs w:val="24"/>
          <w:lang w:eastAsia="zh-CN"/>
        </w:rPr>
        <w:t>根据现场勘查以及对项目建设内容、生产工艺分析，本次工程具有以下特点：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（1）</w:t>
      </w:r>
      <w:r>
        <w:rPr>
          <w:rFonts w:hint="default" w:ascii="Times New Roman" w:hAnsi="Times New Roman" w:eastAsia="宋体" w:cs="Times New Roman"/>
          <w:sz w:val="24"/>
          <w:szCs w:val="24"/>
          <w:lang w:val="en-US" w:eastAsia="zh-CN"/>
        </w:rPr>
        <w:t>本项目包括牛羊的屠宰和肉制品的加工、保鲜、储运以及市场销售，属鼓励类”第一项“农林业”第26条“农林牧渔产品储运、保鲜、加工及综合利用”，符合当前国家产业政策</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w:t>
      </w:r>
      <w:r>
        <w:rPr>
          <w:rFonts w:hint="default" w:ascii="Times New Roman" w:hAnsi="Times New Roman" w:eastAsia="宋体" w:cs="Times New Roman"/>
          <w:sz w:val="24"/>
          <w:szCs w:val="24"/>
          <w:lang w:val="en-US" w:eastAsia="zh-CN"/>
        </w:rPr>
        <w:t>项目生产废水（主要屠宰过程产生的各种废水）和生活污水送厂区污水处理站处理达标后，再排入叶县县城污水处理厂进一步处理。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恶臭气体经生物除臭装置处理净化后，经1根15m高排气筒外排。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固体废物包括牛羊粪、淋巴组织及其他不可食用部分、碎肉碎骨、污泥、栅渣、病死牛羊、废油脂及经检疫不合格的内脏</w:t>
      </w:r>
      <w:r>
        <w:rPr>
          <w:rFonts w:hint="eastAsia" w:ascii="Times New Roman" w:hAnsi="Times New Roman" w:eastAsia="宋体" w:cs="Times New Roman"/>
          <w:sz w:val="24"/>
          <w:szCs w:val="24"/>
          <w:lang w:val="en-US" w:eastAsia="zh-CN"/>
        </w:rPr>
        <w:t>、废弃卫生检疫用品</w:t>
      </w:r>
      <w:r>
        <w:rPr>
          <w:rFonts w:hint="default" w:ascii="Times New Roman" w:hAnsi="Times New Roman" w:eastAsia="宋体" w:cs="Times New Roman"/>
          <w:sz w:val="24"/>
          <w:szCs w:val="24"/>
          <w:lang w:val="en-US" w:eastAsia="zh-CN"/>
        </w:rPr>
        <w:t>，均可得到合理处置</w:t>
      </w:r>
      <w:r>
        <w:rPr>
          <w:rFonts w:hint="default"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ascii="楷体" w:hAnsi="楷体" w:eastAsia="楷体" w:cs="楷体"/>
          <w:sz w:val="28"/>
          <w:szCs w:val="28"/>
        </w:rPr>
      </w:pPr>
      <w:r>
        <w:rPr>
          <w:rFonts w:ascii="Times New Roman" w:hAnsi="Times New Roman" w:eastAsia="Times New Roman" w:cs="Times New Roman"/>
          <w:spacing w:val="-3"/>
          <w:sz w:val="28"/>
          <w:szCs w:val="28"/>
        </w:rPr>
        <w:t>1.2.2</w:t>
      </w:r>
      <w:r>
        <w:rPr>
          <w:rFonts w:hint="eastAsia" w:ascii="楷体" w:hAnsi="楷体" w:eastAsia="楷体" w:cs="楷体"/>
          <w:spacing w:val="-3"/>
          <w:sz w:val="28"/>
          <w:szCs w:val="28"/>
        </w:rPr>
        <w:t>环境</w:t>
      </w:r>
      <w:r>
        <w:rPr>
          <w:rFonts w:hint="eastAsia" w:ascii="楷体" w:hAnsi="楷体" w:eastAsia="楷体" w:cs="楷体"/>
          <w:spacing w:val="-3"/>
          <w:sz w:val="28"/>
          <w:szCs w:val="28"/>
          <w:lang w:eastAsia="zh-CN"/>
        </w:rPr>
        <w:t>特征</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（1）本项目位于河南省</w:t>
      </w:r>
      <w:r>
        <w:rPr>
          <w:rFonts w:hint="eastAsia" w:ascii="Times New Roman" w:hAnsi="Times New Roman" w:eastAsia="宋体" w:cs="Times New Roman"/>
          <w:snapToGrid/>
          <w:kern w:val="2"/>
          <w:sz w:val="24"/>
          <w:szCs w:val="24"/>
          <w:lang w:val="en-US" w:eastAsia="zh-CN"/>
        </w:rPr>
        <w:t>平顶山市迪可集团食品有限公司</w:t>
      </w:r>
      <w:r>
        <w:rPr>
          <w:rFonts w:hint="eastAsia" w:ascii="Times New Roman" w:hAnsi="Times New Roman" w:eastAsia="宋体" w:cs="Times New Roman"/>
          <w:snapToGrid/>
          <w:kern w:val="2"/>
          <w:sz w:val="24"/>
          <w:szCs w:val="24"/>
          <w:lang w:eastAsia="zh-CN"/>
        </w:rPr>
        <w:t>院内，租赁其厂区闲置空地，提高了土地利用效率；</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2</w:t>
      </w:r>
      <w:r>
        <w:rPr>
          <w:rFonts w:hint="eastAsia" w:ascii="Times New Roman" w:hAnsi="Times New Roman" w:eastAsia="宋体" w:cs="Times New Roman"/>
          <w:snapToGrid/>
          <w:kern w:val="2"/>
          <w:sz w:val="24"/>
          <w:szCs w:val="24"/>
          <w:lang w:eastAsia="zh-CN"/>
        </w:rPr>
        <w:t>）厂区外北侧</w:t>
      </w:r>
      <w:r>
        <w:rPr>
          <w:rFonts w:hint="eastAsia" w:ascii="Times New Roman" w:hAnsi="Times New Roman" w:eastAsia="宋体" w:cs="Times New Roman"/>
          <w:snapToGrid/>
          <w:kern w:val="2"/>
          <w:sz w:val="24"/>
          <w:szCs w:val="24"/>
          <w:lang w:val="en-US" w:eastAsia="zh-CN"/>
        </w:rPr>
        <w:t>为</w:t>
      </w:r>
      <w:r>
        <w:rPr>
          <w:rFonts w:hint="eastAsia" w:ascii="Times New Roman" w:hAnsi="Times New Roman" w:eastAsia="宋体" w:cs="Times New Roman"/>
          <w:snapToGrid/>
          <w:kern w:val="2"/>
          <w:sz w:val="24"/>
          <w:szCs w:val="24"/>
          <w:lang w:eastAsia="zh-CN"/>
        </w:rPr>
        <w:t>河南省平顶山市迪可集团食品有限公司，东侧为农田，南侧为中豫酒仓临街商铺，西侧为省道</w:t>
      </w:r>
      <w:r>
        <w:rPr>
          <w:rFonts w:hint="eastAsia" w:ascii="Times New Roman" w:hAnsi="Times New Roman" w:eastAsia="宋体" w:cs="Times New Roman"/>
          <w:snapToGrid/>
          <w:kern w:val="2"/>
          <w:sz w:val="24"/>
          <w:szCs w:val="24"/>
          <w:lang w:val="en-US" w:eastAsia="zh-CN"/>
        </w:rPr>
        <w:t>S330</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当地称为昆阳大道和许南公路</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highlight w:val="none"/>
          <w:lang w:eastAsia="zh-CN"/>
        </w:rPr>
        <w:t>（</w:t>
      </w:r>
      <w:r>
        <w:rPr>
          <w:rFonts w:hint="eastAsia" w:ascii="Times New Roman" w:hAnsi="Times New Roman" w:eastAsia="宋体" w:cs="Times New Roman"/>
          <w:snapToGrid/>
          <w:kern w:val="2"/>
          <w:sz w:val="24"/>
          <w:szCs w:val="24"/>
          <w:highlight w:val="none"/>
          <w:lang w:val="en-US" w:eastAsia="zh-CN"/>
        </w:rPr>
        <w:t>3</w:t>
      </w:r>
      <w:r>
        <w:rPr>
          <w:rFonts w:hint="eastAsia" w:ascii="Times New Roman" w:hAnsi="Times New Roman" w:eastAsia="宋体" w:cs="Times New Roman"/>
          <w:snapToGrid/>
          <w:kern w:val="2"/>
          <w:sz w:val="24"/>
          <w:szCs w:val="24"/>
          <w:highlight w:val="none"/>
          <w:lang w:eastAsia="zh-CN"/>
        </w:rPr>
        <w:t>）距离场址最近的环境保护目标为：东南侧</w:t>
      </w:r>
      <w:r>
        <w:rPr>
          <w:rFonts w:hint="eastAsia" w:ascii="Times New Roman" w:hAnsi="Times New Roman" w:eastAsia="宋体" w:cs="Times New Roman"/>
          <w:snapToGrid/>
          <w:kern w:val="2"/>
          <w:sz w:val="24"/>
          <w:szCs w:val="24"/>
          <w:highlight w:val="none"/>
          <w:lang w:val="en-US" w:eastAsia="zh-CN"/>
        </w:rPr>
        <w:t>121m的马庄村散户和西北侧148m的官庄村住户（大气环境为二级，声环境2类），北侧的520m灰河（Ⅳ类水体，向东流汇入沙河）</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4</w:t>
      </w:r>
      <w:r>
        <w:rPr>
          <w:rFonts w:hint="eastAsia" w:ascii="Times New Roman" w:hAnsi="Times New Roman" w:eastAsia="宋体" w:cs="Times New Roman"/>
          <w:snapToGrid/>
          <w:kern w:val="2"/>
          <w:sz w:val="24"/>
          <w:szCs w:val="24"/>
          <w:lang w:eastAsia="zh-CN"/>
        </w:rPr>
        <w:t>）根据平顶山生态环境监测中心发布的长期监测数据，2020、2021和</w:t>
      </w:r>
      <w:r>
        <w:rPr>
          <w:rFonts w:hint="eastAsia" w:ascii="Times New Roman" w:hAnsi="Times New Roman" w:eastAsia="宋体" w:cs="Times New Roman"/>
          <w:snapToGrid/>
          <w:kern w:val="2"/>
          <w:sz w:val="24"/>
          <w:szCs w:val="24"/>
          <w:lang w:val="en-US" w:eastAsia="zh-CN"/>
        </w:rPr>
        <w:t>2022</w:t>
      </w:r>
      <w:r>
        <w:rPr>
          <w:rFonts w:hint="eastAsia" w:ascii="Times New Roman" w:hAnsi="Times New Roman" w:eastAsia="宋体" w:cs="Times New Roman"/>
          <w:snapToGrid/>
          <w:kern w:val="2"/>
          <w:sz w:val="24"/>
          <w:szCs w:val="24"/>
          <w:lang w:eastAsia="zh-CN"/>
        </w:rPr>
        <w:t>年叶县属于环境空气质量非达标区。本次评价的</w:t>
      </w:r>
      <w:r>
        <w:rPr>
          <w:rFonts w:hint="eastAsia" w:ascii="Times New Roman" w:hAnsi="Times New Roman" w:eastAsia="宋体" w:cs="Times New Roman"/>
          <w:snapToGrid/>
          <w:kern w:val="2"/>
          <w:sz w:val="24"/>
          <w:szCs w:val="24"/>
          <w:highlight w:val="none"/>
          <w:lang w:eastAsia="zh-CN"/>
        </w:rPr>
        <w:t>其他污染物（氨和硫化氢）</w:t>
      </w:r>
      <w:r>
        <w:rPr>
          <w:rFonts w:hint="eastAsia" w:ascii="Times New Roman" w:hAnsi="Times New Roman" w:eastAsia="宋体" w:cs="Times New Roman"/>
          <w:snapToGrid/>
          <w:kern w:val="2"/>
          <w:sz w:val="24"/>
          <w:szCs w:val="24"/>
          <w:lang w:eastAsia="zh-CN"/>
        </w:rPr>
        <w:t>均能够满足相应标准要求。根据平顶山市蓝天保卫战实施方案，通过区域削减、调整优化能源结构和产业结构、强化工业污染治理、城乡扬尘治理管控等一系列措施的有力实施，将有效改善区域环境空气质量；</w:t>
      </w:r>
    </w:p>
    <w:p>
      <w:pPr>
        <w:widowControl w:val="0"/>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5</w:t>
      </w:r>
      <w:r>
        <w:rPr>
          <w:rFonts w:hint="eastAsia" w:ascii="Times New Roman" w:hAnsi="Times New Roman" w:eastAsia="宋体" w:cs="Times New Roman"/>
          <w:snapToGrid/>
          <w:kern w:val="2"/>
          <w:sz w:val="24"/>
          <w:szCs w:val="24"/>
          <w:lang w:eastAsia="zh-CN"/>
        </w:rPr>
        <w:t>）本项目评价区内没有分散式饮用水井、集中式饮用水源保护区、自然保护区、风景名胜区环境敏感目标。</w:t>
      </w:r>
    </w:p>
    <w:p>
      <w:pPr>
        <w:pStyle w:val="4"/>
        <w:bidi w:val="0"/>
        <w:rPr>
          <w:rFonts w:ascii="黑体" w:hAnsi="黑体" w:eastAsia="黑体" w:cs="黑体"/>
          <w:sz w:val="28"/>
          <w:szCs w:val="28"/>
        </w:rPr>
      </w:pPr>
      <w:bookmarkStart w:id="11" w:name="bookmark6"/>
      <w:bookmarkEnd w:id="11"/>
      <w:bookmarkStart w:id="12" w:name="_Toc11001"/>
      <w:bookmarkStart w:id="13" w:name="_Toc29802"/>
      <w:r>
        <w:rPr>
          <w:rFonts w:ascii="Times New Roman" w:hAnsi="Times New Roman" w:eastAsia="Times New Roman" w:cs="Times New Roman"/>
          <w:spacing w:val="-2"/>
          <w:sz w:val="28"/>
          <w:szCs w:val="28"/>
        </w:rPr>
        <w:t>1.3</w:t>
      </w:r>
      <w:r>
        <w:rPr>
          <w:rFonts w:ascii="黑体" w:hAnsi="黑体" w:eastAsia="黑体" w:cs="黑体"/>
          <w:spacing w:val="-2"/>
          <w:sz w:val="28"/>
          <w:szCs w:val="28"/>
        </w:rPr>
        <w:t>环境影响评价的工作过程</w:t>
      </w:r>
      <w:bookmarkEnd w:id="12"/>
      <w:bookmarkEnd w:id="13"/>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河南秋晟环境科技有限公司接受建设单位委托后，组织环评项目组开展工作。首先进入项目所在地进行现场勘查，之后进行资料收集，确定环境问题及环境因子，明确环境保护目标；通过工程分析和污染影响分析，进行环境影响因子的筛选，确定源强；通过现状调查、监测，进行大气、水、声等的现状评价；按照区域关于环境保护的要求，提出技术可行、经济合理的污染防治措施，预测和评价本项目建成后污染物排放对环境产生影响的范围和程度，做出项目是否可行的结论。</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环评期间，建设单位严格按照要求开展公众参与工作，采取了两次网络公示、登报刊公示及现场张贴公示等形式，具体情况如下：建设单位202</w:t>
      </w:r>
      <w:r>
        <w:rPr>
          <w:rFonts w:hint="eastAsia" w:ascii="Times New Roman" w:hAnsi="Times New Roman" w:eastAsia="宋体" w:cs="Times New Roman"/>
          <w:snapToGrid/>
          <w:kern w:val="2"/>
          <w:sz w:val="24"/>
          <w:szCs w:val="24"/>
          <w:lang w:val="en-US" w:eastAsia="zh-CN"/>
        </w:rPr>
        <w:t>3</w:t>
      </w:r>
      <w:r>
        <w:rPr>
          <w:rFonts w:hint="eastAsia" w:ascii="Times New Roman" w:hAnsi="Times New Roman" w:eastAsia="宋体" w:cs="Times New Roman"/>
          <w:snapToGrid/>
          <w:kern w:val="2"/>
          <w:sz w:val="24"/>
          <w:szCs w:val="24"/>
          <w:lang w:eastAsia="zh-CN"/>
        </w:rPr>
        <w:t>年</w:t>
      </w:r>
      <w:r>
        <w:rPr>
          <w:rFonts w:hint="eastAsia" w:ascii="Times New Roman" w:hAnsi="Times New Roman" w:eastAsia="宋体" w:cs="Times New Roman"/>
          <w:snapToGrid/>
          <w:kern w:val="2"/>
          <w:sz w:val="24"/>
          <w:szCs w:val="24"/>
          <w:lang w:val="en-US" w:eastAsia="zh-CN"/>
        </w:rPr>
        <w:t>10</w:t>
      </w:r>
      <w:r>
        <w:rPr>
          <w:rFonts w:hint="eastAsia" w:ascii="Times New Roman" w:hAnsi="Times New Roman" w:eastAsia="宋体" w:cs="Times New Roman"/>
          <w:snapToGrid/>
          <w:kern w:val="2"/>
          <w:sz w:val="24"/>
          <w:szCs w:val="24"/>
          <w:lang w:eastAsia="zh-CN"/>
        </w:rPr>
        <w:t>月</w:t>
      </w:r>
      <w:r>
        <w:rPr>
          <w:rFonts w:hint="eastAsia" w:ascii="Times New Roman" w:hAnsi="Times New Roman" w:eastAsia="宋体" w:cs="Times New Roman"/>
          <w:snapToGrid/>
          <w:kern w:val="2"/>
          <w:sz w:val="24"/>
          <w:szCs w:val="24"/>
          <w:lang w:val="en-US" w:eastAsia="zh-CN"/>
        </w:rPr>
        <w:t>23</w:t>
      </w:r>
      <w:r>
        <w:rPr>
          <w:rFonts w:hint="eastAsia" w:ascii="Times New Roman" w:hAnsi="Times New Roman" w:eastAsia="宋体" w:cs="Times New Roman"/>
          <w:snapToGrid/>
          <w:kern w:val="2"/>
          <w:sz w:val="24"/>
          <w:szCs w:val="24"/>
          <w:lang w:eastAsia="zh-CN"/>
        </w:rPr>
        <w:t>日在第一环评网上进行了第一次网上公示（10个工作日）；202</w:t>
      </w:r>
      <w:r>
        <w:rPr>
          <w:rFonts w:hint="eastAsia" w:ascii="Times New Roman" w:hAnsi="Times New Roman" w:eastAsia="宋体" w:cs="Times New Roman"/>
          <w:snapToGrid/>
          <w:kern w:val="2"/>
          <w:sz w:val="24"/>
          <w:szCs w:val="24"/>
          <w:lang w:val="en-US" w:eastAsia="zh-CN"/>
        </w:rPr>
        <w:t>3</w:t>
      </w:r>
      <w:r>
        <w:rPr>
          <w:rFonts w:hint="eastAsia" w:ascii="Times New Roman" w:hAnsi="Times New Roman" w:eastAsia="宋体" w:cs="Times New Roman"/>
          <w:snapToGrid/>
          <w:kern w:val="2"/>
          <w:sz w:val="24"/>
          <w:szCs w:val="24"/>
          <w:lang w:eastAsia="zh-CN"/>
        </w:rPr>
        <w:t>年</w:t>
      </w:r>
      <w:r>
        <w:rPr>
          <w:rFonts w:hint="eastAsia" w:ascii="Times New Roman" w:hAnsi="Times New Roman" w:eastAsia="宋体" w:cs="Times New Roman"/>
          <w:snapToGrid/>
          <w:kern w:val="2"/>
          <w:sz w:val="24"/>
          <w:szCs w:val="24"/>
          <w:highlight w:val="none"/>
          <w:lang w:eastAsia="zh-CN"/>
        </w:rPr>
        <w:t>1</w:t>
      </w:r>
      <w:r>
        <w:rPr>
          <w:rFonts w:hint="eastAsia" w:ascii="Times New Roman" w:hAnsi="Times New Roman" w:eastAsia="宋体" w:cs="Times New Roman"/>
          <w:snapToGrid/>
          <w:kern w:val="2"/>
          <w:sz w:val="24"/>
          <w:szCs w:val="24"/>
          <w:highlight w:val="none"/>
          <w:lang w:val="en-US" w:eastAsia="zh-CN"/>
        </w:rPr>
        <w:t>1</w:t>
      </w:r>
      <w:r>
        <w:rPr>
          <w:rFonts w:hint="eastAsia" w:ascii="Times New Roman" w:hAnsi="Times New Roman" w:eastAsia="宋体" w:cs="Times New Roman"/>
          <w:snapToGrid/>
          <w:kern w:val="2"/>
          <w:sz w:val="24"/>
          <w:szCs w:val="24"/>
          <w:highlight w:val="none"/>
          <w:lang w:eastAsia="zh-CN"/>
        </w:rPr>
        <w:t>月</w:t>
      </w:r>
      <w:r>
        <w:rPr>
          <w:rFonts w:hint="eastAsia" w:ascii="Times New Roman" w:hAnsi="Times New Roman" w:eastAsia="宋体" w:cs="Times New Roman"/>
          <w:snapToGrid/>
          <w:kern w:val="2"/>
          <w:sz w:val="24"/>
          <w:szCs w:val="24"/>
          <w:highlight w:val="none"/>
          <w:lang w:val="en-US" w:eastAsia="zh-CN"/>
        </w:rPr>
        <w:t>24</w:t>
      </w:r>
      <w:r>
        <w:rPr>
          <w:rFonts w:hint="eastAsia" w:ascii="Times New Roman" w:hAnsi="Times New Roman" w:eastAsia="宋体" w:cs="Times New Roman"/>
          <w:snapToGrid/>
          <w:kern w:val="2"/>
          <w:sz w:val="24"/>
          <w:szCs w:val="24"/>
          <w:highlight w:val="none"/>
          <w:lang w:eastAsia="zh-CN"/>
        </w:rPr>
        <w:t>日</w:t>
      </w:r>
      <w:r>
        <w:rPr>
          <w:rFonts w:hint="eastAsia" w:ascii="Times New Roman" w:hAnsi="Times New Roman" w:eastAsia="宋体" w:cs="Times New Roman"/>
          <w:snapToGrid/>
          <w:kern w:val="2"/>
          <w:sz w:val="24"/>
          <w:szCs w:val="24"/>
          <w:lang w:eastAsia="zh-CN"/>
        </w:rPr>
        <w:t>在第一环评网上进行了第二次网上公示（10个工作日），在网络公示的同时，建设单位在村委会张贴了公告公示，并于</w:t>
      </w:r>
      <w:r>
        <w:rPr>
          <w:rFonts w:hint="eastAsia" w:ascii="Times New Roman" w:hAnsi="Times New Roman" w:eastAsia="宋体" w:cs="Times New Roman"/>
          <w:snapToGrid/>
          <w:kern w:val="2"/>
          <w:sz w:val="24"/>
          <w:szCs w:val="24"/>
          <w:lang w:val="en-US" w:eastAsia="zh-CN"/>
        </w:rPr>
        <w:t>2023年12月11日和12月12日在</w:t>
      </w:r>
      <w:r>
        <w:rPr>
          <w:rFonts w:hint="eastAsia" w:ascii="Times New Roman" w:hAnsi="Times New Roman" w:eastAsia="宋体" w:cs="Times New Roman"/>
          <w:snapToGrid/>
          <w:kern w:val="2"/>
          <w:sz w:val="24"/>
          <w:szCs w:val="24"/>
          <w:lang w:eastAsia="zh-CN"/>
        </w:rPr>
        <w:t>《中国新闻》报进行了两次刊报公示，并编制了单独的《环境影响评价公众参与说明》。</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 xml:space="preserve">评价单位根据项目特点及区域环境特征，确定本次环境影响评价工作的主要内容如下： </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 xml:space="preserve">（1）结合项目建设内容开展工程分析。 </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 xml:space="preserve">（2）调查区域自然环境简况，开展环境质量现状调查与评价，确定保护的环境目标。 </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（3）贯彻节能减排和循环经济原则，落实污染源治理、达标排放和总量控制原则，从经济合理、技术可行的角度论证并优化、完善各项污染防治措施标。</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 xml:space="preserve">（4）预测和评价项目建设期及运营期各类污染物排放对评价区内环境质量影响的范围和程度，从环境保护的角度论证项目在该厂址建设的可行性及项目总图布置的合理性。 </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 xml:space="preserve">（5）开展环境经济损益分析。 </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（6）制定项目环境管理计划和环境监测计划，提出项目竣工环境保护验收重点。</w:t>
      </w:r>
    </w:p>
    <w:p>
      <w:pPr>
        <w:widowControl w:val="0"/>
        <w:kinsoku/>
        <w:autoSpaceDE/>
        <w:autoSpaceDN/>
        <w:adjustRightInd/>
        <w:snapToGrid/>
        <w:spacing w:line="360" w:lineRule="auto"/>
        <w:ind w:firstLine="480" w:firstLineChars="200"/>
        <w:jc w:val="both"/>
        <w:textAlignment w:val="auto"/>
      </w:pPr>
      <w:r>
        <w:rPr>
          <w:rFonts w:hint="eastAsia" w:ascii="Times New Roman" w:hAnsi="Times New Roman" w:eastAsia="宋体" w:cs="Times New Roman"/>
          <w:snapToGrid/>
          <w:kern w:val="2"/>
          <w:sz w:val="24"/>
          <w:szCs w:val="24"/>
          <w:lang w:eastAsia="zh-CN"/>
        </w:rPr>
        <w:t>建设项目环境影响评价工作分为三个阶段：即前期准备、调研和工作方案阶段；分析论证和预测评价阶段以及环评文件编制阶段，环评工作程序见图1-1。</w:t>
      </w:r>
    </w:p>
    <w:p>
      <w:pPr>
        <w:spacing w:line="11489" w:lineRule="exact"/>
      </w:pPr>
      <w:r>
        <w:rPr>
          <w:position w:val="-229"/>
        </w:rPr>
        <w:drawing>
          <wp:inline distT="0" distB="0" distL="0" distR="0">
            <wp:extent cx="5447665" cy="72948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7"/>
                    <a:stretch>
                      <a:fillRect/>
                    </a:stretch>
                  </pic:blipFill>
                  <pic:spPr>
                    <a:xfrm>
                      <a:off x="0" y="0"/>
                      <a:ext cx="5448299" cy="7295388"/>
                    </a:xfrm>
                    <a:prstGeom prst="rect">
                      <a:avLst/>
                    </a:prstGeom>
                  </pic:spPr>
                </pic:pic>
              </a:graphicData>
            </a:graphic>
          </wp:inline>
        </w:drawing>
      </w:r>
    </w:p>
    <w:p>
      <w:pPr>
        <w:spacing w:before="229" w:line="218" w:lineRule="auto"/>
        <w:jc w:val="center"/>
        <w:rPr>
          <w:rFonts w:ascii="宋体" w:hAnsi="宋体" w:eastAsia="宋体" w:cs="宋体"/>
          <w:sz w:val="24"/>
          <w:szCs w:val="24"/>
        </w:rPr>
      </w:pPr>
      <w:r>
        <w:rPr>
          <w:rFonts w:hint="eastAsia" w:ascii="宋体" w:hAnsi="宋体" w:eastAsia="宋体" w:cs="宋体"/>
          <w:b/>
          <w:bCs/>
          <w:sz w:val="24"/>
          <w:szCs w:val="24"/>
        </w:rPr>
        <w:t xml:space="preserve">图1-1       </w:t>
      </w:r>
      <w:r>
        <w:rPr>
          <w:rFonts w:hint="eastAsia" w:ascii="宋体" w:hAnsi="宋体" w:eastAsia="宋体" w:cs="宋体"/>
          <w:b/>
          <w:bCs/>
          <w:sz w:val="24"/>
          <w:szCs w:val="24"/>
          <w:lang w:eastAsia="zh-CN"/>
        </w:rPr>
        <w:t>本</w:t>
      </w:r>
      <w:r>
        <w:rPr>
          <w:rFonts w:hint="eastAsia" w:ascii="宋体" w:hAnsi="宋体" w:eastAsia="宋体" w:cs="宋体"/>
          <w:b/>
          <w:bCs/>
          <w:sz w:val="24"/>
          <w:szCs w:val="24"/>
        </w:rPr>
        <w:t>项目环境影响评价工作程序图</w:t>
      </w:r>
    </w:p>
    <w:p>
      <w:pPr>
        <w:spacing w:line="218" w:lineRule="auto"/>
        <w:rPr>
          <w:rFonts w:ascii="宋体" w:hAnsi="宋体" w:eastAsia="宋体" w:cs="宋体"/>
          <w:sz w:val="24"/>
          <w:szCs w:val="24"/>
        </w:rPr>
        <w:sectPr>
          <w:footerReference r:id="rId4" w:type="default"/>
          <w:pgSz w:w="11906" w:h="16839"/>
          <w:pgMar w:top="1431" w:right="1662" w:bottom="1475" w:left="1663" w:header="567" w:footer="850" w:gutter="0"/>
          <w:pgBorders>
            <w:top w:val="none" w:sz="0" w:space="0"/>
            <w:left w:val="none" w:sz="0" w:space="0"/>
            <w:bottom w:val="none" w:sz="0" w:space="0"/>
            <w:right w:val="none" w:sz="0" w:space="0"/>
          </w:pgBorders>
          <w:pgNumType w:fmt="numberInDash" w:start="1"/>
          <w:cols w:space="720" w:num="1"/>
        </w:sectPr>
      </w:pPr>
    </w:p>
    <w:p>
      <w:pPr>
        <w:pStyle w:val="4"/>
        <w:bidi w:val="0"/>
        <w:rPr>
          <w:sz w:val="28"/>
          <w:szCs w:val="20"/>
          <w:lang w:val="en-US" w:eastAsia="zh-CN"/>
        </w:rPr>
      </w:pPr>
      <w:bookmarkStart w:id="14" w:name="bookmark8"/>
      <w:bookmarkEnd w:id="14"/>
      <w:bookmarkStart w:id="15" w:name="bookmark7"/>
      <w:bookmarkEnd w:id="15"/>
      <w:bookmarkStart w:id="16" w:name="_Toc20349"/>
      <w:bookmarkStart w:id="17" w:name="_Toc13698"/>
      <w:bookmarkStart w:id="18" w:name="_Toc19208"/>
      <w:bookmarkStart w:id="19" w:name="_Toc9011"/>
      <w:bookmarkStart w:id="20" w:name="_Toc32003"/>
      <w:r>
        <w:rPr>
          <w:sz w:val="28"/>
          <w:szCs w:val="20"/>
          <w:lang w:val="en-US" w:eastAsia="zh-CN"/>
        </w:rPr>
        <w:t>1.</w:t>
      </w:r>
      <w:r>
        <w:rPr>
          <w:rFonts w:hint="eastAsia"/>
          <w:sz w:val="28"/>
          <w:szCs w:val="20"/>
          <w:lang w:val="en-US" w:eastAsia="zh-CN"/>
        </w:rPr>
        <w:t>4环保</w:t>
      </w:r>
      <w:r>
        <w:rPr>
          <w:sz w:val="28"/>
          <w:szCs w:val="20"/>
          <w:lang w:val="en-US" w:eastAsia="zh-CN"/>
        </w:rPr>
        <w:t>相关</w:t>
      </w:r>
      <w:r>
        <w:rPr>
          <w:rFonts w:hint="eastAsia"/>
          <w:sz w:val="28"/>
          <w:szCs w:val="20"/>
          <w:lang w:val="en-US" w:eastAsia="zh-CN"/>
        </w:rPr>
        <w:t>规划</w:t>
      </w:r>
      <w:r>
        <w:rPr>
          <w:sz w:val="28"/>
          <w:szCs w:val="20"/>
          <w:lang w:val="en-US" w:eastAsia="zh-CN"/>
        </w:rPr>
        <w:t>政策分析</w:t>
      </w:r>
      <w:bookmarkEnd w:id="16"/>
      <w:bookmarkEnd w:id="17"/>
      <w:bookmarkEnd w:id="18"/>
      <w:bookmarkEnd w:id="19"/>
      <w:bookmarkEnd w:id="20"/>
    </w:p>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8"/>
          <w:szCs w:val="28"/>
          <w:lang w:val="en-US" w:eastAsia="zh-CN" w:bidi="ar"/>
        </w:rPr>
        <w:t xml:space="preserve">1.4.1 </w:t>
      </w:r>
      <w:r>
        <w:rPr>
          <w:rFonts w:ascii="楷体" w:hAnsi="楷体" w:eastAsia="楷体" w:cs="楷体"/>
          <w:snapToGrid/>
          <w:color w:val="000000"/>
          <w:kern w:val="0"/>
          <w:sz w:val="28"/>
          <w:szCs w:val="28"/>
          <w:lang w:val="en-US" w:eastAsia="zh-CN" w:bidi="ar"/>
        </w:rPr>
        <w:t>与产业政策的相符性</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val="en-US" w:eastAsia="zh-CN"/>
        </w:rPr>
      </w:pPr>
      <w:r>
        <w:rPr>
          <w:rFonts w:hint="eastAsia" w:ascii="Times New Roman" w:hAnsi="Times New Roman" w:eastAsia="宋体" w:cs="Times New Roman"/>
          <w:kern w:val="0"/>
          <w:sz w:val="24"/>
          <w:szCs w:val="24"/>
          <w:lang w:val="en-US" w:eastAsia="zh-CN" w:bidi="ar-SA"/>
        </w:rPr>
        <w:t>根据《产业结构调整指导目录（2024年本）》，本项目包括牛羊的屠宰和肉制品的加工、保鲜、储运以及市场销售，属“鼓励类”第一项“农林牧渔业”</w:t>
      </w:r>
      <w:r>
        <w:rPr>
          <w:rFonts w:hint="eastAsia" w:ascii="Times New Roman" w:hAnsi="Times New Roman" w:eastAsia="宋体" w:cs="Times New Roman"/>
          <w:kern w:val="0"/>
          <w:sz w:val="24"/>
          <w:szCs w:val="24"/>
          <w:highlight w:val="none"/>
          <w:lang w:val="en-US" w:eastAsia="zh-CN" w:bidi="ar-SA"/>
        </w:rPr>
        <w:t>第8条“农产品仓储运输：农林牧渔产品储运、保鲜、加工与综合利用”，且本项目不属于“淘汰类”中第29条</w:t>
      </w:r>
      <w:r>
        <w:rPr>
          <w:rFonts w:hint="eastAsia" w:ascii="Times New Roman" w:hAnsi="Times New Roman" w:eastAsia="宋体" w:cs="Times New Roman"/>
          <w:kern w:val="0"/>
          <w:sz w:val="24"/>
          <w:szCs w:val="24"/>
          <w:lang w:val="en-US" w:eastAsia="zh-CN" w:bidi="ar-SA"/>
        </w:rPr>
        <w:t>“猪、牛、羊、禽手工屠宰工艺”（本项目屠宰以机械自动化为主，人工为辅），符合当前国家产业政策</w:t>
      </w:r>
      <w:r>
        <w:rPr>
          <w:rFonts w:hint="eastAsia" w:ascii="Times New Roman" w:hAnsi="Times New Roman" w:eastAsia="宋体" w:cs="Times New Roman"/>
          <w:snapToGrid/>
          <w:kern w:val="2"/>
          <w:sz w:val="24"/>
          <w:szCs w:val="24"/>
          <w:u w:val="none"/>
          <w:lang w:val="en-US" w:eastAsia="zh-CN"/>
        </w:rPr>
        <w:t>。</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val="en-US" w:eastAsia="zh-CN"/>
        </w:rPr>
      </w:pPr>
      <w:r>
        <w:rPr>
          <w:rFonts w:hint="eastAsia" w:ascii="Times New Roman" w:hAnsi="Times New Roman" w:eastAsia="宋体" w:cs="Times New Roman"/>
          <w:snapToGrid/>
          <w:kern w:val="2"/>
          <w:sz w:val="24"/>
          <w:szCs w:val="24"/>
          <w:u w:val="none"/>
          <w:lang w:val="en-US" w:eastAsia="zh-CN"/>
        </w:rPr>
        <w:t>根据《产业结构调整指导目录（2024年本）》，“限制类”中第十二项“轻工”第24条“年屠宰生猪15万头及以下、肉牛1万头及以下、肉羊15万只及以下、活禽1000万只及以下的屠宰建设项目（少数民族地区除外）”。本项目年屠宰肉牛1万头和肉羊15万只，按照肉牛和肉羊1:15的换算比例（GB18596），折算后本项目屠宰规模为年屠宰肉牛2万头（或肉羊30万只），超过了规定的屠宰规模，不属于“限制类”项目。</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eastAsia="zh-CN"/>
        </w:rPr>
      </w:pPr>
      <w:r>
        <w:rPr>
          <w:rFonts w:hint="eastAsia" w:ascii="Times New Roman" w:hAnsi="Times New Roman" w:eastAsia="宋体" w:cs="Times New Roman"/>
          <w:snapToGrid/>
          <w:kern w:val="2"/>
          <w:sz w:val="24"/>
          <w:szCs w:val="24"/>
          <w:u w:val="none"/>
          <w:lang w:val="en-US" w:eastAsia="zh-CN"/>
        </w:rPr>
        <w:t>此外，本项目所在地的马庄回族乡是河南省12个民族乡之一，属少数民族地区。综上，本项目符合当前国家产业政策</w:t>
      </w:r>
      <w:r>
        <w:rPr>
          <w:rFonts w:hint="eastAsia" w:ascii="Times New Roman" w:hAnsi="Times New Roman" w:eastAsia="宋体" w:cs="Times New Roman"/>
          <w:snapToGrid/>
          <w:kern w:val="2"/>
          <w:sz w:val="24"/>
          <w:szCs w:val="24"/>
          <w:u w:val="none"/>
          <w:lang w:eastAsia="zh-CN"/>
        </w:rPr>
        <w:t>。</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2"/>
          <w:sz w:val="24"/>
          <w:szCs w:val="24"/>
          <w:u w:val="none"/>
          <w:lang w:eastAsia="zh-CN"/>
        </w:rPr>
      </w:pPr>
      <w:r>
        <w:rPr>
          <w:rFonts w:hint="eastAsia" w:ascii="Times New Roman" w:hAnsi="Times New Roman" w:eastAsia="宋体" w:cs="Times New Roman"/>
          <w:snapToGrid/>
          <w:kern w:val="2"/>
          <w:sz w:val="24"/>
          <w:szCs w:val="24"/>
          <w:u w:val="none"/>
          <w:lang w:val="en-US" w:eastAsia="zh-CN"/>
        </w:rPr>
        <w:t>叶县2022年马庄乡张庄村畜产品精细加工物流园建设项目，已由叶县发展和改革委员会出具了文件，项目代码为：2205-410422-04-01-710458（见附件2）</w:t>
      </w:r>
      <w:r>
        <w:rPr>
          <w:rFonts w:hint="eastAsia" w:ascii="Times New Roman" w:hAnsi="Times New Roman" w:eastAsia="宋体" w:cs="Times New Roman"/>
          <w:snapToGrid/>
          <w:color w:val="000000"/>
          <w:kern w:val="2"/>
          <w:sz w:val="24"/>
          <w:szCs w:val="24"/>
          <w:u w:val="none"/>
          <w:lang w:eastAsia="zh-CN"/>
        </w:rPr>
        <w:t>。</w:t>
      </w:r>
    </w:p>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8"/>
          <w:szCs w:val="28"/>
          <w:lang w:val="en-US" w:eastAsia="zh-CN" w:bidi="ar"/>
        </w:rPr>
        <w:t xml:space="preserve">1.4.2 </w:t>
      </w:r>
      <w:r>
        <w:rPr>
          <w:rFonts w:ascii="楷体" w:hAnsi="楷体" w:eastAsia="楷体" w:cs="楷体"/>
          <w:snapToGrid/>
          <w:color w:val="000000"/>
          <w:kern w:val="0"/>
          <w:sz w:val="28"/>
          <w:szCs w:val="28"/>
          <w:lang w:val="en-US" w:eastAsia="zh-CN" w:bidi="ar"/>
        </w:rPr>
        <w:t xml:space="preserve">区域规划相符性分析 </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本项目位于叶县马庄乡张庄村，根据叶县自然资源局出具的证明</w:t>
      </w:r>
      <w:r>
        <w:rPr>
          <w:rFonts w:hint="eastAsia" w:ascii="Times New Roman" w:hAnsi="Times New Roman" w:eastAsia="宋体" w:cs="Times New Roman"/>
          <w:snapToGrid/>
          <w:color w:val="000000"/>
          <w:kern w:val="0"/>
          <w:sz w:val="24"/>
          <w:szCs w:val="24"/>
          <w:lang w:val="en-US" w:eastAsia="zh-CN" w:bidi="ar"/>
        </w:rPr>
        <w:t>（见附件4）</w:t>
      </w:r>
      <w:r>
        <w:rPr>
          <w:rFonts w:hint="default" w:ascii="Times New Roman" w:hAnsi="Times New Roman" w:eastAsia="宋体" w:cs="Times New Roman"/>
          <w:snapToGrid/>
          <w:color w:val="000000"/>
          <w:kern w:val="0"/>
          <w:sz w:val="24"/>
          <w:szCs w:val="24"/>
          <w:lang w:val="en-US" w:eastAsia="zh-CN" w:bidi="ar"/>
        </w:rPr>
        <w:t>，本项目位于叶县城镇开发边界外，与《叶县国土空间总体规划（2021-2035）》（报批版）城市规划区范围对比，项目不在城市规划区范围内，项目的建设符合叶县国土空间总体规划的要求。</w:t>
      </w:r>
    </w:p>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8"/>
          <w:szCs w:val="28"/>
          <w:lang w:val="en-US" w:eastAsia="zh-CN" w:bidi="ar"/>
        </w:rPr>
        <w:t>1.4.3</w:t>
      </w:r>
      <w:r>
        <w:rPr>
          <w:rFonts w:hint="eastAsia" w:ascii="楷体" w:hAnsi="楷体" w:eastAsia="楷体" w:cs="楷体"/>
          <w:snapToGrid/>
          <w:color w:val="000000"/>
          <w:kern w:val="0"/>
          <w:sz w:val="28"/>
          <w:szCs w:val="28"/>
          <w:lang w:val="en-US" w:eastAsia="zh-CN" w:bidi="ar"/>
        </w:rPr>
        <w:t>发改委批复</w:t>
      </w:r>
      <w:r>
        <w:rPr>
          <w:rFonts w:ascii="楷体" w:hAnsi="楷体" w:eastAsia="楷体" w:cs="楷体"/>
          <w:snapToGrid/>
          <w:color w:val="000000"/>
          <w:kern w:val="0"/>
          <w:sz w:val="28"/>
          <w:szCs w:val="28"/>
          <w:lang w:val="en-US" w:eastAsia="zh-CN" w:bidi="ar"/>
        </w:rPr>
        <w:t>相符性分析</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1-1</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项目实际建设内容与发改委批复相符性分析一览表</w:t>
      </w:r>
    </w:p>
    <w:tbl>
      <w:tblPr>
        <w:tblStyle w:val="21"/>
        <w:tblW w:w="88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499"/>
        <w:gridCol w:w="3277"/>
        <w:gridCol w:w="10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分类</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eastAsia" w:ascii="Times New Roman" w:hAnsi="Times New Roman" w:cs="Times New Roman"/>
                <w:color w:val="000000"/>
                <w:sz w:val="21"/>
                <w:szCs w:val="21"/>
                <w:vertAlign w:val="baseline"/>
                <w:lang w:val="en-US" w:eastAsia="zh-CN" w:bidi="ar"/>
              </w:rPr>
              <w:t>批复</w:t>
            </w:r>
            <w:r>
              <w:rPr>
                <w:rFonts w:hint="default" w:ascii="Times New Roman" w:hAnsi="Times New Roman" w:cs="Times New Roman"/>
                <w:color w:val="000000"/>
                <w:sz w:val="21"/>
                <w:szCs w:val="21"/>
                <w:vertAlign w:val="baseline"/>
                <w:lang w:val="en-US" w:eastAsia="zh-CN" w:bidi="ar"/>
              </w:rPr>
              <w:t>内容</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实际建设内容</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项目名称</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叶县2022年马庄乡张庄村畜产品精细加工物流园建设项目</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叶县2022年马庄乡张庄村畜产品精细加工物流园建设项目</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项目编码</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sz w:val="21"/>
                <w:szCs w:val="21"/>
                <w:u w:val="none"/>
                <w:lang w:val="en-US" w:eastAsia="zh-CN"/>
              </w:rPr>
              <w:t>2205-410422-04-01-710458</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
              </w:rPr>
            </w:pPr>
            <w:r>
              <w:rPr>
                <w:rFonts w:hint="default" w:ascii="Times New Roman" w:hAnsi="Times New Roman" w:cs="Times New Roman"/>
                <w:sz w:val="21"/>
                <w:szCs w:val="21"/>
                <w:u w:val="none"/>
                <w:lang w:val="en-US" w:eastAsia="zh-CN"/>
              </w:rPr>
              <w:t>2205-410422-04-01-710458</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建设地点</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叶县马庄回族乡昆阳大道南段东侧</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叶县马庄回族乡昆阳大道南段东侧</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建设内容及规模</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建设内容：包含土建工程，给排水工程，电气工程，暖通工程、室外配套工程及设备采购等。</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建设内容：包含土建工程，给排水工程，电气工程，暖通工程、室外配套工程及设备采购等。</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建设规模：计划建设牛羊吊宰生产线(含排酸预冷间)，牛羊待率圈、精细分割加工车间各1个，面积共5230m</w:t>
            </w:r>
            <w:r>
              <w:rPr>
                <w:rFonts w:hint="default" w:ascii="Times New Roman" w:hAnsi="Times New Roman" w:cs="Times New Roman"/>
                <w:color w:val="000000"/>
                <w:sz w:val="21"/>
                <w:szCs w:val="21"/>
                <w:vertAlign w:val="superscript"/>
                <w:lang w:val="en-US" w:eastAsia="zh-CN" w:bidi="ar"/>
              </w:rPr>
              <w:t>2</w:t>
            </w:r>
            <w:r>
              <w:rPr>
                <w:rFonts w:hint="default" w:ascii="Times New Roman" w:hAnsi="Times New Roman" w:cs="Times New Roman"/>
                <w:color w:val="000000"/>
                <w:sz w:val="21"/>
                <w:szCs w:val="21"/>
                <w:vertAlign w:val="baseline"/>
                <w:lang w:val="en-US" w:eastAsia="zh-CN" w:bidi="ar"/>
              </w:rPr>
              <w:t>，储量1500吨冷库一座，面积800m</w:t>
            </w:r>
            <w:r>
              <w:rPr>
                <w:rFonts w:hint="default" w:ascii="Times New Roman" w:hAnsi="Times New Roman" w:cs="Times New Roman"/>
                <w:color w:val="000000"/>
                <w:sz w:val="21"/>
                <w:szCs w:val="21"/>
                <w:vertAlign w:val="superscript"/>
                <w:lang w:val="en-US" w:eastAsia="zh-CN" w:bidi="ar"/>
              </w:rPr>
              <w:t>2</w:t>
            </w:r>
            <w:r>
              <w:rPr>
                <w:rFonts w:hint="default" w:ascii="Times New Roman" w:hAnsi="Times New Roman" w:cs="Times New Roman"/>
                <w:color w:val="000000"/>
                <w:sz w:val="21"/>
                <w:szCs w:val="21"/>
                <w:vertAlign w:val="baseline"/>
                <w:lang w:val="en-US" w:eastAsia="zh-CN" w:bidi="ar"/>
              </w:rPr>
              <w:t>，生鲜牛羊肉批发市场40间，面积800m</w:t>
            </w:r>
            <w:r>
              <w:rPr>
                <w:rFonts w:hint="default" w:ascii="Times New Roman" w:hAnsi="Times New Roman" w:cs="Times New Roman"/>
                <w:color w:val="000000"/>
                <w:sz w:val="21"/>
                <w:szCs w:val="21"/>
                <w:vertAlign w:val="superscript"/>
                <w:lang w:val="en-US" w:eastAsia="zh-CN" w:bidi="ar"/>
              </w:rPr>
              <w:t>2</w:t>
            </w:r>
            <w:r>
              <w:rPr>
                <w:rFonts w:hint="default" w:ascii="Times New Roman" w:hAnsi="Times New Roman" w:cs="Times New Roman"/>
                <w:color w:val="000000"/>
                <w:sz w:val="21"/>
                <w:szCs w:val="21"/>
                <w:vertAlign w:val="baseline"/>
                <w:lang w:val="en-US" w:eastAsia="zh-CN" w:bidi="ar"/>
              </w:rPr>
              <w:t>及案台、污水处理、化验室等相关配套设施；建设厂区道路铺设面积600平方米，二层混凝土钢骨架办公楼一栋10间，建筑面积660平方米；购买主要设备包括：购买冷库制冷配套设备1套；清洗机、牛头留脑劈半机、牛劈半锯机、双筒牛头牛蹄烫脱毛机一体、牛扯皮机、羊斜立扯皮机、转挂剥皮机、液压扒皮机、排酸机、剔骨机、分割机、包装机、传送系统等设备。该项目建成后，屠宰能力“年屠宰肉牛1万头，肉羊15万只”。</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建设规模：计划建设牛羊吊宰生产线(含排酸预冷间)，牛羊待率圈、精细分割加工车间各1个，面积共5230m</w:t>
            </w:r>
            <w:r>
              <w:rPr>
                <w:rFonts w:hint="default" w:ascii="Times New Roman" w:hAnsi="Times New Roman" w:cs="Times New Roman"/>
                <w:color w:val="000000"/>
                <w:sz w:val="21"/>
                <w:szCs w:val="21"/>
                <w:vertAlign w:val="superscript"/>
                <w:lang w:val="en-US" w:eastAsia="zh-CN" w:bidi="ar"/>
              </w:rPr>
              <w:t>2</w:t>
            </w:r>
            <w:r>
              <w:rPr>
                <w:rFonts w:hint="default" w:ascii="Times New Roman" w:hAnsi="Times New Roman" w:cs="Times New Roman"/>
                <w:color w:val="000000"/>
                <w:sz w:val="21"/>
                <w:szCs w:val="21"/>
                <w:vertAlign w:val="baseline"/>
                <w:lang w:val="en-US" w:eastAsia="zh-CN" w:bidi="ar"/>
              </w:rPr>
              <w:t>，储量1500吨冷库一座，面积800m</w:t>
            </w:r>
            <w:r>
              <w:rPr>
                <w:rFonts w:hint="default" w:ascii="Times New Roman" w:hAnsi="Times New Roman" w:cs="Times New Roman"/>
                <w:color w:val="000000"/>
                <w:sz w:val="21"/>
                <w:szCs w:val="21"/>
                <w:vertAlign w:val="superscript"/>
                <w:lang w:val="en-US" w:eastAsia="zh-CN" w:bidi="ar"/>
              </w:rPr>
              <w:t>2</w:t>
            </w:r>
            <w:r>
              <w:rPr>
                <w:rFonts w:hint="default" w:ascii="Times New Roman" w:hAnsi="Times New Roman" w:cs="Times New Roman"/>
                <w:color w:val="000000"/>
                <w:sz w:val="21"/>
                <w:szCs w:val="21"/>
                <w:vertAlign w:val="baseline"/>
                <w:lang w:val="en-US" w:eastAsia="zh-CN" w:bidi="ar"/>
              </w:rPr>
              <w:t>，生鲜牛羊肉批发市场40间，面积800m</w:t>
            </w:r>
            <w:r>
              <w:rPr>
                <w:rFonts w:hint="default" w:ascii="Times New Roman" w:hAnsi="Times New Roman" w:cs="Times New Roman"/>
                <w:color w:val="000000"/>
                <w:sz w:val="21"/>
                <w:szCs w:val="21"/>
                <w:vertAlign w:val="superscript"/>
                <w:lang w:val="en-US" w:eastAsia="zh-CN" w:bidi="ar"/>
              </w:rPr>
              <w:t>2</w:t>
            </w:r>
            <w:r>
              <w:rPr>
                <w:rFonts w:hint="default" w:ascii="Times New Roman" w:hAnsi="Times New Roman" w:cs="Times New Roman"/>
                <w:color w:val="000000"/>
                <w:sz w:val="21"/>
                <w:szCs w:val="21"/>
                <w:vertAlign w:val="baseline"/>
                <w:lang w:val="en-US" w:eastAsia="zh-CN" w:bidi="ar"/>
              </w:rPr>
              <w:t>及案台、污水处理、化验室等相关配套设施；建设厂区道路铺设面积600平方米，二层混凝土钢骨架办公楼一栋10间，建筑面积660平方米；购买主要设备包括：购买冷库制冷配套设备1套；清洗机、牛头留脑劈半机、牛劈半锯机、双筒牛头牛蹄烫脱毛机一体、牛扯皮机、羊斜立扯皮机、转挂剥皮机、液压扒皮机、排酸机、剔骨机、分割机、包装机、传送系统等设备。该项目建成后，屠宰能力“年屠宰肉牛1万头，肉羊15万只”。</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建设期限</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计划建设6个月</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6个月</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项目投资估算及资金来源</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项目总投资2074.53万元，其中工程建设费用1972.00万元，工程建设其他费用61.85万元，基本预备费40.68万元。</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按照要求执行</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资金来源：50%由财政资金配套落实，其余50%资金由叶县迪可清真食品有限公司牵头，村集怀、村三委干部、党员群众及致富专头人共同筹集。</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按照要求执行</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项目效益</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通过实施该项目，可以规范当地牛羊屠宰市场，为当地居民，提供就业岗位，调动农民养殖的生产积极性。</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按照要求执行</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项目招投标</w:t>
            </w:r>
          </w:p>
        </w:tc>
        <w:tc>
          <w:tcPr>
            <w:tcW w:w="34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严格执行本批复文件对项目招标方案的核准意见，并向有关行政监督部门备案，依法依规做好招投标工作。</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请你单位根据本批复文件委托有相应资质的咨询公司编制项目初步设计及概算报我委审批。</w:t>
            </w:r>
          </w:p>
        </w:tc>
        <w:tc>
          <w:tcPr>
            <w:tcW w:w="32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按照要求执行</w:t>
            </w:r>
          </w:p>
        </w:tc>
        <w:tc>
          <w:tcPr>
            <w:tcW w:w="10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vertAlign w:val="baseline"/>
                <w:lang w:val="en-US" w:eastAsia="zh-CN" w:bidi="ar"/>
              </w:rPr>
            </w:pPr>
            <w:r>
              <w:rPr>
                <w:rFonts w:hint="default" w:ascii="Times New Roman" w:hAnsi="Times New Roman" w:cs="Times New Roman"/>
                <w:color w:val="000000"/>
                <w:sz w:val="21"/>
                <w:szCs w:val="21"/>
                <w:vertAlign w:val="baseline"/>
                <w:lang w:val="en-US" w:eastAsia="zh-CN" w:bidi="ar"/>
              </w:rPr>
              <w:t>相符</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leftChars="0" w:firstLine="480" w:firstLineChars="200"/>
        <w:textAlignment w:val="baseline"/>
        <w:rPr>
          <w:rFonts w:hint="eastAsia" w:cs="Times New Roman"/>
          <w:color w:val="000000"/>
          <w:sz w:val="24"/>
          <w:szCs w:val="24"/>
          <w:lang w:val="en-US" w:eastAsia="zh-CN" w:bidi="ar"/>
        </w:rPr>
      </w:pPr>
      <w:r>
        <w:rPr>
          <w:rFonts w:hint="eastAsia" w:cs="Times New Roman"/>
          <w:color w:val="000000"/>
          <w:sz w:val="24"/>
          <w:szCs w:val="24"/>
          <w:lang w:val="en-US" w:eastAsia="zh-CN" w:bidi="ar"/>
        </w:rPr>
        <w:t>根据以上对比可知，本项目名称、建设单位、建设地点、投资、建设性质、建设内容、生产工艺与生产设备均与发改委批复文件相一致。</w:t>
      </w:r>
    </w:p>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8"/>
          <w:szCs w:val="28"/>
          <w:lang w:val="en-US" w:eastAsia="zh-CN" w:bidi="ar"/>
        </w:rPr>
        <w:t xml:space="preserve">1.4.4 </w:t>
      </w:r>
      <w:r>
        <w:rPr>
          <w:rFonts w:ascii="楷体" w:hAnsi="楷体" w:eastAsia="楷体" w:cs="楷体"/>
          <w:snapToGrid/>
          <w:color w:val="000000"/>
          <w:kern w:val="0"/>
          <w:sz w:val="28"/>
          <w:szCs w:val="28"/>
          <w:lang w:val="en-US" w:eastAsia="zh-CN" w:bidi="ar"/>
        </w:rPr>
        <w:t xml:space="preserve">与“三线一单”相符性分析 </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根据生态环境部《关于实施“三线一单”生态环境分区管控的指导意见（试行）》（环环评〔</w:t>
      </w:r>
      <w:r>
        <w:rPr>
          <w:rFonts w:hint="default" w:ascii="Times New Roman" w:hAnsi="Times New Roman" w:eastAsia="宋体" w:cs="Times New Roman"/>
          <w:snapToGrid/>
          <w:color w:val="000000"/>
          <w:kern w:val="0"/>
          <w:sz w:val="24"/>
          <w:szCs w:val="24"/>
          <w:lang w:val="en-US" w:eastAsia="zh-CN" w:bidi="ar"/>
        </w:rPr>
        <w:t>2021</w:t>
      </w:r>
      <w:r>
        <w:rPr>
          <w:rFonts w:hint="eastAsia" w:ascii="宋体" w:hAnsi="宋体" w:eastAsia="宋体" w:cs="宋体"/>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108</w:t>
      </w:r>
      <w:r>
        <w:rPr>
          <w:rFonts w:hint="eastAsia" w:ascii="宋体" w:hAnsi="宋体" w:eastAsia="宋体" w:cs="宋体"/>
          <w:snapToGrid/>
          <w:color w:val="000000"/>
          <w:kern w:val="0"/>
          <w:sz w:val="24"/>
          <w:szCs w:val="24"/>
          <w:lang w:val="en-US" w:eastAsia="zh-CN" w:bidi="ar"/>
        </w:rPr>
        <w:t xml:space="preserve">号），“三线一单”是指：生态保护红线、环境质量底线、资源利用上线和生态环境准入清单。 </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1</w:t>
      </w:r>
      <w:r>
        <w:rPr>
          <w:rFonts w:hint="eastAsia" w:ascii="宋体" w:hAnsi="宋体" w:eastAsia="宋体" w:cs="宋体"/>
          <w:snapToGrid/>
          <w:color w:val="000000"/>
          <w:kern w:val="0"/>
          <w:sz w:val="24"/>
          <w:szCs w:val="24"/>
          <w:lang w:val="en-US" w:eastAsia="zh-CN" w:bidi="ar"/>
        </w:rPr>
        <w:t>）生态保护红线</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根据《平顶山市人民政府关于实施“三线一单”生态环境分区管控的意见》，</w:t>
      </w:r>
      <w:r>
        <w:rPr>
          <w:rFonts w:hint="eastAsia" w:ascii="Times New Roman" w:hAnsi="Times New Roman" w:eastAsia="宋体" w:cs="Times New Roman"/>
          <w:snapToGrid/>
          <w:color w:val="000000"/>
          <w:kern w:val="0"/>
          <w:sz w:val="24"/>
          <w:szCs w:val="24"/>
          <w:lang w:val="en-US" w:eastAsia="zh-CN" w:bidi="ar"/>
        </w:rPr>
        <w:t>叶县</w:t>
      </w:r>
      <w:r>
        <w:rPr>
          <w:rFonts w:hint="default" w:ascii="Times New Roman" w:hAnsi="Times New Roman" w:eastAsia="宋体" w:cs="Times New Roman"/>
          <w:snapToGrid/>
          <w:color w:val="000000"/>
          <w:kern w:val="0"/>
          <w:sz w:val="24"/>
          <w:szCs w:val="24"/>
          <w:lang w:val="en-US" w:eastAsia="zh-CN" w:bidi="ar"/>
        </w:rPr>
        <w:t>生态保护红线位于</w:t>
      </w:r>
      <w:r>
        <w:rPr>
          <w:rFonts w:hint="eastAsia" w:ascii="Times New Roman" w:hAnsi="Times New Roman" w:eastAsia="宋体" w:cs="Times New Roman"/>
          <w:snapToGrid/>
          <w:color w:val="000000"/>
          <w:kern w:val="0"/>
          <w:sz w:val="24"/>
          <w:szCs w:val="24"/>
          <w:highlight w:val="none"/>
          <w:lang w:val="en-US" w:eastAsia="zh-CN" w:bidi="ar"/>
        </w:rPr>
        <w:t>常村乡</w:t>
      </w:r>
      <w:r>
        <w:rPr>
          <w:rFonts w:hint="default" w:ascii="Times New Roman" w:hAnsi="Times New Roman" w:eastAsia="宋体" w:cs="Times New Roman"/>
          <w:snapToGrid/>
          <w:color w:val="000000"/>
          <w:kern w:val="0"/>
          <w:sz w:val="24"/>
          <w:szCs w:val="24"/>
          <w:highlight w:val="none"/>
          <w:lang w:val="en-US" w:eastAsia="zh-CN" w:bidi="ar"/>
        </w:rPr>
        <w:t>、</w:t>
      </w:r>
      <w:r>
        <w:rPr>
          <w:rFonts w:hint="eastAsia" w:ascii="Times New Roman" w:hAnsi="Times New Roman" w:eastAsia="宋体" w:cs="Times New Roman"/>
          <w:snapToGrid/>
          <w:color w:val="000000"/>
          <w:kern w:val="0"/>
          <w:sz w:val="24"/>
          <w:szCs w:val="24"/>
          <w:highlight w:val="none"/>
          <w:lang w:val="en-US" w:eastAsia="zh-CN" w:bidi="ar"/>
        </w:rPr>
        <w:t>保安镇</w:t>
      </w:r>
      <w:r>
        <w:rPr>
          <w:rFonts w:hint="default" w:ascii="Times New Roman" w:hAnsi="Times New Roman" w:eastAsia="宋体" w:cs="Times New Roman"/>
          <w:snapToGrid/>
          <w:color w:val="000000"/>
          <w:kern w:val="0"/>
          <w:sz w:val="24"/>
          <w:szCs w:val="24"/>
          <w:lang w:val="en-US" w:eastAsia="zh-CN" w:bidi="ar"/>
        </w:rPr>
        <w:t>。本项目位于</w:t>
      </w:r>
      <w:r>
        <w:rPr>
          <w:rFonts w:hint="eastAsia" w:ascii="Times New Roman" w:hAnsi="Times New Roman" w:eastAsia="宋体" w:cs="Times New Roman"/>
          <w:snapToGrid/>
          <w:color w:val="000000"/>
          <w:kern w:val="0"/>
          <w:sz w:val="24"/>
          <w:szCs w:val="24"/>
          <w:lang w:val="en-US" w:eastAsia="zh-CN" w:bidi="ar"/>
        </w:rPr>
        <w:t>叶县马庄乡张庄村</w:t>
      </w:r>
      <w:r>
        <w:rPr>
          <w:rFonts w:hint="default" w:ascii="Times New Roman" w:hAnsi="Times New Roman" w:eastAsia="宋体" w:cs="Times New Roman"/>
          <w:snapToGrid/>
          <w:color w:val="000000"/>
          <w:kern w:val="0"/>
          <w:sz w:val="24"/>
          <w:szCs w:val="24"/>
          <w:lang w:val="en-US" w:eastAsia="zh-CN" w:bidi="ar"/>
        </w:rPr>
        <w:t>，本项目选址不在</w:t>
      </w:r>
      <w:r>
        <w:rPr>
          <w:rFonts w:hint="eastAsia" w:ascii="Times New Roman" w:hAnsi="Times New Roman" w:eastAsia="宋体" w:cs="Times New Roman"/>
          <w:snapToGrid/>
          <w:color w:val="000000"/>
          <w:kern w:val="0"/>
          <w:sz w:val="24"/>
          <w:szCs w:val="24"/>
          <w:lang w:val="en-US" w:eastAsia="zh-CN" w:bidi="ar"/>
        </w:rPr>
        <w:t>叶县</w:t>
      </w:r>
      <w:r>
        <w:rPr>
          <w:rFonts w:hint="default" w:ascii="Times New Roman" w:hAnsi="Times New Roman" w:eastAsia="宋体" w:cs="Times New Roman"/>
          <w:snapToGrid/>
          <w:color w:val="000000"/>
          <w:kern w:val="0"/>
          <w:sz w:val="24"/>
          <w:szCs w:val="24"/>
          <w:lang w:val="en-US" w:eastAsia="zh-CN" w:bidi="ar"/>
        </w:rPr>
        <w:t>生态红线区域范围内。</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w:t>
      </w:r>
      <w:r>
        <w:rPr>
          <w:rFonts w:hint="default" w:ascii="Times New Roman" w:hAnsi="Times New Roman" w:eastAsia="宋体" w:cs="Times New Roman"/>
          <w:snapToGrid/>
          <w:kern w:val="2"/>
          <w:sz w:val="24"/>
          <w:szCs w:val="24"/>
          <w:lang w:val="en-US" w:eastAsia="zh-CN"/>
        </w:rPr>
        <w:t>2</w:t>
      </w:r>
      <w:r>
        <w:rPr>
          <w:rFonts w:hint="eastAsia" w:ascii="Times New Roman" w:hAnsi="Times New Roman" w:eastAsia="宋体" w:cs="Times New Roman"/>
          <w:snapToGrid/>
          <w:kern w:val="2"/>
          <w:sz w:val="24"/>
          <w:szCs w:val="24"/>
          <w:lang w:val="en-US" w:eastAsia="zh-CN"/>
        </w:rPr>
        <w:t>）资源利用上线</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本项目选址不在河南省高污染燃料禁燃区，其营运过程中能源消耗为电能，不消耗煤炭、石油等能源；项目不在地下水开采重点管控区，同时本项目本身也采取各种节水措施节约水资源；项目占地类型为建设用地，不占用基本农田和耕地；符合平顶山市资源利用上线要求。</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w:t>
      </w:r>
      <w:r>
        <w:rPr>
          <w:rFonts w:hint="default" w:ascii="Times New Roman" w:hAnsi="Times New Roman" w:eastAsia="宋体" w:cs="Times New Roman"/>
          <w:snapToGrid/>
          <w:kern w:val="2"/>
          <w:sz w:val="24"/>
          <w:szCs w:val="24"/>
          <w:lang w:val="en-US" w:eastAsia="zh-CN"/>
        </w:rPr>
        <w:t>3</w:t>
      </w:r>
      <w:r>
        <w:rPr>
          <w:rFonts w:hint="eastAsia" w:ascii="Times New Roman" w:hAnsi="Times New Roman" w:eastAsia="宋体" w:cs="Times New Roman"/>
          <w:snapToGrid/>
          <w:kern w:val="2"/>
          <w:sz w:val="24"/>
          <w:szCs w:val="24"/>
          <w:lang w:val="en-US" w:eastAsia="zh-CN"/>
        </w:rPr>
        <w:t xml:space="preserve">）环境质量底线 </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t>根据生态环境部《关于实施“三线一单 ”生态环境分区管控的指导意见（试行）》 （环环评〔2021〕108号），环境质量底线指以环境质量不下降为底线。本项目属于屠宰行业，其营运后屠宰车间及污水处理站恶臭气体经生物除臭装置处理后通过15m高排气筒排放，可以实现达标排放。项目</w:t>
      </w:r>
      <w:r>
        <w:rPr>
          <w:rFonts w:hint="eastAsia" w:ascii="Times New Roman" w:hAnsi="Times New Roman" w:eastAsia="宋体" w:cs="Times New Roman"/>
          <w:snapToGrid/>
          <w:kern w:val="2"/>
          <w:sz w:val="24"/>
          <w:szCs w:val="24"/>
          <w:lang w:eastAsia="zh-CN"/>
        </w:rPr>
        <w:t>废水</w:t>
      </w:r>
      <w:r>
        <w:rPr>
          <w:rFonts w:ascii="Times New Roman" w:hAnsi="Times New Roman" w:eastAsia="宋体" w:cs="Times New Roman"/>
          <w:snapToGrid/>
          <w:kern w:val="2"/>
          <w:sz w:val="24"/>
          <w:szCs w:val="24"/>
          <w:lang w:eastAsia="zh-CN"/>
        </w:rPr>
        <w:t>经厂区污水站处理后</w:t>
      </w:r>
      <w:r>
        <w:rPr>
          <w:rFonts w:hint="eastAsia" w:ascii="Times New Roman" w:hAnsi="Times New Roman" w:eastAsia="宋体" w:cs="Times New Roman"/>
          <w:snapToGrid/>
          <w:kern w:val="2"/>
          <w:sz w:val="24"/>
          <w:szCs w:val="24"/>
          <w:lang w:eastAsia="zh-CN"/>
        </w:rPr>
        <w:t>，达标排放。本项目外排废水经市政污水管网，由西往东汇入叶公大道污水干管，并最终经叶舞路主干管</w:t>
      </w:r>
      <w:r>
        <w:rPr>
          <w:rFonts w:ascii="Times New Roman" w:hAnsi="Times New Roman" w:eastAsia="宋体" w:cs="Times New Roman"/>
          <w:snapToGrid/>
          <w:kern w:val="2"/>
          <w:sz w:val="24"/>
          <w:szCs w:val="24"/>
          <w:lang w:eastAsia="zh-CN"/>
        </w:rPr>
        <w:t>排入</w:t>
      </w:r>
      <w:r>
        <w:rPr>
          <w:rFonts w:hint="eastAsia" w:ascii="Times New Roman" w:hAnsi="Times New Roman" w:eastAsia="宋体" w:cs="Times New Roman"/>
          <w:snapToGrid/>
          <w:kern w:val="2"/>
          <w:sz w:val="24"/>
          <w:szCs w:val="24"/>
          <w:lang w:eastAsia="zh-CN"/>
        </w:rPr>
        <w:t>叶县县城</w:t>
      </w:r>
      <w:r>
        <w:rPr>
          <w:rFonts w:ascii="Times New Roman" w:hAnsi="Times New Roman" w:eastAsia="宋体" w:cs="Times New Roman"/>
          <w:snapToGrid/>
          <w:kern w:val="2"/>
          <w:sz w:val="24"/>
          <w:szCs w:val="24"/>
          <w:lang w:eastAsia="zh-CN"/>
        </w:rPr>
        <w:t>污水处理厂。由此可知，本项目建设符合环境质量底线要求。</w:t>
      </w:r>
    </w:p>
    <w:p>
      <w:pPr>
        <w:widowControl/>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（4）生态环境准入清单</w:t>
      </w:r>
    </w:p>
    <w:p>
      <w:pPr>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①平台信息</w:t>
      </w:r>
    </w:p>
    <w:p>
      <w:pPr>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通过登录“河南省三线一单综合信息应用平台”（见附图十二），并结合本项目的具体位置，生成《河南“三线一单”建设项目准入研判分析报告》，得到以下信息：</w:t>
      </w:r>
    </w:p>
    <w:p>
      <w:pPr>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default"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a、空间冲突</w:t>
      </w:r>
    </w:p>
    <w:p>
      <w:pPr>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经研判，初步判定该项目无空间冲突，最终结果以自然资源部门提供的为准。</w:t>
      </w:r>
    </w:p>
    <w:p>
      <w:pPr>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b、项目涉及的各类管控分区有关情况</w:t>
      </w:r>
    </w:p>
    <w:p>
      <w:pPr>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default" w:ascii="Times New Roman" w:hAnsi="Times New Roman" w:eastAsia="宋体" w:cs="Times New Roman"/>
          <w:snapToGrid/>
          <w:color w:val="000000"/>
          <w:kern w:val="2"/>
          <w:sz w:val="24"/>
          <w:szCs w:val="24"/>
          <w:u w:val="single"/>
          <w:lang w:val="en-US" w:eastAsia="zh-CN" w:bidi="ar"/>
        </w:rPr>
      </w:pPr>
      <w:r>
        <w:rPr>
          <w:rFonts w:hint="default" w:ascii="Times New Roman" w:hAnsi="Times New Roman" w:eastAsia="宋体" w:cs="Times New Roman"/>
          <w:snapToGrid/>
          <w:color w:val="000000"/>
          <w:kern w:val="2"/>
          <w:sz w:val="24"/>
          <w:szCs w:val="24"/>
          <w:u w:val="single"/>
          <w:lang w:val="en-US" w:eastAsia="zh-CN" w:bidi="ar"/>
        </w:rPr>
        <w:t>根据管控单元压占分析，项目建设区域涉及4个生态环境管控单元，其中优先保护单元0个</w:t>
      </w:r>
      <w:r>
        <w:rPr>
          <w:rFonts w:hint="eastAsia" w:ascii="Times New Roman" w:hAnsi="Times New Roman" w:eastAsia="宋体" w:cs="Times New Roman"/>
          <w:snapToGrid/>
          <w:color w:val="000000"/>
          <w:kern w:val="2"/>
          <w:sz w:val="24"/>
          <w:szCs w:val="24"/>
          <w:u w:val="single"/>
          <w:lang w:val="en-US" w:eastAsia="zh-CN" w:bidi="ar"/>
        </w:rPr>
        <w:t>，</w:t>
      </w:r>
      <w:r>
        <w:rPr>
          <w:rFonts w:hint="default" w:ascii="Times New Roman" w:hAnsi="Times New Roman" w:eastAsia="宋体" w:cs="Times New Roman"/>
          <w:snapToGrid/>
          <w:color w:val="000000"/>
          <w:kern w:val="2"/>
          <w:sz w:val="24"/>
          <w:szCs w:val="24"/>
          <w:u w:val="single"/>
          <w:lang w:val="en-US" w:eastAsia="zh-CN" w:bidi="ar"/>
        </w:rPr>
        <w:t>重点管控单元2个</w:t>
      </w:r>
      <w:r>
        <w:rPr>
          <w:rFonts w:hint="eastAsia" w:ascii="Times New Roman" w:hAnsi="Times New Roman" w:eastAsia="宋体" w:cs="Times New Roman"/>
          <w:snapToGrid/>
          <w:color w:val="000000"/>
          <w:kern w:val="2"/>
          <w:sz w:val="24"/>
          <w:szCs w:val="24"/>
          <w:u w:val="single"/>
          <w:lang w:val="en-US" w:eastAsia="zh-CN" w:bidi="ar"/>
        </w:rPr>
        <w:t>叶县大气重点单元（编码：ZH41042220005）和弱扩散重点管控区（编码：YS4104222330001），</w:t>
      </w:r>
      <w:r>
        <w:rPr>
          <w:rFonts w:hint="default" w:ascii="Times New Roman" w:hAnsi="Times New Roman" w:eastAsia="宋体" w:cs="Times New Roman"/>
          <w:snapToGrid/>
          <w:color w:val="000000"/>
          <w:kern w:val="2"/>
          <w:sz w:val="24"/>
          <w:szCs w:val="24"/>
          <w:u w:val="single"/>
          <w:lang w:val="en-US" w:eastAsia="zh-CN" w:bidi="ar"/>
        </w:rPr>
        <w:t>一般管控单元2个</w:t>
      </w:r>
      <w:r>
        <w:rPr>
          <w:rFonts w:hint="eastAsia" w:ascii="Times New Roman" w:hAnsi="Times New Roman" w:eastAsia="宋体" w:cs="Times New Roman"/>
          <w:snapToGrid/>
          <w:color w:val="000000"/>
          <w:kern w:val="2"/>
          <w:sz w:val="24"/>
          <w:szCs w:val="24"/>
          <w:u w:val="single"/>
          <w:lang w:val="en-US" w:eastAsia="zh-CN" w:bidi="ar"/>
        </w:rPr>
        <w:t>河南省平顶山市叶县其他区域1（编码：YS4104223110001）和灰河平顶山灰河叶县控制单元（编码：YS4104223210043）</w:t>
      </w:r>
      <w:r>
        <w:rPr>
          <w:rFonts w:hint="default" w:ascii="Times New Roman" w:hAnsi="Times New Roman" w:eastAsia="宋体" w:cs="Times New Roman"/>
          <w:snapToGrid/>
          <w:color w:val="000000"/>
          <w:kern w:val="2"/>
          <w:sz w:val="24"/>
          <w:szCs w:val="24"/>
          <w:u w:val="single"/>
          <w:lang w:val="en-US" w:eastAsia="zh-CN" w:bidi="ar"/>
        </w:rPr>
        <w:t>、水源地0个。</w:t>
      </w:r>
    </w:p>
    <w:p>
      <w:pPr>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default"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本项目厂区西侧位于叶县城镇重点单元（ZH41042220004），厂区东侧位于叶县大气重点单元（ZH41042220005）。平台信息显示，叶县城镇重点单元和大气重点单元的分界线从厂区中间通过。</w:t>
      </w:r>
    </w:p>
    <w:p>
      <w:pPr>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根据叶县自然资源局《关于马庄回族乡人民政府文件的复函》（见附件4），本项目场址位于《叶县国土空间总体规划（2021-2035）》划定的城镇开发边界外，不在建成区范围内。</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因此，本项目所在区域应为叶县“三线一单”中的大气重点单元（平台信息显示厂区西侧位于叶县城镇重点单元，应与边界信息不够精准有关）。</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②管控单元的确定</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default" w:ascii="Times New Roman" w:hAnsi="Times New Roman" w:eastAsia="宋体" w:cs="Times New Roman"/>
          <w:snapToGrid/>
          <w:color w:val="000000"/>
          <w:kern w:val="2"/>
          <w:sz w:val="24"/>
          <w:szCs w:val="24"/>
          <w:u w:val="single"/>
          <w:lang w:val="en-US" w:eastAsia="zh-CN" w:bidi="ar"/>
        </w:rPr>
        <w:t>重点管控单元</w:t>
      </w:r>
      <w:r>
        <w:rPr>
          <w:rFonts w:hint="eastAsia" w:ascii="Times New Roman" w:hAnsi="Times New Roman" w:eastAsia="宋体" w:cs="Times New Roman"/>
          <w:snapToGrid/>
          <w:color w:val="000000"/>
          <w:kern w:val="2"/>
          <w:sz w:val="24"/>
          <w:szCs w:val="24"/>
          <w:u w:val="single"/>
          <w:lang w:val="en-US" w:eastAsia="zh-CN" w:bidi="ar"/>
        </w:rPr>
        <w:t>：a、叶县大气重点单元，编码：ZH41042220005；b、弱扩散重点管控区，编码：YS4104222330001。</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default" w:ascii="Times New Roman" w:hAnsi="Times New Roman" w:eastAsia="宋体" w:cs="Times New Roman"/>
          <w:snapToGrid/>
          <w:color w:val="000000"/>
          <w:kern w:val="2"/>
          <w:sz w:val="24"/>
          <w:szCs w:val="24"/>
          <w:u w:val="single"/>
          <w:lang w:val="en-US" w:eastAsia="zh-CN" w:bidi="ar"/>
        </w:rPr>
        <w:t>一般管控单元</w:t>
      </w:r>
      <w:r>
        <w:rPr>
          <w:rFonts w:hint="eastAsia" w:ascii="Times New Roman" w:hAnsi="Times New Roman" w:eastAsia="宋体" w:cs="Times New Roman"/>
          <w:snapToGrid/>
          <w:color w:val="000000"/>
          <w:kern w:val="2"/>
          <w:sz w:val="24"/>
          <w:szCs w:val="24"/>
          <w:u w:val="single"/>
          <w:lang w:val="en-US" w:eastAsia="zh-CN" w:bidi="ar"/>
        </w:rPr>
        <w:t>：a、河南省平顶山市叶县其他区域1，编码：YS4104223110001；b、灰河平顶山灰河叶县控制单元，编码：YS4104223210043。</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default"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③符合性分析</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a、环境管控单元分析</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经比对，项目涉及1个河南省环境管控单元，其中优先保护单元0 个，重点管控单元1个，一般管控单元0个，详见下表。</w:t>
      </w:r>
    </w:p>
    <w:p>
      <w:pPr>
        <w:pStyle w:val="2"/>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napToGrid/>
          <w:color w:val="000000"/>
          <w:kern w:val="2"/>
          <w:sz w:val="24"/>
          <w:szCs w:val="24"/>
          <w:u w:val="single"/>
          <w:lang w:val="en-US" w:eastAsia="zh-CN" w:bidi="ar"/>
        </w:rPr>
      </w:pPr>
      <w:r>
        <w:rPr>
          <w:rFonts w:hint="eastAsia" w:ascii="Times New Roman" w:hAnsi="Times New Roman" w:eastAsia="宋体" w:cs="Times New Roman"/>
          <w:b/>
          <w:bCs/>
          <w:snapToGrid/>
          <w:color w:val="000000"/>
          <w:kern w:val="2"/>
          <w:sz w:val="24"/>
          <w:szCs w:val="24"/>
          <w:u w:val="single"/>
          <w:lang w:val="en-US" w:eastAsia="zh-CN" w:bidi="ar"/>
        </w:rPr>
        <w:t>表1-2    项目涉及河南省环境管控单元一览表</w:t>
      </w:r>
    </w:p>
    <w:tbl>
      <w:tblPr>
        <w:tblStyle w:val="21"/>
        <w:tblW w:w="882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4650"/>
        <w:gridCol w:w="2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环境管控单元编码</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ZH41042220005</w:t>
            </w:r>
          </w:p>
        </w:tc>
        <w:tc>
          <w:tcPr>
            <w:tcW w:w="205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本项目相符性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环境管控单元名称</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叶县大气重点单元</w:t>
            </w:r>
          </w:p>
        </w:tc>
        <w:tc>
          <w:tcPr>
            <w:tcW w:w="205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管控分类</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重点</w:t>
            </w:r>
          </w:p>
        </w:tc>
        <w:tc>
          <w:tcPr>
            <w:tcW w:w="205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市</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平顶山市</w:t>
            </w:r>
          </w:p>
        </w:tc>
        <w:tc>
          <w:tcPr>
            <w:tcW w:w="205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区县</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叶县</w:t>
            </w:r>
          </w:p>
        </w:tc>
        <w:tc>
          <w:tcPr>
            <w:tcW w:w="205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空间布局约束</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1.禁止新建、扩建、改建燃用高污染燃料的项目（集中供热、热电联产设施除外）。2.持续开展“散乱污”企业动态清零，全面提升“三散”污染治理水平。</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采用清洁电能，符合要求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污染物排放管控</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禁止销售、使用煤等高污染燃料，现有使用高污染燃料的单位和个人，应当按照市、县（市）人民政府规定的期限改用清洁能源或拆除使用高污染燃料的设施</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采用清洁电能，符合要求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环境风险防控</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资源开发效率要求</w:t>
            </w:r>
          </w:p>
        </w:tc>
        <w:tc>
          <w:tcPr>
            <w:tcW w:w="4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c>
          <w:tcPr>
            <w:tcW w:w="205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r>
    </w:tbl>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b、水环境管控分区分析</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经比对，项目涉及1个河南省水环境管控分区，其中水环境优先保护区0个，,工业污染重点管控区0个，城镇生活污染重点管控区0个，农业污染重点管控区0个，水环境一般管控区1个，详见下表。</w:t>
      </w:r>
    </w:p>
    <w:p>
      <w:pPr>
        <w:pStyle w:val="2"/>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napToGrid/>
          <w:color w:val="000000"/>
          <w:kern w:val="2"/>
          <w:sz w:val="24"/>
          <w:szCs w:val="24"/>
          <w:u w:val="single"/>
          <w:lang w:val="en-US" w:eastAsia="zh-CN" w:bidi="ar"/>
        </w:rPr>
      </w:pPr>
      <w:r>
        <w:rPr>
          <w:rFonts w:hint="eastAsia" w:ascii="Times New Roman" w:hAnsi="Times New Roman" w:eastAsia="宋体" w:cs="Times New Roman"/>
          <w:b/>
          <w:bCs/>
          <w:snapToGrid/>
          <w:color w:val="000000"/>
          <w:kern w:val="2"/>
          <w:sz w:val="24"/>
          <w:szCs w:val="24"/>
          <w:u w:val="single"/>
          <w:lang w:val="en-US" w:eastAsia="zh-CN" w:bidi="ar"/>
        </w:rPr>
        <w:t>表1-3    项目涉及河南省水环境管控一览表</w:t>
      </w:r>
    </w:p>
    <w:tbl>
      <w:tblPr>
        <w:tblStyle w:val="21"/>
        <w:tblW w:w="882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4455"/>
        <w:gridCol w:w="2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环境管控单元编码</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YS4104223210043</w:t>
            </w:r>
          </w:p>
        </w:tc>
        <w:tc>
          <w:tcPr>
            <w:tcW w:w="224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本项目相符性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水环境管控分区名称</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灰河平顶山灰河叶县控制单元</w:t>
            </w:r>
          </w:p>
        </w:tc>
        <w:tc>
          <w:tcPr>
            <w:tcW w:w="2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管控分类</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一般</w:t>
            </w:r>
          </w:p>
        </w:tc>
        <w:tc>
          <w:tcPr>
            <w:tcW w:w="2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市</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平顶山市</w:t>
            </w:r>
          </w:p>
        </w:tc>
        <w:tc>
          <w:tcPr>
            <w:tcW w:w="2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区县</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叶县</w:t>
            </w:r>
          </w:p>
        </w:tc>
        <w:tc>
          <w:tcPr>
            <w:tcW w:w="2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空间布局约束</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1、禁止在叶县盐都水务地下水井群饮用水水源准保护区内新建、扩建对水体污染严重的建设项目，改建建设项目，不得增加排污量。</w:t>
            </w:r>
          </w:p>
        </w:tc>
        <w:tc>
          <w:tcPr>
            <w:tcW w:w="22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本项目场址在叶县盐都水务地下水井群饮用水水源准保护区南侧3.9km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污染物排放管控</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禁止销售、使用煤等高污染燃料，现有使用高污染燃料的单位和个人，应当按照市、县（市）人民政府规定的期限改用清洁能源或拆除使用高污染燃料的设施</w:t>
            </w:r>
          </w:p>
        </w:tc>
        <w:tc>
          <w:tcPr>
            <w:tcW w:w="22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采用清洁电能，符合要求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环境风险防控</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c>
          <w:tcPr>
            <w:tcW w:w="22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资源开发效率要求</w:t>
            </w:r>
          </w:p>
        </w:tc>
        <w:tc>
          <w:tcPr>
            <w:tcW w:w="4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c>
          <w:tcPr>
            <w:tcW w:w="22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r>
    </w:tbl>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c、大气环境管控分区分析</w:t>
      </w:r>
    </w:p>
    <w:p>
      <w:pPr>
        <w:keepNext w:val="0"/>
        <w:keepLines w:val="0"/>
        <w:pageBreakBefore w:val="0"/>
        <w:widowControl/>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经比对，项目涉及1个河南省大气环境管控分区，其中大气环境优先保护区0个，高排放重点管控区0个，布局敏感重点管控区0个，弱扩散重点管控区1个，受体敏感重点管控区0个，大气环境一般管控区0个，详见下表。</w:t>
      </w:r>
    </w:p>
    <w:p>
      <w:pPr>
        <w:pStyle w:val="2"/>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napToGrid/>
          <w:color w:val="000000"/>
          <w:kern w:val="2"/>
          <w:sz w:val="24"/>
          <w:szCs w:val="24"/>
          <w:u w:val="single"/>
          <w:lang w:val="en-US" w:eastAsia="zh-CN" w:bidi="ar"/>
        </w:rPr>
      </w:pPr>
      <w:r>
        <w:rPr>
          <w:rFonts w:hint="eastAsia" w:ascii="Times New Roman" w:hAnsi="Times New Roman" w:eastAsia="宋体" w:cs="Times New Roman"/>
          <w:b/>
          <w:bCs/>
          <w:snapToGrid/>
          <w:color w:val="000000"/>
          <w:kern w:val="2"/>
          <w:sz w:val="24"/>
          <w:szCs w:val="24"/>
          <w:u w:val="single"/>
          <w:lang w:val="en-US" w:eastAsia="zh-CN" w:bidi="ar"/>
        </w:rPr>
        <w:t>表1-4    项目涉及河南省大气环境管控一览表</w:t>
      </w:r>
    </w:p>
    <w:tbl>
      <w:tblPr>
        <w:tblStyle w:val="21"/>
        <w:tblW w:w="882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5715"/>
        <w:gridCol w:w="1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环境管控单元编码</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YS4104222330001</w:t>
            </w:r>
          </w:p>
        </w:tc>
        <w:tc>
          <w:tcPr>
            <w:tcW w:w="17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本项目相符性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大气环境管控分区名称</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弱扩散重点管控区</w:t>
            </w:r>
          </w:p>
        </w:tc>
        <w:tc>
          <w:tcPr>
            <w:tcW w:w="17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管控分类</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重点</w:t>
            </w:r>
          </w:p>
        </w:tc>
        <w:tc>
          <w:tcPr>
            <w:tcW w:w="17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市</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平顶山市</w:t>
            </w:r>
          </w:p>
        </w:tc>
        <w:tc>
          <w:tcPr>
            <w:tcW w:w="17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区县</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叶县</w:t>
            </w:r>
          </w:p>
        </w:tc>
        <w:tc>
          <w:tcPr>
            <w:tcW w:w="17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空间布局约束</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原则上不再办理使用登记和审批35蒸吨/时及以下燃煤锅炉，到2025年全面停止办理。严格控制露天矿业权审批和露天矿山新上建设项目核准或备案、环境影响评价报告审批，原则上禁止新建露天矿山建设项目，到2025年全面禁止。2、原则上禁止钢铁、电解铝、水泥、玻璃、传统煤化工（甲醇、合成氨）、焦化等行业新建、扩建单纯新增产能以及耐火材料、陶瓷等行业新建、扩建以煤炭为燃料的项目和企业，对钢铁、水泥、电解铝、玻璃等行业不再实施省内产能置换，到2025 年全面禁止。3、禁止建设生产和使用高VOCs 含量的溶剂型涂料、油墨、胶粘剂等项目。京津冀2+26和汾渭平原城市群禁止城市建成区露天烧烤。加强夜市综合整治，有序推进夜市“退路进店”；到2025年，常态化动态更新施工工地管理清单，全面清理城乡结合部以及城中拆迁的渣土和建筑垃圾。</w:t>
            </w:r>
          </w:p>
        </w:tc>
        <w:tc>
          <w:tcPr>
            <w:tcW w:w="17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本项目不涉及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污染物排放管控</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1、重点行业二氧化硫、氮氧化物、颗粒物、VOCs 全面执行大气污染物特别排放限值。新建涉 VOCs 排放的工业企业要入园区，实行区域内VOCs 排放等量或倍量削减替代。2、强化施工扬尘污染防治，做到工地周边围挡、物料堆放覆盖、土方开挖湿法作业、路面硬化、出入车辆清洗、渣土车辆密闭运输“六个百分之百”，禁止施工工地现场搅拌混凝土、现场配置砂浆。3、京津冀 2+26城市群完成应急减排清单编制工作，并动态更新，落实“一厂一策”等各项应急减排措施；严格落实施工工地“六个百分之百”要求；建成区5000平米及以上建筑工地全部安装在线监测和视频监控，并与当地行业主管部门联网。汾渭平原城市群完成应急减排清单编制工作，并动态更新，落实“一厂一策”等各项应急减排措施。4、关停退出热效率低下、敞开未封闭，装备简易落后、自动化水平低，布局分散、规模小、无组织排放突出，以及无治理设施或治理设施工艺落后的工业炉窑。基本淘汰 35 蒸吨/时及以下燃煤锅炉，确需保留的 35蒸吨/时及以下燃煤锅炉，必须实现超低排放。</w:t>
            </w:r>
          </w:p>
        </w:tc>
        <w:tc>
          <w:tcPr>
            <w:tcW w:w="17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本项目施工期做到工地周边围挡、物料堆放覆盖、土方开挖湿法作业、路面硬化、出入车辆清洗、渣土车辆密闭运输“六个百分之百”，禁止施工工地现场搅拌混凝土、现场配置砂浆。拟编制“一厂一策”等各项应急减排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环境风险防控</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c>
          <w:tcPr>
            <w:tcW w:w="17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资源开发效率要求</w:t>
            </w:r>
          </w:p>
        </w:tc>
        <w:tc>
          <w:tcPr>
            <w:tcW w:w="5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c>
          <w:tcPr>
            <w:tcW w:w="17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w:t>
            </w:r>
          </w:p>
        </w:tc>
      </w:tr>
    </w:tbl>
    <w:p>
      <w:pPr>
        <w:keepNext w:val="0"/>
        <w:keepLines w:val="0"/>
        <w:pageBreakBefore w:val="0"/>
        <w:widowControl/>
        <w:kinsoku/>
        <w:wordWrap/>
        <w:overflowPunct/>
        <w:topLinePunct w:val="0"/>
        <w:autoSpaceDE/>
        <w:autoSpaceDN/>
        <w:bidi w:val="0"/>
        <w:adjustRightInd/>
        <w:snapToGrid/>
        <w:spacing w:before="0" w:beforeLines="5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根据以上对比分析结果可知，叶县2022年马庄乡张庄村畜产品精细加工物流园建设项目，符合河南省</w:t>
      </w:r>
      <w:r>
        <w:rPr>
          <w:rFonts w:hint="eastAsia" w:ascii="Times New Roman" w:hAnsi="Times New Roman" w:eastAsia="宋体" w:cs="Times New Roman"/>
          <w:snapToGrid/>
          <w:color w:val="000000"/>
          <w:kern w:val="2"/>
          <w:sz w:val="24"/>
          <w:szCs w:val="24"/>
          <w:highlight w:val="none"/>
          <w:u w:val="single"/>
          <w:lang w:val="en-US" w:eastAsia="zh-CN" w:bidi="ar"/>
        </w:rPr>
        <w:t>“三线一单”分区管控</w:t>
      </w:r>
      <w:r>
        <w:rPr>
          <w:rFonts w:hint="eastAsia" w:ascii="Times New Roman" w:hAnsi="Times New Roman" w:eastAsia="宋体" w:cs="Times New Roman"/>
          <w:snapToGrid/>
          <w:color w:val="000000"/>
          <w:kern w:val="2"/>
          <w:sz w:val="24"/>
          <w:szCs w:val="24"/>
          <w:u w:val="single"/>
          <w:lang w:val="en-US" w:eastAsia="zh-CN" w:bidi="ar"/>
        </w:rPr>
        <w:t>的要求。</w:t>
      </w:r>
    </w:p>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b w:val="0"/>
          <w:bCs w:val="0"/>
          <w:snapToGrid/>
          <w:kern w:val="2"/>
          <w:sz w:val="24"/>
          <w:szCs w:val="24"/>
          <w:lang w:eastAsia="zh-CN"/>
        </w:rPr>
      </w:pPr>
      <w:r>
        <w:rPr>
          <w:rFonts w:hint="default" w:ascii="Times New Roman" w:hAnsi="Times New Roman" w:eastAsia="宋体" w:cs="Times New Roman"/>
          <w:b w:val="0"/>
          <w:bCs w:val="0"/>
          <w:snapToGrid/>
          <w:color w:val="000000"/>
          <w:kern w:val="0"/>
          <w:sz w:val="28"/>
          <w:szCs w:val="28"/>
          <w:lang w:val="en-US" w:eastAsia="zh-CN" w:bidi="ar"/>
        </w:rPr>
        <w:t>1.4.5</w:t>
      </w:r>
      <w:r>
        <w:rPr>
          <w:rFonts w:ascii="楷体" w:hAnsi="楷体" w:eastAsia="楷体" w:cs="楷体"/>
          <w:b w:val="0"/>
          <w:bCs w:val="0"/>
          <w:snapToGrid/>
          <w:color w:val="000000"/>
          <w:kern w:val="0"/>
          <w:sz w:val="28"/>
          <w:szCs w:val="28"/>
          <w:lang w:val="en-US" w:eastAsia="zh-CN" w:bidi="ar"/>
        </w:rPr>
        <w:t>与屠宰相关文件相符性</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b w:val="0"/>
          <w:bCs w:val="0"/>
          <w:snapToGrid/>
          <w:kern w:val="2"/>
          <w:sz w:val="24"/>
          <w:szCs w:val="24"/>
          <w:lang w:eastAsia="zh-CN"/>
        </w:rPr>
      </w:pPr>
      <w:r>
        <w:rPr>
          <w:rFonts w:hint="default" w:ascii="Times New Roman" w:hAnsi="Times New Roman" w:eastAsia="宋体" w:cs="Times New Roman"/>
          <w:b w:val="0"/>
          <w:bCs w:val="0"/>
          <w:snapToGrid/>
          <w:color w:val="000000"/>
          <w:kern w:val="0"/>
          <w:sz w:val="24"/>
          <w:szCs w:val="24"/>
          <w:lang w:val="en-US" w:eastAsia="zh-CN" w:bidi="ar"/>
        </w:rPr>
        <w:t>1</w:t>
      </w:r>
      <w:r>
        <w:rPr>
          <w:rFonts w:hint="eastAsia" w:ascii="宋体" w:hAnsi="宋体" w:eastAsia="宋体" w:cs="宋体"/>
          <w:b w:val="0"/>
          <w:bCs w:val="0"/>
          <w:snapToGrid/>
          <w:color w:val="000000"/>
          <w:kern w:val="0"/>
          <w:sz w:val="24"/>
          <w:szCs w:val="24"/>
          <w:lang w:val="en-US" w:eastAsia="zh-CN" w:bidi="ar"/>
        </w:rPr>
        <w:t xml:space="preserve">、《河南省屠宰建设项目环境影响评价文件审查审批原则》 </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napToGrid/>
          <w:color w:val="000000"/>
          <w:kern w:val="0"/>
          <w:sz w:val="24"/>
          <w:szCs w:val="24"/>
          <w:lang w:val="en-US" w:eastAsia="zh-CN" w:bidi="ar"/>
        </w:rPr>
      </w:pPr>
      <w:r>
        <w:rPr>
          <w:rFonts w:hint="default" w:ascii="Times New Roman" w:hAnsi="Times New Roman" w:eastAsia="宋体" w:cs="Times New Roman"/>
          <w:b w:val="0"/>
          <w:bCs w:val="0"/>
          <w:snapToGrid/>
          <w:color w:val="000000"/>
          <w:kern w:val="0"/>
          <w:sz w:val="24"/>
          <w:szCs w:val="24"/>
          <w:lang w:val="en-US" w:eastAsia="zh-CN" w:bidi="ar"/>
        </w:rPr>
        <w:t>2016</w:t>
      </w:r>
      <w:r>
        <w:rPr>
          <w:rFonts w:hint="eastAsia" w:ascii="宋体" w:hAnsi="宋体" w:eastAsia="宋体" w:cs="宋体"/>
          <w:b w:val="0"/>
          <w:bCs w:val="0"/>
          <w:snapToGrid/>
          <w:color w:val="000000"/>
          <w:kern w:val="0"/>
          <w:sz w:val="24"/>
          <w:szCs w:val="24"/>
          <w:lang w:val="en-US" w:eastAsia="zh-CN" w:bidi="ar"/>
        </w:rPr>
        <w:t>年</w:t>
      </w:r>
      <w:r>
        <w:rPr>
          <w:rFonts w:hint="default" w:ascii="Times New Roman" w:hAnsi="Times New Roman" w:eastAsia="宋体" w:cs="Times New Roman"/>
          <w:b w:val="0"/>
          <w:bCs w:val="0"/>
          <w:snapToGrid/>
          <w:color w:val="000000"/>
          <w:kern w:val="0"/>
          <w:sz w:val="24"/>
          <w:szCs w:val="24"/>
          <w:lang w:val="en-US" w:eastAsia="zh-CN" w:bidi="ar"/>
        </w:rPr>
        <w:t>6</w:t>
      </w:r>
      <w:r>
        <w:rPr>
          <w:rFonts w:hint="eastAsia" w:ascii="宋体" w:hAnsi="宋体" w:eastAsia="宋体" w:cs="宋体"/>
          <w:b w:val="0"/>
          <w:bCs w:val="0"/>
          <w:snapToGrid/>
          <w:color w:val="000000"/>
          <w:kern w:val="0"/>
          <w:sz w:val="24"/>
          <w:szCs w:val="24"/>
          <w:lang w:val="en-US" w:eastAsia="zh-CN" w:bidi="ar"/>
        </w:rPr>
        <w:t>月</w:t>
      </w:r>
      <w:r>
        <w:rPr>
          <w:rFonts w:hint="default" w:ascii="Times New Roman" w:hAnsi="Times New Roman" w:eastAsia="宋体" w:cs="Times New Roman"/>
          <w:b w:val="0"/>
          <w:bCs w:val="0"/>
          <w:snapToGrid/>
          <w:color w:val="000000"/>
          <w:kern w:val="0"/>
          <w:sz w:val="24"/>
          <w:szCs w:val="24"/>
          <w:lang w:val="en-US" w:eastAsia="zh-CN" w:bidi="ar"/>
        </w:rPr>
        <w:t>27</w:t>
      </w:r>
      <w:r>
        <w:rPr>
          <w:rFonts w:hint="eastAsia" w:ascii="宋体" w:hAnsi="宋体" w:eastAsia="宋体" w:cs="宋体"/>
          <w:b w:val="0"/>
          <w:bCs w:val="0"/>
          <w:snapToGrid/>
          <w:color w:val="000000"/>
          <w:kern w:val="0"/>
          <w:sz w:val="24"/>
          <w:szCs w:val="24"/>
          <w:lang w:val="en-US" w:eastAsia="zh-CN" w:bidi="ar"/>
        </w:rPr>
        <w:t>日，原河南省环保厅下发了《河南省屠宰建设项目环境影响评价文件审查审批原则》，原则对屠宰项目建设布局、工艺装备、污染防治等方面提出了具体要求，本项目与该原则相符性分析如下。</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2" w:firstLineChars="200"/>
        <w:jc w:val="left"/>
        <w:textAlignment w:val="auto"/>
        <w:rPr>
          <w:rFonts w:ascii="Times New Roman" w:hAnsi="Times New Roman" w:eastAsia="宋体" w:cs="Times New Roman"/>
          <w:b/>
          <w:bCs/>
          <w:snapToGrid/>
          <w:kern w:val="2"/>
          <w:sz w:val="24"/>
          <w:szCs w:val="24"/>
          <w:lang w:eastAsia="zh-CN"/>
        </w:rPr>
      </w:pPr>
      <w:r>
        <w:rPr>
          <w:rFonts w:hint="eastAsia" w:ascii="Times New Roman" w:hAnsi="Times New Roman" w:eastAsia="宋体" w:cs="Times New Roman"/>
          <w:b/>
          <w:bCs/>
          <w:snapToGrid/>
          <w:kern w:val="2"/>
          <w:sz w:val="24"/>
          <w:szCs w:val="24"/>
          <w:lang w:val="en-US" w:eastAsia="zh-CN"/>
        </w:rPr>
        <w:t>表</w:t>
      </w:r>
      <w:r>
        <w:rPr>
          <w:rFonts w:hint="default" w:ascii="Times New Roman" w:hAnsi="Times New Roman" w:eastAsia="宋体" w:cs="Times New Roman"/>
          <w:b/>
          <w:bCs/>
          <w:snapToGrid/>
          <w:kern w:val="2"/>
          <w:sz w:val="24"/>
          <w:szCs w:val="24"/>
          <w:lang w:val="en-US" w:eastAsia="zh-CN"/>
        </w:rPr>
        <w:t>1-</w:t>
      </w:r>
      <w:r>
        <w:rPr>
          <w:rFonts w:hint="eastAsia" w:ascii="Times New Roman" w:hAnsi="Times New Roman" w:eastAsia="宋体" w:cs="Times New Roman"/>
          <w:b/>
          <w:bCs/>
          <w:snapToGrid/>
          <w:kern w:val="2"/>
          <w:sz w:val="24"/>
          <w:szCs w:val="24"/>
          <w:lang w:val="en-US" w:eastAsia="zh-CN"/>
        </w:rPr>
        <w:t>5 与《河南省屠宰建设项目环境影响评价文件审查审批原则》相符性</w:t>
      </w:r>
    </w:p>
    <w:tbl>
      <w:tblPr>
        <w:tblStyle w:val="21"/>
        <w:tblW w:w="882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3"/>
        <w:gridCol w:w="3624"/>
        <w:gridCol w:w="3391"/>
        <w:gridCol w:w="8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类别</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审批原则</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highlight w:val="none"/>
                <w:vertAlign w:val="baseline"/>
                <w:lang w:eastAsia="zh-CN"/>
              </w:rPr>
              <w:t>本项目情况</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总体要求</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总体要求：屠宰项目应严格执行《产业结构调整指导目录（2011年本）（修正）》、《屠宰与肉类加工废水治理工程技术规范》（HJ2004-2010）及各项污染物排放标准的相关要求。</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本项目满足《产业结构调整指导目录（</w:t>
            </w:r>
            <w:r>
              <w:rPr>
                <w:rFonts w:hint="eastAsia" w:ascii="Times New Roman" w:hAnsi="Times New Roman" w:eastAsia="宋体" w:cs="Times New Roman"/>
                <w:b w:val="0"/>
                <w:bCs w:val="0"/>
                <w:snapToGrid/>
                <w:kern w:val="2"/>
                <w:sz w:val="21"/>
                <w:szCs w:val="21"/>
                <w:vertAlign w:val="baseline"/>
                <w:lang w:val="en-US" w:eastAsia="zh-CN"/>
              </w:rPr>
              <w:t>2024年</w:t>
            </w:r>
            <w:r>
              <w:rPr>
                <w:rFonts w:hint="eastAsia" w:ascii="Times New Roman" w:hAnsi="Times New Roman" w:eastAsia="宋体" w:cs="Times New Roman"/>
                <w:b w:val="0"/>
                <w:bCs w:val="0"/>
                <w:snapToGrid/>
                <w:kern w:val="2"/>
                <w:sz w:val="21"/>
                <w:szCs w:val="21"/>
                <w:vertAlign w:val="baseline"/>
                <w:lang w:eastAsia="zh-CN"/>
              </w:rPr>
              <w:t>本）》、《屠宰与肉类加工废水治理工程技术规范》（HJ2004-2010）及各项污染物排放标准的相关要求。</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环境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质量</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要求</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环境质量现状满足环境功能区要求的区域，项目实施后环境质量仍应满足功能区要求；环境质量现状不能满足环境功能区要求的区域，应通过强化项目污染防治措施，并提出有效的区域削减措施，改善区域环境质量。</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项目区域PM</w:t>
            </w:r>
            <w:r>
              <w:rPr>
                <w:rFonts w:hint="eastAsia" w:ascii="Times New Roman" w:hAnsi="Times New Roman" w:eastAsia="宋体" w:cs="Times New Roman"/>
                <w:b w:val="0"/>
                <w:bCs w:val="0"/>
                <w:snapToGrid/>
                <w:kern w:val="2"/>
                <w:sz w:val="21"/>
                <w:szCs w:val="21"/>
                <w:vertAlign w:val="subscript"/>
                <w:lang w:eastAsia="zh-CN"/>
              </w:rPr>
              <w:t>10</w:t>
            </w:r>
            <w:r>
              <w:rPr>
                <w:rFonts w:hint="eastAsia" w:ascii="Times New Roman" w:hAnsi="Times New Roman" w:eastAsia="宋体" w:cs="Times New Roman"/>
                <w:b w:val="0"/>
                <w:bCs w:val="0"/>
                <w:snapToGrid/>
                <w:kern w:val="2"/>
                <w:sz w:val="21"/>
                <w:szCs w:val="21"/>
                <w:vertAlign w:val="baseline"/>
                <w:lang w:eastAsia="zh-CN"/>
              </w:rPr>
              <w:t>、PM</w:t>
            </w:r>
            <w:r>
              <w:rPr>
                <w:rFonts w:hint="eastAsia" w:ascii="Times New Roman" w:hAnsi="Times New Roman" w:eastAsia="宋体" w:cs="Times New Roman"/>
                <w:b w:val="0"/>
                <w:bCs w:val="0"/>
                <w:snapToGrid/>
                <w:kern w:val="2"/>
                <w:sz w:val="21"/>
                <w:szCs w:val="21"/>
                <w:vertAlign w:val="subscript"/>
                <w:lang w:eastAsia="zh-CN"/>
              </w:rPr>
              <w:t>2.5</w:t>
            </w:r>
            <w:r>
              <w:rPr>
                <w:rFonts w:hint="eastAsia" w:ascii="Times New Roman" w:hAnsi="Times New Roman" w:eastAsia="宋体" w:cs="Times New Roman"/>
                <w:b w:val="0"/>
                <w:bCs w:val="0"/>
                <w:snapToGrid/>
                <w:kern w:val="2"/>
                <w:sz w:val="21"/>
                <w:szCs w:val="21"/>
                <w:vertAlign w:val="baseline"/>
                <w:lang w:eastAsia="zh-CN"/>
              </w:rPr>
              <w:t>相应浓度不满足《环境空气质量标准》（GB3095-2012）二级标准。为了持续改善空气质量，叶县人民政府按照《河南省深入打好秋冬季重污染天气消除、夏季臭氧污染防治和柴油货车污染治理攻坚战行动方案》（豫环委办〔2023〕3号）、《平顶山市生态环境保护委员会办公室关于印发＜平顶山市2023年蓝天保卫战实施方案＞的通知》（平环委办〔2023〕13 号）等文件部署，通过以上综合措施将会持续改善区域环境空气质量。</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建设</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布局</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要求</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新建、改扩建屠宰项目选址应当符合环境功能区规划、主体功能区规划、土地利用总体规划、城乡规划。鼓励新建屠宰项目优先选址于集中供热、集中供水、污水集中处理等环保基础设施齐全的产业集聚区及专业园区，并符合园区发展规划及规划环境影响评价要求。鼓励园区外现有屠宰生产企业搬迁至产业园区。自然保护区、风景名胜区、饮用水水源保护区等环境敏感区不允许新建、改扩建屠宰项目，城市建成区不允许新建、扩建屠宰项目。</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项目位于叶县马庄乡张庄村，项目选址符合项目所在区环境功能区划等要求，本项目位于叶县县城污水处理厂收水范围内，且厂区废水达标排放并符合叶县县城污水处理厂的进水水质标准；本项目选址不在自然保护区、风景名胜区、饮用水水源保护区等环境敏感区内。</w:t>
            </w:r>
            <w:r>
              <w:rPr>
                <w:rFonts w:hint="eastAsia" w:ascii="Times New Roman" w:hAnsi="Times New Roman" w:eastAsia="宋体" w:cs="Times New Roman"/>
                <w:b w:val="0"/>
                <w:bCs w:val="0"/>
                <w:snapToGrid/>
                <w:kern w:val="2"/>
                <w:sz w:val="21"/>
                <w:szCs w:val="21"/>
                <w:vertAlign w:val="baseline"/>
                <w:lang w:val="en-US" w:eastAsia="zh-CN"/>
              </w:rPr>
              <w:t>本项目位于叶县城镇开发边界外，项目不在城市规划区范围内，符合叶县国土空间总体规划的要求</w:t>
            </w:r>
            <w:r>
              <w:rPr>
                <w:rFonts w:hint="eastAsia" w:ascii="Times New Roman" w:hAnsi="Times New Roman" w:eastAsia="宋体" w:cs="Times New Roman"/>
                <w:b w:val="0"/>
                <w:bCs w:val="0"/>
                <w:snapToGrid/>
                <w:kern w:val="2"/>
                <w:sz w:val="21"/>
                <w:szCs w:val="21"/>
                <w:vertAlign w:val="baseline"/>
                <w:lang w:eastAsia="zh-CN"/>
              </w:rPr>
              <w:t>。</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工艺</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装备</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要求</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屠宰项目应采用先进的全自动流水生产线，清洁生产水平达到国内同行业先进水平。畜类屠宰应选用电击晕、真空采血、机械剥皮、圆盘劈半锯或带式劈半锯、高压自动清洗等先进的工艺装备，其中猪屠宰应选用蒸汽隧道烫毛、螺旋式刮毛机或自动燎毛机等先进装备。禽类屠宰应选用机械脱羽、全自动掏膛等先进设备，鼓励配套羽毛回收设施。浸烫设备应配备自动线性控温装置，保障浸烫效果。</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项目采用先进的全自动流水生产线，清洁生产水平达到国内同行业先进水平。本项目为畜类屠宰，选用电击晕、</w:t>
            </w:r>
            <w:r>
              <w:rPr>
                <w:rFonts w:hint="eastAsia" w:ascii="Times New Roman" w:hAnsi="Times New Roman" w:eastAsia="宋体" w:cs="Times New Roman"/>
                <w:b w:val="0"/>
                <w:bCs w:val="0"/>
                <w:snapToGrid/>
                <w:kern w:val="2"/>
                <w:sz w:val="21"/>
                <w:szCs w:val="21"/>
                <w:vertAlign w:val="baseline"/>
                <w:lang w:val="en-US" w:eastAsia="zh-CN"/>
              </w:rPr>
              <w:t>真空采血、机械剥皮、</w:t>
            </w:r>
            <w:r>
              <w:rPr>
                <w:rFonts w:hint="eastAsia" w:ascii="Times New Roman" w:hAnsi="Times New Roman" w:eastAsia="宋体" w:cs="Times New Roman"/>
                <w:b w:val="0"/>
                <w:bCs w:val="0"/>
                <w:snapToGrid/>
                <w:kern w:val="2"/>
                <w:sz w:val="21"/>
                <w:szCs w:val="21"/>
                <w:highlight w:val="none"/>
                <w:vertAlign w:val="baseline"/>
                <w:lang w:val="en-US" w:eastAsia="zh-CN"/>
              </w:rPr>
              <w:t>圆盘劈半锯</w:t>
            </w:r>
            <w:r>
              <w:rPr>
                <w:rFonts w:hint="eastAsia" w:ascii="Times New Roman" w:hAnsi="Times New Roman" w:eastAsia="宋体" w:cs="Times New Roman"/>
                <w:b w:val="0"/>
                <w:bCs w:val="0"/>
                <w:snapToGrid/>
                <w:kern w:val="2"/>
                <w:sz w:val="21"/>
                <w:szCs w:val="21"/>
                <w:vertAlign w:val="baseline"/>
                <w:lang w:val="en-US" w:eastAsia="zh-CN"/>
              </w:rPr>
              <w:t>、高压自动清洗等先进的工艺装备</w:t>
            </w:r>
            <w:r>
              <w:rPr>
                <w:rFonts w:hint="eastAsia" w:ascii="Times New Roman" w:hAnsi="Times New Roman" w:eastAsia="宋体" w:cs="Times New Roman"/>
                <w:b w:val="0"/>
                <w:bCs w:val="0"/>
                <w:snapToGrid/>
                <w:kern w:val="2"/>
                <w:sz w:val="21"/>
                <w:szCs w:val="21"/>
                <w:vertAlign w:val="baseline"/>
                <w:lang w:eastAsia="zh-CN"/>
              </w:rPr>
              <w:t>。</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大气污染防治要求</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屠宰项目供热原则上采用区域集中供热，自备锅炉应采用天然气等清洁能源，锅炉废气排放应满足《锅炉大气污染物排放标准》（GB13271-2014）要求及我省大气污染防治的管理要求。待宰圈应采取封闭、及时清扫、日产日清等措施控制恶臭，污水处理站的调节池、污泥浓缩池、污泥脱水间及固废暂存间等产生恶臭气体的单元应进行全封闭并收集处理后达标排放。鼓励屠宰肠胃内容物由压缩空气通过风送管道输送，避免与外环境直接接触，减少恶臭气体产生。</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项目所在区域无集中供热，</w:t>
            </w:r>
            <w:r>
              <w:rPr>
                <w:rFonts w:hint="eastAsia" w:ascii="Times New Roman" w:hAnsi="Times New Roman" w:eastAsia="宋体" w:cs="Times New Roman"/>
                <w:b w:val="0"/>
                <w:bCs w:val="0"/>
                <w:snapToGrid/>
                <w:kern w:val="2"/>
                <w:sz w:val="21"/>
                <w:szCs w:val="21"/>
                <w:highlight w:val="none"/>
                <w:vertAlign w:val="baseline"/>
                <w:lang w:eastAsia="zh-CN"/>
              </w:rPr>
              <w:t>项目生产过程中不使用热源</w:t>
            </w:r>
            <w:r>
              <w:rPr>
                <w:rFonts w:hint="eastAsia" w:ascii="Times New Roman" w:hAnsi="Times New Roman" w:eastAsia="宋体" w:cs="Times New Roman"/>
                <w:b w:val="0"/>
                <w:bCs w:val="0"/>
                <w:snapToGrid/>
                <w:kern w:val="2"/>
                <w:sz w:val="21"/>
                <w:szCs w:val="21"/>
                <w:vertAlign w:val="baseline"/>
                <w:lang w:eastAsia="zh-CN"/>
              </w:rPr>
              <w:t>，以电作为清洁能源；待宰区及时清扫，当日使用密闭运输车拉走外售用于肥田进行综合利用，做到日产日清；污水处理站产生的恶臭气体封闭收集处理后达标排放。肠胃内容物通过风送管道输送，不与外环境直接接触。</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水污染防治要求</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新建项目废水经厂内预处理满足《肉类加工工业水污染物排放标准》（GB13457-1992）及相应污水处理厂接管标准要求后，应进入区域集中污水处理厂进一步处理。现有企业改扩建且废水确不具备排入区域集中污水处理厂条件的，废水排放应满足《肉类加工工业水污染物排放标准》（GB13457-1992）、相关流域标准及纳污水体环境管理要求。屠宰企业应设置标准化排污口，安装流量、COD、氨氮在线监测监控设施并与环保部门联网。屠宰企业应加强生产管理，做好血污收集，避免跑、冒、滴、漏，减少冲洗用水量</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本项目属于新建项目，项目废水经厂区污水处理站处理后达到《肉类加工工业水污染物排放标准》（GB13457-92）畜类屠宰加工三级标准及叶县县城污水处理厂接收标准要求后排入叶县县城污水处理厂处理；屠宰企业设置标准化排污口，安装流量、COD、氨氮在线监测监控设施并与本地生态环境部门联网。项目建成后要求企业加强管理，避免跑、冒、滴、漏，减少冲洗用水量。</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固体废物污染防治要求</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根据“减量化、资源化、无害化”的原则，对固体废弃物进行分类收集和规范处置，明确最终去向；病死胴体应参照《畜禽养殖业污染防治技术规范》（HJ/T 81-2001）要求进行无害化处理</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项目固废分类收集，牛羊粪及肠胃内容物等，用于周围农田施肥，病死牛、羊尸体经厂区包装、暂存后，交由</w:t>
            </w:r>
            <w:r>
              <w:rPr>
                <w:rFonts w:hint="eastAsia" w:ascii="Times New Roman" w:hAnsi="Times New Roman" w:eastAsia="宋体" w:cs="Times New Roman"/>
                <w:b w:val="0"/>
                <w:bCs w:val="0"/>
                <w:snapToGrid/>
                <w:kern w:val="2"/>
                <w:sz w:val="21"/>
                <w:szCs w:val="21"/>
                <w:highlight w:val="none"/>
                <w:vertAlign w:val="baseline"/>
                <w:lang w:eastAsia="zh-CN"/>
              </w:rPr>
              <w:t>叶县益康动物无害化处理有限公司</w:t>
            </w:r>
            <w:r>
              <w:rPr>
                <w:rFonts w:hint="eastAsia" w:ascii="Times New Roman" w:hAnsi="Times New Roman" w:eastAsia="宋体" w:cs="Times New Roman"/>
                <w:b w:val="0"/>
                <w:bCs w:val="0"/>
                <w:snapToGrid/>
                <w:kern w:val="2"/>
                <w:sz w:val="21"/>
                <w:szCs w:val="21"/>
                <w:vertAlign w:val="baseline"/>
                <w:lang w:eastAsia="zh-CN"/>
              </w:rPr>
              <w:t>统一处置（病死动物无害化处理协议，见附件</w:t>
            </w:r>
            <w:r>
              <w:rPr>
                <w:rFonts w:hint="eastAsia" w:ascii="Times New Roman" w:hAnsi="Times New Roman" w:eastAsia="宋体" w:cs="Times New Roman"/>
                <w:b w:val="0"/>
                <w:bCs w:val="0"/>
                <w:snapToGrid/>
                <w:kern w:val="2"/>
                <w:sz w:val="21"/>
                <w:szCs w:val="21"/>
                <w:vertAlign w:val="baseline"/>
                <w:lang w:val="en-US" w:eastAsia="zh-CN"/>
              </w:rPr>
              <w:t>7</w:t>
            </w:r>
            <w:r>
              <w:rPr>
                <w:rFonts w:hint="eastAsia" w:ascii="Times New Roman" w:hAnsi="Times New Roman" w:eastAsia="宋体" w:cs="Times New Roman"/>
                <w:b w:val="0"/>
                <w:bCs w:val="0"/>
                <w:snapToGrid/>
                <w:kern w:val="2"/>
                <w:sz w:val="21"/>
                <w:szCs w:val="21"/>
                <w:vertAlign w:val="baseline"/>
                <w:lang w:eastAsia="zh-CN"/>
              </w:rPr>
              <w:t>）</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公众参与要求</w:t>
            </w:r>
          </w:p>
        </w:tc>
        <w:tc>
          <w:tcPr>
            <w:tcW w:w="3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严格按照国家和河南省相关规定开展信息公开和公众参与；对于选址敏感、公众参与意见异议较大的项目，环保部门认为有必要时，应进一步加大信息公开和公众参与力度。</w:t>
            </w:r>
          </w:p>
        </w:tc>
        <w:tc>
          <w:tcPr>
            <w:tcW w:w="33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val="en-US" w:eastAsia="zh-CN"/>
              </w:rPr>
              <w:t>项目已开展公众参与，未收到反对意见</w:t>
            </w:r>
          </w:p>
        </w:tc>
        <w:tc>
          <w:tcPr>
            <w:tcW w:w="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snapToGrid/>
                <w:kern w:val="2"/>
                <w:sz w:val="21"/>
                <w:szCs w:val="21"/>
                <w:vertAlign w:val="baseline"/>
                <w:lang w:eastAsia="zh-CN"/>
              </w:rPr>
            </w:pPr>
            <w:r>
              <w:rPr>
                <w:rFonts w:hint="eastAsia" w:ascii="Times New Roman" w:hAnsi="Times New Roman" w:eastAsia="宋体" w:cs="Times New Roman"/>
                <w:b w:val="0"/>
                <w:bCs w:val="0"/>
                <w:snapToGrid/>
                <w:kern w:val="2"/>
                <w:sz w:val="21"/>
                <w:szCs w:val="21"/>
                <w:vertAlign w:val="baseline"/>
                <w:lang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before="0" w:beforeLines="50" w:line="360" w:lineRule="auto"/>
        <w:ind w:left="0" w:leftChars="0" w:firstLine="480" w:firstLineChars="200"/>
        <w:jc w:val="left"/>
        <w:textAlignment w:val="auto"/>
        <w:rPr>
          <w:rFonts w:hint="eastAsia" w:ascii="Times New Roman" w:hAnsi="Times New Roman" w:eastAsia="宋体" w:cs="Times New Roman"/>
          <w:b w:val="0"/>
          <w:bCs w:val="0"/>
          <w:snapToGrid/>
          <w:kern w:val="2"/>
          <w:sz w:val="24"/>
          <w:szCs w:val="24"/>
          <w:lang w:val="en-US" w:eastAsia="zh-CN"/>
        </w:rPr>
      </w:pPr>
      <w:r>
        <w:rPr>
          <w:rFonts w:hint="eastAsia" w:ascii="Times New Roman" w:hAnsi="Times New Roman" w:eastAsia="宋体" w:cs="Times New Roman"/>
          <w:b w:val="0"/>
          <w:bCs w:val="0"/>
          <w:snapToGrid/>
          <w:kern w:val="2"/>
          <w:sz w:val="24"/>
          <w:szCs w:val="24"/>
          <w:lang w:val="en-US" w:eastAsia="zh-CN"/>
        </w:rPr>
        <w:t>2、</w:t>
      </w:r>
      <w:r>
        <w:rPr>
          <w:rFonts w:hint="eastAsia" w:ascii="Times New Roman" w:hAnsi="Times New Roman" w:eastAsia="宋体" w:cs="Times New Roman"/>
          <w:b w:val="0"/>
          <w:bCs w:val="0"/>
          <w:snapToGrid/>
          <w:kern w:val="2"/>
          <w:sz w:val="24"/>
          <w:szCs w:val="24"/>
          <w:highlight w:val="none"/>
          <w:lang w:val="en-US" w:eastAsia="zh-CN"/>
        </w:rPr>
        <w:t>《动物防疫条件审查办法》</w:t>
      </w:r>
      <w:r>
        <w:rPr>
          <w:rFonts w:hint="eastAsia" w:ascii="Times New Roman" w:hAnsi="Times New Roman" w:eastAsia="宋体" w:cs="Times New Roman"/>
          <w:b w:val="0"/>
          <w:bCs w:val="0"/>
          <w:snapToGrid/>
          <w:kern w:val="2"/>
          <w:sz w:val="24"/>
          <w:szCs w:val="24"/>
          <w:lang w:val="en-US" w:eastAsia="zh-CN"/>
        </w:rPr>
        <w:t>（2022年修订版）、</w:t>
      </w:r>
      <w:r>
        <w:rPr>
          <w:rFonts w:hint="eastAsia" w:ascii="Times New Roman" w:hAnsi="Times New Roman" w:eastAsia="宋体" w:cs="Times New Roman"/>
          <w:b w:val="0"/>
          <w:bCs w:val="0"/>
          <w:snapToGrid/>
          <w:kern w:val="2"/>
          <w:sz w:val="24"/>
          <w:szCs w:val="24"/>
          <w:highlight w:val="none"/>
          <w:lang w:val="en-US" w:eastAsia="zh-CN"/>
        </w:rPr>
        <w:t>《食品生产通用卫生规范》</w:t>
      </w:r>
      <w:r>
        <w:rPr>
          <w:rFonts w:hint="eastAsia" w:ascii="Times New Roman" w:hAnsi="Times New Roman" w:eastAsia="宋体" w:cs="Times New Roman"/>
          <w:b w:val="0"/>
          <w:bCs w:val="0"/>
          <w:snapToGrid/>
          <w:kern w:val="2"/>
          <w:sz w:val="24"/>
          <w:szCs w:val="24"/>
          <w:lang w:val="en-US" w:eastAsia="zh-CN"/>
        </w:rPr>
        <w:t>（GB14881-2013）</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napToGrid/>
          <w:kern w:val="2"/>
          <w:sz w:val="24"/>
          <w:szCs w:val="24"/>
          <w:lang w:val="en-US" w:eastAsia="zh-CN"/>
        </w:rPr>
      </w:pPr>
      <w:r>
        <w:rPr>
          <w:rFonts w:hint="default" w:ascii="Times New Roman" w:hAnsi="Times New Roman" w:eastAsia="宋体" w:cs="Times New Roman"/>
          <w:b/>
          <w:bCs/>
          <w:snapToGrid/>
          <w:kern w:val="2"/>
          <w:sz w:val="24"/>
          <w:szCs w:val="24"/>
          <w:lang w:val="en-US" w:eastAsia="zh-CN"/>
        </w:rPr>
        <w:t>表1-</w:t>
      </w:r>
      <w:r>
        <w:rPr>
          <w:rFonts w:hint="eastAsia" w:ascii="Times New Roman" w:hAnsi="Times New Roman" w:eastAsia="宋体" w:cs="Times New Roman"/>
          <w:b/>
          <w:bCs/>
          <w:snapToGrid/>
          <w:kern w:val="2"/>
          <w:sz w:val="24"/>
          <w:szCs w:val="24"/>
          <w:lang w:val="en-US" w:eastAsia="zh-CN"/>
        </w:rPr>
        <w:t>6</w:t>
      </w:r>
      <w:r>
        <w:rPr>
          <w:rFonts w:hint="default" w:ascii="Times New Roman" w:hAnsi="Times New Roman" w:eastAsia="宋体" w:cs="Times New Roman"/>
          <w:b/>
          <w:bCs/>
          <w:snapToGrid/>
          <w:kern w:val="2"/>
          <w:sz w:val="24"/>
          <w:szCs w:val="24"/>
          <w:lang w:val="en-US" w:eastAsia="zh-CN"/>
        </w:rPr>
        <w:t xml:space="preserve"> </w:t>
      </w:r>
      <w:r>
        <w:rPr>
          <w:rFonts w:hint="eastAsia" w:ascii="Times New Roman" w:hAnsi="Times New Roman" w:eastAsia="宋体" w:cs="Times New Roman"/>
          <w:b/>
          <w:bCs/>
          <w:snapToGrid/>
          <w:kern w:val="2"/>
          <w:sz w:val="24"/>
          <w:szCs w:val="24"/>
          <w:lang w:val="en-US" w:eastAsia="zh-CN"/>
        </w:rPr>
        <w:t xml:space="preserve">   </w:t>
      </w:r>
      <w:r>
        <w:rPr>
          <w:rFonts w:hint="default" w:ascii="Times New Roman" w:hAnsi="Times New Roman" w:eastAsia="宋体" w:cs="Times New Roman"/>
          <w:b/>
          <w:bCs/>
          <w:snapToGrid/>
          <w:kern w:val="2"/>
          <w:sz w:val="24"/>
          <w:szCs w:val="24"/>
          <w:lang w:val="en-US" w:eastAsia="zh-CN"/>
        </w:rPr>
        <w:t>项目与屠宰相关文件相符性分析</w:t>
      </w:r>
    </w:p>
    <w:tbl>
      <w:tblPr>
        <w:tblStyle w:val="21"/>
        <w:tblW w:w="88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1"/>
        <w:gridCol w:w="3532"/>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35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要求</w:t>
            </w:r>
          </w:p>
        </w:tc>
        <w:tc>
          <w:tcPr>
            <w:tcW w:w="353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本项目</w:t>
            </w:r>
          </w:p>
        </w:tc>
        <w:tc>
          <w:tcPr>
            <w:tcW w:w="9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827"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bCs/>
                <w:snapToGrid/>
                <w:kern w:val="2"/>
                <w:sz w:val="21"/>
                <w:szCs w:val="21"/>
                <w:vertAlign w:val="baseline"/>
                <w:lang w:val="en-US" w:eastAsia="zh-CN"/>
              </w:rPr>
              <w:t>《动物防疫条件审查办法》（20</w:t>
            </w:r>
            <w:r>
              <w:rPr>
                <w:rFonts w:hint="eastAsia" w:ascii="Times New Roman" w:hAnsi="Times New Roman" w:eastAsia="宋体" w:cs="Times New Roman"/>
                <w:b/>
                <w:bCs/>
                <w:snapToGrid/>
                <w:kern w:val="2"/>
                <w:sz w:val="21"/>
                <w:szCs w:val="21"/>
                <w:vertAlign w:val="baseline"/>
                <w:lang w:val="en-US" w:eastAsia="zh-CN"/>
              </w:rPr>
              <w:t>22修订版</w:t>
            </w:r>
            <w:r>
              <w:rPr>
                <w:rFonts w:hint="default" w:ascii="Times New Roman" w:hAnsi="Times New Roman" w:eastAsia="宋体" w:cs="Times New Roman"/>
                <w:b/>
                <w:bCs/>
                <w:snapToGrid/>
                <w:kern w:val="2"/>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35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第</w:t>
            </w:r>
            <w:r>
              <w:rPr>
                <w:rFonts w:hint="eastAsia" w:ascii="Times New Roman" w:hAnsi="Times New Roman" w:eastAsia="宋体" w:cs="Times New Roman"/>
                <w:b w:val="0"/>
                <w:bCs w:val="0"/>
                <w:snapToGrid/>
                <w:kern w:val="2"/>
                <w:sz w:val="21"/>
                <w:szCs w:val="21"/>
                <w:vertAlign w:val="baseline"/>
                <w:lang w:val="en-US" w:eastAsia="zh-CN"/>
              </w:rPr>
              <w:t>六</w:t>
            </w:r>
            <w:r>
              <w:rPr>
                <w:rFonts w:hint="default" w:ascii="Times New Roman" w:hAnsi="Times New Roman" w:eastAsia="宋体" w:cs="Times New Roman"/>
                <w:b w:val="0"/>
                <w:bCs w:val="0"/>
                <w:snapToGrid/>
                <w:kern w:val="2"/>
                <w:sz w:val="21"/>
                <w:szCs w:val="21"/>
                <w:vertAlign w:val="baseline"/>
                <w:lang w:val="en-US" w:eastAsia="zh-CN"/>
              </w:rPr>
              <w:t>条</w:t>
            </w:r>
            <w:r>
              <w:rPr>
                <w:rFonts w:hint="eastAsia" w:ascii="Times New Roman" w:hAnsi="Times New Roman" w:eastAsia="宋体" w:cs="Times New Roman"/>
                <w:b w:val="0"/>
                <w:bCs w:val="0"/>
                <w:snapToGrid/>
                <w:kern w:val="2"/>
                <w:sz w:val="21"/>
                <w:szCs w:val="21"/>
                <w:vertAlign w:val="baseline"/>
                <w:lang w:val="en-US" w:eastAsia="zh-CN"/>
              </w:rPr>
              <w:t>基本</w:t>
            </w:r>
            <w:r>
              <w:rPr>
                <w:rFonts w:hint="default" w:ascii="Times New Roman" w:hAnsi="Times New Roman" w:eastAsia="宋体" w:cs="Times New Roman"/>
                <w:b w:val="0"/>
                <w:bCs w:val="0"/>
                <w:snapToGrid/>
                <w:kern w:val="2"/>
                <w:sz w:val="21"/>
                <w:szCs w:val="21"/>
                <w:vertAlign w:val="baseline"/>
                <w:lang w:val="en-US" w:eastAsia="zh-CN"/>
              </w:rPr>
              <w:t>条件：（一）各场所之间，各场所与动物诊疗场所、居民生活区、生活饮用水水源地、学校、医院等公共场所之间保持必要的距离；（二）场区周围建有围墙等隔离设施；场区出入口处设置运输车辆消毒通道或者消毒池，并单独设置人员消毒通道；生产经营区与生活办公区分开，并有隔离设施；生产经营区入口处设置人员更衣消毒室；（三）配备与其生产经营规模相适应的执业兽医或者动物防疫技术人员；（四）配备与其生产经营规模相适应的污水、污物处理设施，清洗消毒设施设备，以及必要的防鼠、防鸟、防虫设施设备；（五）建立隔离消毒、购销台账、日常巡查等动物防疫制度。</w:t>
            </w:r>
          </w:p>
        </w:tc>
        <w:tc>
          <w:tcPr>
            <w:tcW w:w="353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本项目位于</w:t>
            </w:r>
            <w:r>
              <w:rPr>
                <w:rFonts w:hint="default" w:ascii="Times New Roman" w:hAnsi="Times New Roman" w:eastAsia="宋体" w:cs="Times New Roman"/>
                <w:b w:val="0"/>
                <w:bCs w:val="0"/>
                <w:snapToGrid/>
                <w:kern w:val="2"/>
                <w:sz w:val="21"/>
                <w:szCs w:val="21"/>
                <w:vertAlign w:val="baseline"/>
                <w:lang w:val="en-US" w:eastAsia="zh-CN"/>
              </w:rPr>
              <w:t>叶县马庄乡张庄村</w:t>
            </w:r>
            <w:r>
              <w:rPr>
                <w:rFonts w:hint="eastAsia" w:ascii="Times New Roman" w:hAnsi="Times New Roman" w:eastAsia="宋体" w:cs="Times New Roman"/>
                <w:b w:val="0"/>
                <w:bCs w:val="0"/>
                <w:snapToGrid/>
                <w:kern w:val="2"/>
                <w:sz w:val="21"/>
                <w:szCs w:val="21"/>
                <w:vertAlign w:val="baseline"/>
                <w:lang w:val="en-US" w:eastAsia="zh-CN"/>
              </w:rPr>
              <w:t>，</w:t>
            </w:r>
            <w:r>
              <w:rPr>
                <w:rFonts w:hint="default" w:ascii="Times New Roman" w:hAnsi="Times New Roman" w:eastAsia="宋体" w:cs="Times New Roman"/>
                <w:b w:val="0"/>
                <w:bCs w:val="0"/>
                <w:snapToGrid/>
                <w:kern w:val="2"/>
                <w:sz w:val="21"/>
                <w:szCs w:val="21"/>
                <w:vertAlign w:val="baseline"/>
                <w:lang w:val="en-US" w:eastAsia="zh-CN"/>
              </w:rPr>
              <w:t>与动物诊疗场所、居民生活区、生活饮用水水源地、学校、医院等公共场所之间保持</w:t>
            </w:r>
            <w:r>
              <w:rPr>
                <w:rFonts w:hint="eastAsia" w:ascii="Times New Roman" w:hAnsi="Times New Roman" w:eastAsia="宋体" w:cs="Times New Roman"/>
                <w:b w:val="0"/>
                <w:bCs w:val="0"/>
                <w:snapToGrid/>
                <w:kern w:val="2"/>
                <w:sz w:val="21"/>
                <w:szCs w:val="21"/>
                <w:vertAlign w:val="baseline"/>
                <w:lang w:val="en-US" w:eastAsia="zh-CN"/>
              </w:rPr>
              <w:t>一定</w:t>
            </w:r>
            <w:r>
              <w:rPr>
                <w:rFonts w:hint="default" w:ascii="Times New Roman" w:hAnsi="Times New Roman" w:eastAsia="宋体" w:cs="Times New Roman"/>
                <w:b w:val="0"/>
                <w:bCs w:val="0"/>
                <w:snapToGrid/>
                <w:kern w:val="2"/>
                <w:sz w:val="21"/>
                <w:szCs w:val="21"/>
                <w:vertAlign w:val="baseline"/>
                <w:lang w:val="en-US" w:eastAsia="zh-CN"/>
              </w:rPr>
              <w:t>的距离</w:t>
            </w:r>
            <w:r>
              <w:rPr>
                <w:rFonts w:hint="eastAsia" w:ascii="Times New Roman" w:hAnsi="Times New Roman" w:eastAsia="宋体" w:cs="Times New Roman"/>
                <w:b w:val="0"/>
                <w:bCs w:val="0"/>
                <w:snapToGrid/>
                <w:kern w:val="2"/>
                <w:sz w:val="21"/>
                <w:szCs w:val="21"/>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场区周围建有围墙等隔离设施；场区出入口处设置运输车辆消毒通道；</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按照要求配备执业兽医或者动物防疫技术人员；</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配备与其生产经营规模相适应的污水、污物处理设施，清洗消毒设施设备，以及必要的防鼠、防鸟、防虫设施设备；</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建立隔离消毒、购销台账、日常巡查等动物防疫制度</w:t>
            </w:r>
          </w:p>
        </w:tc>
        <w:tc>
          <w:tcPr>
            <w:tcW w:w="9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35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第</w:t>
            </w:r>
            <w:r>
              <w:rPr>
                <w:rFonts w:hint="eastAsia" w:ascii="Times New Roman" w:hAnsi="Times New Roman" w:eastAsia="宋体" w:cs="Times New Roman"/>
                <w:b w:val="0"/>
                <w:bCs w:val="0"/>
                <w:snapToGrid/>
                <w:kern w:val="2"/>
                <w:sz w:val="21"/>
                <w:szCs w:val="21"/>
                <w:vertAlign w:val="baseline"/>
                <w:lang w:val="en-US" w:eastAsia="zh-CN"/>
              </w:rPr>
              <w:t>九</w:t>
            </w:r>
            <w:r>
              <w:rPr>
                <w:rFonts w:hint="default" w:ascii="Times New Roman" w:hAnsi="Times New Roman" w:eastAsia="宋体" w:cs="Times New Roman"/>
                <w:b w:val="0"/>
                <w:bCs w:val="0"/>
                <w:snapToGrid/>
                <w:kern w:val="2"/>
                <w:sz w:val="21"/>
                <w:szCs w:val="21"/>
                <w:vertAlign w:val="baseline"/>
                <w:lang w:val="en-US" w:eastAsia="zh-CN"/>
              </w:rPr>
              <w:t>条动物屠宰加工场所除符合本办法第六条规定外，还应当符合下列条件：（一）入场动物卸载区域有固定的车辆消毒场地，并配备车辆清洗消毒设备；</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（二）有与其屠宰规模相适应的独立检疫室和休息室；有待宰圈、急宰间，加工原毛、生皮、绒、骨、角的，还应当设置封闭式熏蒸消毒间；</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（三）屠宰间配备检疫操作台；</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（四）有符合国家规定的病死动物和病害动物产品无害化处理设施设备或者冷藏冷冻等暂存设施设备；</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（五）建立动物进场查验登记、动物产品出场登记、检疫申报、疫情报告、无害化处理等动物防疫制度。</w:t>
            </w:r>
          </w:p>
        </w:tc>
        <w:tc>
          <w:tcPr>
            <w:tcW w:w="353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入场动物卸载区域有固定的车辆消毒场地，并配备车辆清洗消毒设备</w:t>
            </w:r>
            <w:r>
              <w:rPr>
                <w:rFonts w:hint="eastAsia" w:ascii="Times New Roman" w:hAnsi="Times New Roman" w:eastAsia="宋体" w:cs="Times New Roman"/>
                <w:b w:val="0"/>
                <w:bCs w:val="0"/>
                <w:snapToGrid/>
                <w:kern w:val="2"/>
                <w:sz w:val="21"/>
                <w:szCs w:val="21"/>
                <w:vertAlign w:val="baseline"/>
                <w:lang w:val="en-US" w:eastAsia="zh-CN"/>
              </w:rPr>
              <w:t>；有与其屠宰规模相适应的独立检疫室和休息室；</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有待宰圈、急宰间（不进行原毛、生皮、绒、骨、角加工）；屠宰间配备检疫操作台；</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有符合国家规定的冷藏冷冻等暂存设施设备</w:t>
            </w:r>
            <w:r>
              <w:rPr>
                <w:rFonts w:hint="eastAsia" w:ascii="Times New Roman" w:hAnsi="Times New Roman" w:eastAsia="宋体" w:cs="Times New Roman"/>
                <w:b w:val="0"/>
                <w:bCs w:val="0"/>
                <w:snapToGrid/>
                <w:kern w:val="2"/>
                <w:sz w:val="21"/>
                <w:szCs w:val="21"/>
                <w:vertAlign w:val="baseline"/>
                <w:lang w:val="en-US" w:eastAsia="zh-CN"/>
              </w:rPr>
              <w:t>（病死动物和病害动物产品，外协处理）</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建立动物进场查验登记、动物产品出场登记、检疫申报、疫情报告、无害化处理等动物防疫制度。</w:t>
            </w:r>
          </w:p>
        </w:tc>
        <w:tc>
          <w:tcPr>
            <w:tcW w:w="9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827"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bCs/>
                <w:snapToGrid/>
                <w:kern w:val="2"/>
                <w:sz w:val="21"/>
                <w:szCs w:val="21"/>
                <w:vertAlign w:val="baseline"/>
                <w:lang w:val="en-US" w:eastAsia="zh-CN"/>
              </w:rPr>
              <w:t>《食品生产通用卫生规范》（GB14881-2013）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35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3.1 选址</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3.1.1厂区不应选择对食品有显著污染的区域。如某地对食品安全和食品宜食用性存在明显的不利影响，且无法通过采取措施加以改善，应避免在该地址建厂。</w:t>
            </w:r>
          </w:p>
        </w:tc>
        <w:tc>
          <w:tcPr>
            <w:tcW w:w="353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本项目场界外北侧为河南省平顶山市迪可集团食品有限公司（肉制品加工企业），东侧为农田，南侧为中豫酒仓临街商铺，东侧为省道S330。厂区周围无对食品有显著污染的区域以及对食品安全和食用性明显的不利影响</w:t>
            </w:r>
          </w:p>
        </w:tc>
        <w:tc>
          <w:tcPr>
            <w:tcW w:w="9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35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3.1.2厂区不应选择有害废弃物以及粉尘、有害气体、放射性物质和其他扩散性污染源不能有效清除的地址。</w:t>
            </w:r>
          </w:p>
        </w:tc>
        <w:tc>
          <w:tcPr>
            <w:tcW w:w="353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项目周边不存在有害废弃物以及粉尘、有害气体、放射性物质和其他扩散性污染源。</w:t>
            </w:r>
          </w:p>
        </w:tc>
        <w:tc>
          <w:tcPr>
            <w:tcW w:w="9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35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3.1.3厂区不宜择易发生洪涝灾害的地区，难以避开时应设计必要的防范措施。</w:t>
            </w:r>
          </w:p>
        </w:tc>
        <w:tc>
          <w:tcPr>
            <w:tcW w:w="353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本项目地处平原区域，不易发生洪涝灾害。</w:t>
            </w:r>
          </w:p>
        </w:tc>
        <w:tc>
          <w:tcPr>
            <w:tcW w:w="9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35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3.1.4厂区周围不宜有虫害大量孳生的潜在场所，难以避开时应设计必要的防范措施。</w:t>
            </w:r>
          </w:p>
        </w:tc>
        <w:tc>
          <w:tcPr>
            <w:tcW w:w="353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default" w:ascii="Times New Roman" w:hAnsi="Times New Roman" w:eastAsia="宋体" w:cs="Times New Roman"/>
                <w:b w:val="0"/>
                <w:bCs w:val="0"/>
                <w:snapToGrid/>
                <w:kern w:val="2"/>
                <w:sz w:val="21"/>
                <w:szCs w:val="21"/>
                <w:vertAlign w:val="baseline"/>
                <w:lang w:val="en-US" w:eastAsia="zh-CN"/>
              </w:rPr>
              <w:t>项目周围</w:t>
            </w:r>
            <w:r>
              <w:rPr>
                <w:rFonts w:hint="eastAsia" w:ascii="Times New Roman" w:hAnsi="Times New Roman" w:eastAsia="宋体" w:cs="Times New Roman"/>
                <w:b w:val="0"/>
                <w:bCs w:val="0"/>
                <w:snapToGrid/>
                <w:kern w:val="2"/>
                <w:sz w:val="21"/>
                <w:szCs w:val="21"/>
                <w:vertAlign w:val="baseline"/>
                <w:lang w:val="en-US" w:eastAsia="zh-CN"/>
              </w:rPr>
              <w:t>无</w:t>
            </w:r>
            <w:r>
              <w:rPr>
                <w:rFonts w:hint="default" w:ascii="Times New Roman" w:hAnsi="Times New Roman" w:eastAsia="宋体" w:cs="Times New Roman"/>
                <w:b w:val="0"/>
                <w:bCs w:val="0"/>
                <w:snapToGrid/>
                <w:kern w:val="2"/>
                <w:sz w:val="21"/>
                <w:szCs w:val="21"/>
                <w:vertAlign w:val="baseline"/>
                <w:lang w:val="en-US" w:eastAsia="zh-CN"/>
              </w:rPr>
              <w:t>虫害大量孳生的潜在场所</w:t>
            </w:r>
          </w:p>
        </w:tc>
        <w:tc>
          <w:tcPr>
            <w:tcW w:w="9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kern w:val="2"/>
                <w:sz w:val="21"/>
                <w:szCs w:val="21"/>
                <w:vertAlign w:val="baseline"/>
                <w:lang w:val="en-US" w:eastAsia="zh-CN"/>
              </w:rPr>
            </w:pPr>
            <w:r>
              <w:rPr>
                <w:rFonts w:hint="eastAsia" w:ascii="Times New Roman" w:hAnsi="Times New Roman" w:eastAsia="宋体" w:cs="Times New Roman"/>
                <w:b w:val="0"/>
                <w:bCs w:val="0"/>
                <w:snapToGrid/>
                <w:kern w:val="2"/>
                <w:sz w:val="21"/>
                <w:szCs w:val="21"/>
                <w:vertAlign w:val="baseline"/>
                <w:lang w:val="en-US" w:eastAsia="zh-CN"/>
              </w:rPr>
              <w:t>相符</w:t>
            </w:r>
          </w:p>
        </w:tc>
      </w:tr>
    </w:tbl>
    <w:p>
      <w:pPr>
        <w:keepNext w:val="0"/>
        <w:keepLines w:val="0"/>
        <w:pageBreakBefore w:val="0"/>
        <w:widowControl/>
        <w:suppressLineNumbers w:val="0"/>
        <w:kinsoku/>
        <w:wordWrap/>
        <w:overflowPunct/>
        <w:topLinePunct w:val="0"/>
        <w:autoSpaceDE/>
        <w:autoSpaceDN/>
        <w:bidi w:val="0"/>
        <w:adjustRightInd/>
        <w:snapToGrid/>
        <w:spacing w:before="0" w:beforeLines="50" w:line="360" w:lineRule="auto"/>
        <w:ind w:left="0" w:leftChars="0" w:firstLine="480" w:firstLineChars="200"/>
        <w:jc w:val="left"/>
        <w:textAlignment w:val="auto"/>
        <w:rPr>
          <w:rFonts w:hint="default" w:ascii="Times New Roman" w:hAnsi="Times New Roman" w:eastAsia="宋体" w:cs="Times New Roman"/>
          <w:b w:val="0"/>
          <w:bCs w:val="0"/>
          <w:snapToGrid/>
          <w:kern w:val="2"/>
          <w:sz w:val="24"/>
          <w:szCs w:val="24"/>
          <w:lang w:val="en-US" w:eastAsia="zh-CN"/>
        </w:rPr>
      </w:pPr>
      <w:r>
        <w:rPr>
          <w:rFonts w:hint="default" w:ascii="Times New Roman" w:hAnsi="Times New Roman" w:eastAsia="宋体" w:cs="Times New Roman"/>
          <w:b w:val="0"/>
          <w:bCs w:val="0"/>
          <w:snapToGrid/>
          <w:kern w:val="2"/>
          <w:sz w:val="24"/>
          <w:szCs w:val="24"/>
          <w:lang w:val="en-US" w:eastAsia="zh-CN"/>
        </w:rPr>
        <w:t>3、与《屠宰及肉类加工业污染防治可行技术指南》（HJ1285—2023）相符性分析</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b w:val="0"/>
          <w:bCs w:val="0"/>
          <w:snapToGrid/>
          <w:kern w:val="2"/>
          <w:sz w:val="24"/>
          <w:szCs w:val="24"/>
          <w:lang w:val="en-US" w:eastAsia="zh-CN"/>
        </w:rPr>
      </w:pPr>
      <w:r>
        <w:rPr>
          <w:rFonts w:hint="default" w:ascii="Times New Roman" w:hAnsi="Times New Roman" w:eastAsia="宋体" w:cs="Times New Roman"/>
          <w:b w:val="0"/>
          <w:bCs w:val="0"/>
          <w:snapToGrid/>
          <w:kern w:val="2"/>
          <w:sz w:val="24"/>
          <w:szCs w:val="24"/>
          <w:lang w:val="en-US" w:eastAsia="zh-CN"/>
        </w:rPr>
        <w:t>本项目与《屠宰及肉类加工业污染防治可行技术指南》（HJ1285—2023）相符性分析如下。</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napToGrid/>
          <w:kern w:val="2"/>
          <w:sz w:val="24"/>
          <w:szCs w:val="24"/>
          <w:lang w:val="en-US" w:eastAsia="zh-CN"/>
        </w:rPr>
      </w:pPr>
      <w:r>
        <w:rPr>
          <w:rFonts w:hint="default" w:ascii="Times New Roman" w:hAnsi="Times New Roman" w:eastAsia="宋体" w:cs="Times New Roman"/>
          <w:b/>
          <w:bCs/>
          <w:snapToGrid/>
          <w:kern w:val="2"/>
          <w:sz w:val="24"/>
          <w:szCs w:val="24"/>
          <w:lang w:val="en-US" w:eastAsia="zh-CN"/>
        </w:rPr>
        <w:t>表1-</w:t>
      </w:r>
      <w:r>
        <w:rPr>
          <w:rFonts w:hint="eastAsia" w:ascii="Times New Roman" w:hAnsi="Times New Roman" w:eastAsia="宋体" w:cs="Times New Roman"/>
          <w:b/>
          <w:bCs/>
          <w:snapToGrid/>
          <w:kern w:val="2"/>
          <w:sz w:val="24"/>
          <w:szCs w:val="24"/>
          <w:lang w:val="en-US" w:eastAsia="zh-CN"/>
        </w:rPr>
        <w:t>7</w:t>
      </w:r>
      <w:r>
        <w:rPr>
          <w:rFonts w:hint="default" w:ascii="Times New Roman" w:hAnsi="Times New Roman" w:eastAsia="宋体" w:cs="Times New Roman"/>
          <w:b/>
          <w:bCs/>
          <w:snapToGrid/>
          <w:kern w:val="2"/>
          <w:sz w:val="24"/>
          <w:szCs w:val="24"/>
          <w:lang w:val="en-US" w:eastAsia="zh-CN"/>
        </w:rPr>
        <w:t>与《屠宰及肉类加工业污染防治可行技术指南》（HJ 1285—2023）相符性</w:t>
      </w:r>
    </w:p>
    <w:tbl>
      <w:tblPr>
        <w:tblStyle w:val="21"/>
        <w:tblW w:w="88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637"/>
        <w:gridCol w:w="2123"/>
        <w:gridCol w:w="2418"/>
        <w:gridCol w:w="1211"/>
        <w:gridCol w:w="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序号</w:t>
            </w: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类别</w:t>
            </w:r>
          </w:p>
        </w:tc>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可行性治理技术</w:t>
            </w:r>
          </w:p>
        </w:tc>
        <w:tc>
          <w:tcPr>
            <w:tcW w:w="24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highlight w:val="none"/>
                <w:vertAlign w:val="baseline"/>
                <w:lang w:val="en-US" w:eastAsia="zh-CN" w:bidi="ar"/>
              </w:rPr>
              <w:t>本项目治理技术</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技术适用条件</w:t>
            </w:r>
          </w:p>
        </w:tc>
        <w:tc>
          <w:tcPr>
            <w:tcW w:w="7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1</w:t>
            </w: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屠宰废水污染防治可行技术</w:t>
            </w:r>
          </w:p>
        </w:tc>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可行技术3：①预处理技术（格栅+气浮）+②厌氧技术（水解酸化）+③好氧技术（生物接触氧化）+深度处理技术（消毒）</w:t>
            </w:r>
          </w:p>
        </w:tc>
        <w:tc>
          <w:tcPr>
            <w:tcW w:w="24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highlight w:val="none"/>
                <w:vertAlign w:val="baseline"/>
                <w:lang w:val="en-US" w:eastAsia="zh-CN" w:bidi="ar"/>
              </w:rPr>
            </w:pPr>
            <w:r>
              <w:rPr>
                <w:rFonts w:hint="eastAsia" w:ascii="Times New Roman" w:hAnsi="Times New Roman" w:eastAsia="宋体" w:cs="Times New Roman"/>
                <w:snapToGrid/>
                <w:color w:val="000000"/>
                <w:kern w:val="2"/>
                <w:sz w:val="21"/>
                <w:szCs w:val="21"/>
                <w:highlight w:val="none"/>
                <w:vertAlign w:val="baseline"/>
                <w:lang w:val="en-US" w:eastAsia="zh-CN" w:bidi="ar"/>
              </w:rPr>
              <w:t>格栅气浮+水解酸化+生物接触氧化+消毒</w:t>
            </w:r>
          </w:p>
          <w:p>
            <w:pPr>
              <w:widowControl w:val="0"/>
              <w:bidi w:val="0"/>
              <w:jc w:val="right"/>
              <w:rPr>
                <w:rFonts w:hint="eastAsia" w:ascii="Arial" w:hAnsi="Arial" w:eastAsia="Arial" w:cs="Arial"/>
                <w:snapToGrid w:val="0"/>
                <w:color w:val="000000"/>
                <w:kern w:val="0"/>
                <w:sz w:val="21"/>
                <w:szCs w:val="21"/>
                <w:lang w:val="en-US" w:eastAsia="zh-CN" w:bidi="ar-SA"/>
              </w:rPr>
            </w:pP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适用于向公共污水处理系统排放的小型牲畜屠</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宰企业。</w:t>
            </w:r>
          </w:p>
        </w:tc>
        <w:tc>
          <w:tcPr>
            <w:tcW w:w="7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2</w:t>
            </w: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废气污染防治可行技术</w:t>
            </w:r>
          </w:p>
        </w:tc>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集中收集/加罩（盖）+生物除臭/物理除臭</w:t>
            </w:r>
          </w:p>
        </w:tc>
        <w:tc>
          <w:tcPr>
            <w:tcW w:w="24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集中收集+生物除臭</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w:t>
            </w:r>
          </w:p>
        </w:tc>
        <w:tc>
          <w:tcPr>
            <w:tcW w:w="7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3</w:t>
            </w: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固体废物污染防治可行技术</w:t>
            </w:r>
          </w:p>
        </w:tc>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粪便、碎肉等进行资源化利用；污水处理产生的污泥、生活垃圾等进行废物处置</w:t>
            </w:r>
          </w:p>
        </w:tc>
        <w:tc>
          <w:tcPr>
            <w:tcW w:w="24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本项目粪便、碎肉等定期外售给相关企业进行资源化利用；污泥经脱水收集后，外售制作有机肥；生活垃圾收集后交环卫部门统一处置</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w:t>
            </w:r>
          </w:p>
        </w:tc>
        <w:tc>
          <w:tcPr>
            <w:tcW w:w="7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4</w:t>
            </w: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噪声污染防治可行技术</w:t>
            </w:r>
          </w:p>
        </w:tc>
        <w:tc>
          <w:tcPr>
            <w:tcW w:w="212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厂房隔音+吸音材料+隔振元件+弹性连接</w:t>
            </w:r>
          </w:p>
        </w:tc>
        <w:tc>
          <w:tcPr>
            <w:tcW w:w="24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厂房隔音+吸音材料+隔振元件+弹性连接</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w:t>
            </w:r>
          </w:p>
        </w:tc>
        <w:tc>
          <w:tcPr>
            <w:tcW w:w="7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相符</w:t>
            </w:r>
          </w:p>
        </w:tc>
      </w:tr>
    </w:tbl>
    <w:p>
      <w:pPr>
        <w:widowControl/>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综上所述，本项目与《屠宰及肉类加工业污染防治可行技术指南》（HJ1285—2023）的要求相符。</w:t>
      </w:r>
    </w:p>
    <w:p>
      <w:pPr>
        <w:widowControl/>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 xml:space="preserve">4、与《畜禽屠宰加工卫生规范》（GB12694-2016）相符性分析 </w:t>
      </w:r>
    </w:p>
    <w:p>
      <w:pPr>
        <w:widowControl/>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本项目与《畜禽屠宰加工卫生规范》（GB12694-2016）相符性分析如下。</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b/>
          <w:bCs/>
          <w:snapToGrid/>
          <w:color w:val="000000"/>
          <w:kern w:val="2"/>
          <w:sz w:val="24"/>
          <w:szCs w:val="24"/>
          <w:lang w:val="en-US" w:eastAsia="zh-CN" w:bidi="ar"/>
        </w:rPr>
        <w:t>表1-8    畜禽屠宰加工卫生规范相符性分析</w:t>
      </w:r>
    </w:p>
    <w:tbl>
      <w:tblPr>
        <w:tblStyle w:val="21"/>
        <w:tblW w:w="88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8"/>
        <w:gridCol w:w="4560"/>
        <w:gridCol w:w="2790"/>
        <w:gridCol w:w="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类别</w:t>
            </w:r>
          </w:p>
        </w:tc>
        <w:tc>
          <w:tcPr>
            <w:tcW w:w="45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技术要求</w:t>
            </w:r>
          </w:p>
        </w:tc>
        <w:tc>
          <w:tcPr>
            <w:tcW w:w="27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本项目</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选址</w:t>
            </w:r>
          </w:p>
        </w:tc>
        <w:tc>
          <w:tcPr>
            <w:tcW w:w="45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址周围应有良好的环境卫生条件。厂区应远离受污染的水体，并应避开产生有害气体、烟雾、粉尘等污染源的工业企业或其他产生污染源的地区或场所。厂址必须具备符合要求的水源和电源，应结合工艺要求因地制宜地确定，并应符合屠宰企业设置规划的要求。</w:t>
            </w:r>
          </w:p>
        </w:tc>
        <w:tc>
          <w:tcPr>
            <w:tcW w:w="27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厂区建设标准化生产厂房，周围无产生有害气体、烟雾、粉尘等污染源的工业企业或其他产生污染源的地区或场所</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厂区环境</w:t>
            </w:r>
          </w:p>
        </w:tc>
        <w:tc>
          <w:tcPr>
            <w:tcW w:w="45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区主要道路应硬化（如混凝土或沥青路面等），路面平整、易冲洗，不积水。厂区应设有废弃物、垃圾暂存或处理设施，废弃物应及时清除或处理，避免对厂区环境造成污染。厂区内不应堆放废弃设备和其他杂物。废弃物存放和处理排放应符合国家环保要求。厂区内禁止饲养与居宰加工无关的动物。</w:t>
            </w:r>
          </w:p>
        </w:tc>
        <w:tc>
          <w:tcPr>
            <w:tcW w:w="27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本项目车间地面已采用混凝土全部硬化，并定期清扫，生活垃圾委托当地环卫部门定期清运处理，不会对厂区造成污染；项目建成后厂区不堆放废弃设备和其他杂物，所有物品按类别规放，厂区内不饲养羊以外的动物。</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设计和布局</w:t>
            </w:r>
          </w:p>
        </w:tc>
        <w:tc>
          <w:tcPr>
            <w:tcW w:w="45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区应划分为生产区和非生产区。活畜禽、废弃物运送与成品出厂不得共用一个大门，场内不得共用一个通道；生产区各车间的布局与设施应满足生产工艺流程和卫生要求。车间清洁区与非清洁区应分隔。屠宰车间、分割车间的建筑面积与建筑设施应与生产规模相适应。车间内各加工区应按生产工艺流程划分明确，人流、物流互不干扰，并符合工艺、卫生及检疫检验要求；屠宰企业应设有待宰圈（区），隔离间、屠宰间、实验（化验）室、官方兽医室、化学品存放间和无害化处理间、居宰企业的厂区应设有畜禽和产品运输车辆和工具清洗、消毒的专门区域；</w:t>
            </w:r>
            <w:r>
              <w:rPr>
                <w:rFonts w:hint="eastAsia" w:ascii="Times New Roman" w:hAnsi="Times New Roman" w:eastAsia="宋体" w:cs="Times New Roman"/>
                <w:snapToGrid/>
                <w:color w:val="000000"/>
                <w:kern w:val="2"/>
                <w:sz w:val="21"/>
                <w:szCs w:val="21"/>
                <w:highlight w:val="none"/>
                <w:vertAlign w:val="baseline"/>
                <w:lang w:val="en-US" w:eastAsia="zh-CN" w:bidi="ar"/>
              </w:rPr>
              <w:t>对于没有设立无害化处理间的居宰企业，应委托具有资质的专业无害化处理场实施无害化处理；</w:t>
            </w:r>
          </w:p>
        </w:tc>
        <w:tc>
          <w:tcPr>
            <w:tcW w:w="27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本项目分为生产区和办公区、生产区设有待宰圈（区）、屠宰间等，废弃物与成品经不同大门送出车间，避免造成污染；项目屠宰车间采用自动化生产线，建筑面积和建筑设施与生产规模相适应；车间内各加工区按生产工艺流程划分明确，人流、物流互不干扰，并符合工艺、卫生及检疫检验要求；项目不设无害化处理间，病死牛羊及不合格肉品，经厂区包装暂存后，送叶县益康动物无害化处理有限公司处置。</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厂区、车间清洗消毒设施</w:t>
            </w:r>
          </w:p>
        </w:tc>
        <w:tc>
          <w:tcPr>
            <w:tcW w:w="45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厂区运输畜禽车辆出入口处应设置与门同宽，长4m、深0.3m 以上的消毒池；生产车间入口及车间内必要处，应设置换鞋(穿戴鞋套)设施或工作鞋靴消毒设施，其规格尺寸应能满足消毒需要。隔离间、无害化处理车间的门口应设车轮、鞋靴消毒设施。</w:t>
            </w:r>
          </w:p>
        </w:tc>
        <w:tc>
          <w:tcPr>
            <w:tcW w:w="27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厂区按要求设置消毒池，并配套符合需要的换鞋(穿戴鞋套)设施或工作鞋靴消毒设施。建设有隔离间，并设车轮、鞋靴消毒设施（病死牛羊及不合格屠宰物，本单位委托叶县益康动物无害化处理有限公司进行处理）</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检疫检验</w:t>
            </w:r>
          </w:p>
        </w:tc>
        <w:tc>
          <w:tcPr>
            <w:tcW w:w="45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 xml:space="preserve">企业应具有与生产能力相适应的检验部门。应具备检验所需要的检测方法和相关标准资料,并建立完整的内部管理制度,以确保检验结果的准确性;检验要有原始记录。实验(化验)室应配备满足检验需要的设施设备。委托社会检验机构承担检测工作的,该检验机构应具有相应的资质。委托检测应满足企业日常检验工作的需要。 </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产品加工、检验和维护食品安全控制体系运行所需要的计量仪器、设施设备应按规定进行计量检定,使用前应进行校准。</w:t>
            </w:r>
          </w:p>
        </w:tc>
        <w:tc>
          <w:tcPr>
            <w:tcW w:w="27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企业拟建与生产能力相适应的检验部门，并配套建设需要的计量仪器、设施设备</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卫生控制要求</w:t>
            </w:r>
          </w:p>
        </w:tc>
        <w:tc>
          <w:tcPr>
            <w:tcW w:w="45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①企业应执行政府主管部门制定的残留物质监控、非法添加物和病原微生物监控规定,并在此基础上制定本企业的所有肉类的残留物质监控计划、非法添加物和病原微生物监控计划。②应在适当位置设置检查岗位,检查胴体及产品卫生情况。③应采取适当措施,避免可疑病害畜禽胴体、组织、体液(如胆汁、尿液、奶汁等)、肠胃内容物污染其他肉类、设备和场地。已经污染的设备和场地应进行清洗和消毒后,方可重新屠宰加工正常畜禽。 ④被脓液、渗出物、病理组织、体液、胃肠内容物等污染物污染的胴体或产品,应按有关规定修整、剔除或废弃。⑤加工过程中使用的器具(如盛放产品的容器、清洗用的水管等)不应落地或与不清洁的表面接触,避免对产品造成交叉污染;当产品落地时,应采取适当措施消除污染。⑥按照工艺要求,屠宰后胴体和食用副产品需要进行预冷的,应立即预冷。冷却后,畜肉的中心温度应保持在7 ℃以下,禽肉中心温度应保持在4 ℃以下,内脏产品中心温度应保持在3 ℃以下。加工、分割、去骨等操作应尽可能迅速。生产冷冻产品时,应在48h内使肉的中心温度达到-15 ℃以下后方可进入冷藏储存库。⑦屠宰间面积充足,应保证操作符合要求。不应在同一屠宰间,同时屠宰不同种类的畜禽。</w:t>
            </w:r>
          </w:p>
        </w:tc>
        <w:tc>
          <w:tcPr>
            <w:tcW w:w="27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按照控制要求执行</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bidi="ar"/>
              </w:rPr>
            </w:pPr>
            <w:r>
              <w:rPr>
                <w:rFonts w:hint="eastAsia" w:ascii="Times New Roman" w:hAnsi="Times New Roman" w:eastAsia="宋体" w:cs="Times New Roman"/>
                <w:snapToGrid/>
                <w:color w:val="000000"/>
                <w:kern w:val="2"/>
                <w:sz w:val="21"/>
                <w:szCs w:val="21"/>
                <w:vertAlign w:val="baseline"/>
                <w:lang w:val="en-US" w:eastAsia="zh-CN" w:bidi="ar"/>
              </w:rPr>
              <w:t>符合</w:t>
            </w:r>
          </w:p>
        </w:tc>
      </w:tr>
    </w:tbl>
    <w:p>
      <w:pPr>
        <w:keepNext w:val="0"/>
        <w:keepLines w:val="0"/>
        <w:pageBreakBefore w:val="0"/>
        <w:widowControl/>
        <w:kinsoku/>
        <w:wordWrap/>
        <w:overflowPunct/>
        <w:topLinePunct w:val="0"/>
        <w:autoSpaceDE/>
        <w:autoSpaceDN/>
        <w:bidi w:val="0"/>
        <w:adjustRightInd/>
        <w:snapToGrid/>
        <w:spacing w:before="0" w:beforeLines="5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综上分析，本项目符合《畜禽屠宰加工卫生规范》（GB12694-2016）中的有关环境保护和污染防治的要求。</w:t>
      </w:r>
    </w:p>
    <w:p>
      <w:pPr>
        <w:keepNext w:val="0"/>
        <w:keepLines w:val="0"/>
        <w:pageBreakBefore w:val="0"/>
        <w:widowControl/>
        <w:kinsoku/>
        <w:wordWrap/>
        <w:overflowPunct/>
        <w:topLinePunct w:val="0"/>
        <w:autoSpaceDE/>
        <w:autoSpaceDN/>
        <w:bidi w:val="0"/>
        <w:adjustRightInd/>
        <w:snapToGrid/>
        <w:spacing w:before="0" w:beforeLines="50"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5、与《牛羊屠宰与分割车间设计规范》（GB51225--2017）相符性分析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u w:val="single"/>
          <w:lang w:val="en-US" w:eastAsia="zh-CN" w:bidi="ar"/>
        </w:rPr>
      </w:pPr>
      <w:r>
        <w:rPr>
          <w:rFonts w:hint="eastAsia" w:ascii="Times New Roman" w:hAnsi="Times New Roman" w:eastAsia="宋体" w:cs="Times New Roman"/>
          <w:snapToGrid/>
          <w:color w:val="000000"/>
          <w:kern w:val="2"/>
          <w:sz w:val="24"/>
          <w:szCs w:val="24"/>
          <w:u w:val="single"/>
          <w:lang w:val="en-US" w:eastAsia="zh-CN" w:bidi="ar"/>
        </w:rPr>
        <w:t>本项目与《牛羊屠宰与分割车间设计规范》（GB51225--2017）相符性分析如下。</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b/>
          <w:bCs/>
          <w:snapToGrid/>
          <w:color w:val="000000"/>
          <w:kern w:val="2"/>
          <w:sz w:val="24"/>
          <w:szCs w:val="24"/>
          <w:lang w:val="en-US" w:eastAsia="zh-CN" w:bidi="ar"/>
        </w:rPr>
        <w:t>表1-9    与牛羊屠宰与分割车间设计规范相符性分析</w:t>
      </w:r>
    </w:p>
    <w:tbl>
      <w:tblPr>
        <w:tblStyle w:val="21"/>
        <w:tblW w:w="88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325"/>
        <w:gridCol w:w="2925"/>
        <w:gridCol w:w="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类别</w:t>
            </w:r>
          </w:p>
        </w:tc>
        <w:tc>
          <w:tcPr>
            <w:tcW w:w="43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技术要求</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本项目</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3场址选择和总平面布置</w:t>
            </w:r>
          </w:p>
        </w:tc>
        <w:tc>
          <w:tcPr>
            <w:tcW w:w="43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3.2.2生产区活畜入口、废弃物的出口与产品出口应分开设置，活畜、废弃物与产品的运送通道不得共用。</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生产区活畜入口、废弃物的出口与产品出口分开设置</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4建筑</w:t>
            </w:r>
          </w:p>
        </w:tc>
        <w:tc>
          <w:tcPr>
            <w:tcW w:w="43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4.1.2屠宰与分割车间非清洁区与清洁区的人流、物流不应交叉，非清洁区与清洁区的出入口应分别独立设置。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4.5.5产品冻结若采用制冷速冻装置时，制冷速冻装置应设在单独的房间内。</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4.6.2屠宰与分割车间非清洁区和清洁区生产人员的卫生与生活用房应分开布置。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4.7.3当牛羊屠宰与分割车间同氨压缩机房贴邻时，应采用不开门窗洞口的防火墙分隔。</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1、非清洁区与清洁区的出入口分别独立设置；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2、设置单独的速冻间；</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3、清洁区与非清洁区分开设置；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4、本项目不涉及氨压缩机房</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6屠宰与分割</w:t>
            </w:r>
          </w:p>
        </w:tc>
        <w:tc>
          <w:tcPr>
            <w:tcW w:w="43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6.1.4工艺流程设置应满足从屠宰放血到胴体进冷却间的时间不得超过45min,其中从放血到取出内脏的时间不得超过30min的要求。</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default" w:ascii="Times New Roman" w:hAnsi="Times New Roman" w:eastAsia="宋体" w:cs="Times New Roman"/>
                <w:snapToGrid/>
                <w:color w:val="000000"/>
                <w:kern w:val="2"/>
                <w:sz w:val="21"/>
                <w:szCs w:val="21"/>
                <w:u w:val="single"/>
                <w:vertAlign w:val="baseline"/>
                <w:lang w:val="en-US" w:eastAsia="zh-CN" w:bidi="ar"/>
              </w:rPr>
              <w:t>6.4.4胴体加工轨道面距地面高度应符合下列规定:1牛去头工序设置在扯皮机后的不应低于4.0m。2进冷却间前不应低于3.8m。3羊胴体加工不应低于2.2m。</w:t>
            </w:r>
          </w:p>
          <w:p>
            <w:pPr>
              <w:pStyle w:val="13"/>
              <w:keepNext w:val="0"/>
              <w:keepLines w:val="0"/>
              <w:pageBreakBefore w:val="0"/>
              <w:widowControl/>
              <w:wordWrap/>
              <w:overflowPunct/>
              <w:topLinePunct w:val="0"/>
              <w:bidi w:val="0"/>
              <w:spacing w:after="0"/>
              <w:ind w:left="0" w:leftChars="0" w:firstLine="0" w:firstLineChars="0"/>
              <w:jc w:val="left"/>
              <w:rPr>
                <w:rFonts w:hint="eastAsia" w:ascii="Times New Roman" w:hAnsi="Times New Roman" w:eastAsia="宋体" w:cs="Times New Roman"/>
                <w:snapToGrid/>
                <w:color w:val="000000"/>
                <w:kern w:val="2"/>
                <w:sz w:val="21"/>
                <w:szCs w:val="21"/>
                <w:u w:val="single"/>
                <w:vertAlign w:val="baseline"/>
                <w:lang w:val="en-US" w:eastAsia="zh-CN" w:bidi="ar"/>
              </w:rPr>
            </w:pPr>
            <w:r>
              <w:rPr>
                <w:rFonts w:hint="default" w:ascii="Times New Roman" w:hAnsi="Times New Roman" w:cs="Times New Roman"/>
                <w:u w:val="single"/>
                <w:lang w:val="en-US" w:eastAsia="zh-CN"/>
              </w:rPr>
              <w:t>6.5.2 屠体的红内脏、白内脏、头蹄尾、皮张的加工工序应分别设置在不同的房间。</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1、屠宰放血到胴体进冷却间的时间少于30min，其中从放血到取出内脏的时间少于15min；2、</w:t>
            </w:r>
            <w:r>
              <w:rPr>
                <w:rFonts w:hint="default" w:ascii="Times New Roman" w:hAnsi="Times New Roman" w:eastAsia="宋体" w:cs="Times New Roman"/>
                <w:snapToGrid/>
                <w:color w:val="000000"/>
                <w:kern w:val="2"/>
                <w:sz w:val="21"/>
                <w:szCs w:val="21"/>
                <w:u w:val="single"/>
                <w:vertAlign w:val="baseline"/>
                <w:lang w:val="en-US" w:eastAsia="zh-CN" w:bidi="ar"/>
              </w:rPr>
              <w:t>牛去头工序扯皮机后</w:t>
            </w:r>
            <w:r>
              <w:rPr>
                <w:rFonts w:hint="eastAsia" w:ascii="Times New Roman" w:hAnsi="Times New Roman" w:eastAsia="宋体" w:cs="Times New Roman"/>
                <w:snapToGrid/>
                <w:color w:val="000000"/>
                <w:kern w:val="2"/>
                <w:sz w:val="21"/>
                <w:szCs w:val="21"/>
                <w:u w:val="single"/>
                <w:vertAlign w:val="baseline"/>
                <w:lang w:val="en-US" w:eastAsia="zh-CN" w:bidi="ar"/>
              </w:rPr>
              <w:t>4.5m，进冷却间4.0m，羊胴体2.4m；3、本厂不设内脏、头蹄及皮张加工工序</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7、兽医食品卫生检验</w:t>
            </w:r>
          </w:p>
        </w:tc>
        <w:tc>
          <w:tcPr>
            <w:tcW w:w="4325" w:type="dxa"/>
            <w:tcBorders>
              <w:tl2br w:val="nil"/>
              <w:tr2bl w:val="nil"/>
            </w:tcBorders>
            <w:vAlign w:val="center"/>
          </w:tcPr>
          <w:p>
            <w:pPr>
              <w:pStyle w:val="13"/>
              <w:widowControl w:val="0"/>
              <w:ind w:left="0" w:leftChars="0" w:firstLine="0" w:firstLineChars="0"/>
              <w:rPr>
                <w:rFonts w:hint="eastAsia"/>
                <w:u w:val="single"/>
                <w:lang w:val="en-US" w:eastAsia="zh-CN"/>
              </w:rPr>
            </w:pPr>
            <w:r>
              <w:rPr>
                <w:rFonts w:hint="default" w:ascii="Times New Roman" w:hAnsi="Times New Roman" w:cs="Times New Roman"/>
                <w:u w:val="single"/>
                <w:lang w:val="en-US" w:eastAsia="zh-CN"/>
              </w:rPr>
              <w:t>7.0.11生产区应设置与生产规模相适应的化验室</w:t>
            </w:r>
            <w:r>
              <w:rPr>
                <w:rFonts w:hint="eastAsia" w:ascii="Times New Roman" w:hAnsi="Times New Roman" w:cs="Times New Roman"/>
                <w:u w:val="single"/>
                <w:lang w:val="en-US" w:eastAsia="zh-CN"/>
              </w:rPr>
              <w:t>，</w:t>
            </w:r>
            <w:r>
              <w:rPr>
                <w:rFonts w:hint="default" w:ascii="Times New Roman" w:hAnsi="Times New Roman" w:cs="Times New Roman"/>
                <w:u w:val="single"/>
                <w:lang w:val="en-US" w:eastAsia="zh-CN"/>
              </w:rPr>
              <w:t>化验室应单独设置进出口。</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配套建设有实验室，且有单独出口</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8制冷工艺</w:t>
            </w:r>
          </w:p>
        </w:tc>
        <w:tc>
          <w:tcPr>
            <w:tcW w:w="43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8.1.2 氨制冷系统管道严禁穿过有人员办公及休息的房间。</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本项目不涉及</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9给水排水</w:t>
            </w:r>
          </w:p>
        </w:tc>
        <w:tc>
          <w:tcPr>
            <w:tcW w:w="43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9.3.3屠宰与分割车间室内排水沟排水与室外排水管道连接处应设水封装置或室外设置水封井,水封高度不应小于50mm。</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9.3.7屠宰与分割车间内各加工设备、水箱、水池等用水设备的泄水、溢流管不得与车间排水管道直接连接，应采用间接排水方式。</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1、室内排水沟排水与室外排水管道连接处应设水封装置，水封高度不少于50mm；</w:t>
            </w:r>
          </w:p>
          <w:p>
            <w:pPr>
              <w:pStyle w:val="13"/>
              <w:widowControl w:val="0"/>
              <w:ind w:left="0" w:leftChars="0" w:firstLine="0" w:firstLineChars="0"/>
              <w:rPr>
                <w:rFonts w:hint="default"/>
                <w:u w:val="single"/>
                <w:lang w:val="en-US" w:eastAsia="zh-CN"/>
              </w:rPr>
            </w:pPr>
            <w:r>
              <w:rPr>
                <w:rFonts w:hint="eastAsia" w:ascii="Times New Roman" w:hAnsi="Times New Roman" w:eastAsia="宋体" w:cs="Times New Roman"/>
                <w:snapToGrid/>
                <w:color w:val="000000"/>
                <w:kern w:val="2"/>
                <w:sz w:val="21"/>
                <w:szCs w:val="21"/>
                <w:u w:val="single"/>
                <w:vertAlign w:val="baseline"/>
                <w:lang w:val="en-US" w:eastAsia="zh-CN" w:bidi="ar"/>
              </w:rPr>
              <w:t>2、各加工设备、水箱、水池等用水设备的泄水、溢流管与车间排水管道间接排水方式</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10供暖通风与空气调节</w:t>
            </w:r>
          </w:p>
        </w:tc>
        <w:tc>
          <w:tcPr>
            <w:tcW w:w="43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10.3.1空气调节系统，严禁采用氨制冷剂直接蒸发式空气降温方式。</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厂区空气调节系统，采用R507混合制冷剂</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11电气</w:t>
            </w:r>
          </w:p>
        </w:tc>
        <w:tc>
          <w:tcPr>
            <w:tcW w:w="43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11.1.2电气线路穿越保温材料敷设时应采取防止产生冷桥的措施。</w:t>
            </w:r>
          </w:p>
        </w:tc>
        <w:tc>
          <w:tcPr>
            <w:tcW w:w="292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电气线路穿越保温材料敷设时应采取了保暖的措施</w:t>
            </w:r>
          </w:p>
        </w:tc>
        <w:tc>
          <w:tcPr>
            <w:tcW w:w="7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color w:val="000000"/>
                <w:kern w:val="2"/>
                <w:sz w:val="21"/>
                <w:szCs w:val="21"/>
                <w:u w:val="single"/>
                <w:vertAlign w:val="baseline"/>
                <w:lang w:val="en-US" w:eastAsia="zh-CN" w:bidi="ar"/>
              </w:rPr>
            </w:pPr>
            <w:r>
              <w:rPr>
                <w:rFonts w:hint="eastAsia" w:ascii="Times New Roman" w:hAnsi="Times New Roman" w:eastAsia="宋体" w:cs="Times New Roman"/>
                <w:snapToGrid/>
                <w:color w:val="000000"/>
                <w:kern w:val="2"/>
                <w:sz w:val="21"/>
                <w:szCs w:val="21"/>
                <w:u w:val="single"/>
                <w:vertAlign w:val="baseline"/>
                <w:lang w:val="en-US" w:eastAsia="zh-CN" w:bidi="ar"/>
              </w:rPr>
              <w:t>符合</w:t>
            </w:r>
          </w:p>
        </w:tc>
      </w:tr>
    </w:tbl>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9"/>
        <w:rPr>
          <w:rFonts w:ascii="楷体" w:hAnsi="楷体" w:eastAsia="楷体" w:cs="楷体"/>
          <w:sz w:val="28"/>
          <w:szCs w:val="28"/>
        </w:rPr>
      </w:pPr>
      <w:r>
        <w:rPr>
          <w:rFonts w:ascii="Times New Roman" w:hAnsi="Times New Roman" w:eastAsia="Times New Roman" w:cs="Times New Roman"/>
          <w:spacing w:val="-3"/>
          <w:sz w:val="28"/>
          <w:szCs w:val="28"/>
        </w:rPr>
        <w:t>1.4.6</w:t>
      </w:r>
      <w:r>
        <w:rPr>
          <w:rFonts w:ascii="楷体" w:hAnsi="楷体" w:eastAsia="楷体" w:cs="楷体"/>
          <w:spacing w:val="-3"/>
          <w:sz w:val="28"/>
          <w:szCs w:val="28"/>
        </w:rPr>
        <w:t>与区域集中式饮用水水源保护区的位置关系</w:t>
      </w:r>
    </w:p>
    <w:p>
      <w:pPr>
        <w:keepNext w:val="0"/>
        <w:keepLines w:val="0"/>
        <w:widowControl/>
        <w:suppressLineNumbers w:val="0"/>
        <w:kinsoku/>
        <w:autoSpaceDE/>
        <w:autoSpaceDN/>
        <w:adjustRightInd/>
        <w:snapToGrid/>
        <w:spacing w:line="360" w:lineRule="auto"/>
        <w:ind w:firstLine="480" w:firstLineChars="200"/>
        <w:jc w:val="left"/>
        <w:textAlignment w:val="auto"/>
        <w:rPr>
          <w:rFonts w:hint="eastAsia" w:ascii="宋体" w:hAnsi="宋体" w:eastAsia="宋体" w:cs="宋体"/>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1</w:t>
      </w:r>
      <w:r>
        <w:rPr>
          <w:rFonts w:hint="eastAsia" w:ascii="宋体" w:hAnsi="宋体" w:eastAsia="宋体" w:cs="宋体"/>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与《河南省人民政府办公厅关于印发河南省县级集中式饮用水水源保护区划的通知》（豫政办〔2013〕107号）</w:t>
      </w:r>
      <w:r>
        <w:rPr>
          <w:rFonts w:hint="eastAsia" w:ascii="宋体" w:hAnsi="宋体" w:eastAsia="宋体" w:cs="宋体"/>
          <w:snapToGrid/>
          <w:color w:val="000000"/>
          <w:kern w:val="0"/>
          <w:sz w:val="24"/>
          <w:szCs w:val="24"/>
          <w:lang w:val="en-US" w:eastAsia="zh-CN" w:bidi="ar"/>
        </w:rPr>
        <w:t>符合性分析——叶县县级</w:t>
      </w:r>
      <w:r>
        <w:rPr>
          <w:rFonts w:hint="default" w:ascii="Times New Roman" w:hAnsi="Times New Roman" w:eastAsia="宋体" w:cs="Times New Roman"/>
          <w:snapToGrid/>
          <w:color w:val="000000"/>
          <w:kern w:val="0"/>
          <w:sz w:val="24"/>
          <w:szCs w:val="24"/>
          <w:lang w:val="en-US" w:eastAsia="zh-CN" w:bidi="ar"/>
        </w:rPr>
        <w:t>集中式</w:t>
      </w:r>
      <w:r>
        <w:rPr>
          <w:rFonts w:hint="eastAsia" w:ascii="宋体" w:hAnsi="宋体" w:eastAsia="宋体" w:cs="宋体"/>
          <w:snapToGrid/>
          <w:color w:val="000000"/>
          <w:kern w:val="0"/>
          <w:sz w:val="24"/>
          <w:szCs w:val="24"/>
          <w:lang w:val="en-US" w:eastAsia="zh-CN" w:bidi="ar"/>
        </w:rPr>
        <w:t>饮用</w:t>
      </w:r>
      <w:r>
        <w:rPr>
          <w:rFonts w:hint="default" w:ascii="Times New Roman" w:hAnsi="Times New Roman" w:eastAsia="宋体" w:cs="Times New Roman"/>
          <w:snapToGrid/>
          <w:color w:val="000000"/>
          <w:kern w:val="0"/>
          <w:sz w:val="24"/>
          <w:szCs w:val="24"/>
          <w:lang w:val="en-US" w:eastAsia="zh-CN" w:bidi="ar"/>
        </w:rPr>
        <w:t>水</w:t>
      </w:r>
      <w:r>
        <w:rPr>
          <w:rFonts w:hint="eastAsia" w:ascii="宋体" w:hAnsi="宋体" w:eastAsia="宋体" w:cs="宋体"/>
          <w:snapToGrid/>
          <w:color w:val="000000"/>
          <w:kern w:val="0"/>
          <w:sz w:val="24"/>
          <w:szCs w:val="24"/>
          <w:lang w:val="en-US" w:eastAsia="zh-CN" w:bidi="ar"/>
        </w:rPr>
        <w:t>水源保护区划</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①叶县盐都水务地下水井群(昆鲁大道以北、昆阳大道以西，共3眼井)</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一级保护区范围</w:t>
      </w:r>
      <w:r>
        <w:rPr>
          <w:rFonts w:hint="eastAsia" w:ascii="Times New Roman" w:hAnsi="Times New Roman" w:eastAsia="宋体" w:cs="Times New Roman"/>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取水井外围30米的区域。</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二级保护区范围：一级保护区外，1~2号取水井外围330米外公切线所包含的区域。</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准保护区范围：二级保护区外，东至新建街、西至北关大街、南至文化路、北至昆鲁大道的区域。</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②叶县自由路(南关)地下水井群(共2眼井)</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一级保护区范围</w:t>
      </w:r>
      <w:r>
        <w:rPr>
          <w:rFonts w:hint="eastAsia" w:ascii="Times New Roman" w:hAnsi="Times New Roman" w:eastAsia="宋体" w:cs="Times New Roman"/>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取水井外围200米外公切线所包含的区域。</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③叶县东升洁地下水井群(昆鲁大道以南、昆阳大道以东、中心路以北，共6眼井)</w:t>
      </w:r>
    </w:p>
    <w:p>
      <w:pPr>
        <w:keepNext w:val="0"/>
        <w:keepLines w:val="0"/>
        <w:widowControl/>
        <w:suppressLineNumbers w:val="0"/>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一级保护区范围：取水井外围30米的区域。</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napToGrid/>
          <w:color w:val="000000"/>
          <w:kern w:val="2"/>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2、与《河南省人民政府办公厅关于印发河南省乡镇集中式饮用水水源保护区划的通知》（豫政办〔2016〕23号）符合性分析</w:t>
      </w:r>
      <w:r>
        <w:rPr>
          <w:rFonts w:hint="eastAsia" w:ascii="Times New Roman" w:hAnsi="Times New Roman" w:eastAsia="宋体" w:cs="Times New Roman"/>
          <w:snapToGrid/>
          <w:color w:val="000000"/>
          <w:kern w:val="0"/>
          <w:sz w:val="24"/>
          <w:szCs w:val="24"/>
          <w:lang w:val="en-US" w:eastAsia="zh-CN" w:bidi="ar"/>
        </w:rPr>
        <w:t>——</w:t>
      </w:r>
      <w:r>
        <w:rPr>
          <w:rFonts w:hint="default" w:ascii="Times New Roman" w:hAnsi="Times New Roman" w:eastAsia="宋体" w:cs="Times New Roman"/>
          <w:snapToGrid/>
          <w:color w:val="000000"/>
          <w:kern w:val="2"/>
          <w:sz w:val="24"/>
          <w:szCs w:val="24"/>
          <w:lang w:val="en-US" w:eastAsia="zh-CN" w:bidi="ar"/>
        </w:rPr>
        <w:t>叶县</w:t>
      </w:r>
      <w:r>
        <w:rPr>
          <w:rFonts w:hint="eastAsia" w:ascii="Times New Roman" w:hAnsi="Times New Roman" w:eastAsia="宋体" w:cs="Times New Roman"/>
          <w:snapToGrid/>
          <w:color w:val="000000"/>
          <w:kern w:val="2"/>
          <w:sz w:val="24"/>
          <w:szCs w:val="24"/>
          <w:lang w:val="en-US" w:eastAsia="zh-CN" w:bidi="ar"/>
        </w:rPr>
        <w:t>乡镇</w:t>
      </w:r>
      <w:r>
        <w:rPr>
          <w:rFonts w:hint="default" w:ascii="Times New Roman" w:hAnsi="Times New Roman" w:eastAsia="宋体" w:cs="Times New Roman"/>
          <w:snapToGrid/>
          <w:color w:val="000000"/>
          <w:kern w:val="2"/>
          <w:sz w:val="24"/>
          <w:szCs w:val="24"/>
          <w:lang w:val="en-US" w:eastAsia="zh-CN" w:bidi="ar"/>
        </w:rPr>
        <w:t>集中式饮用</w:t>
      </w:r>
      <w:r>
        <w:rPr>
          <w:rFonts w:hint="default" w:ascii="Times New Roman" w:hAnsi="Times New Roman" w:eastAsia="宋体" w:cs="Times New Roman"/>
          <w:snapToGrid/>
          <w:color w:val="000000"/>
          <w:kern w:val="0"/>
          <w:sz w:val="24"/>
          <w:szCs w:val="24"/>
          <w:lang w:val="en-US" w:eastAsia="zh-CN" w:bidi="ar"/>
        </w:rPr>
        <w:t>水</w:t>
      </w:r>
      <w:r>
        <w:rPr>
          <w:rFonts w:hint="default" w:ascii="Times New Roman" w:hAnsi="Times New Roman" w:eastAsia="宋体" w:cs="Times New Roman"/>
          <w:snapToGrid/>
          <w:color w:val="000000"/>
          <w:kern w:val="2"/>
          <w:sz w:val="24"/>
          <w:szCs w:val="24"/>
          <w:lang w:val="en-US" w:eastAsia="zh-CN" w:bidi="ar"/>
        </w:rPr>
        <w:t>水源保护区划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①叶县任店镇水厂地下水井(共1眼井)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一级保护区范围：水厂厂区及外围东25米、南11米、北29米的区域。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②叶县廉村镇水厂地下水井(共1眼井)</w:t>
      </w:r>
    </w:p>
    <w:p>
      <w:pPr>
        <w:keepNext w:val="0"/>
        <w:keepLines w:val="0"/>
        <w:pageBreakBefore w:val="0"/>
        <w:widowControl w:val="0"/>
        <w:kinsoku/>
        <w:wordWrap/>
        <w:overflowPunct/>
        <w:topLinePunct/>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一级保护区范围：水厂厂区及外围东30米、西10米、南5米、北30米的区域。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③叶县水寨乡蒋李水厂地下水井(共1眼井)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一级保护区范围:水厂厂区及外围东10米、西30米、南10米、北30米的区域。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④叶县保安镇水厂地下水井(共1眼井)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一级保护区范围:水厂厂区及外围东10米、西30米、南15米、北30米的区域。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
        </w:rPr>
      </w:pPr>
      <w:r>
        <w:rPr>
          <w:rFonts w:hint="eastAsia" w:ascii="Times New Roman" w:hAnsi="Times New Roman" w:eastAsia="宋体" w:cs="Times New Roman"/>
          <w:snapToGrid/>
          <w:color w:val="000000"/>
          <w:kern w:val="2"/>
          <w:sz w:val="24"/>
          <w:szCs w:val="24"/>
          <w:lang w:val="en-US" w:eastAsia="zh-CN" w:bidi="ar"/>
        </w:rPr>
        <w:t>二级保护区范围：一级保护区外围300米的区域。</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3、本项目具体情况分析</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本项目位于叶县马庄乡，马庄乡北侧临近叶县县城，其他方向与田庄乡接壤，项目场址与其他乡镇的距离远大于到叶县县城的距离。项目场址与叶县集中式饮用水水源保护区距离最近</w:t>
      </w:r>
      <w:r>
        <w:rPr>
          <w:rFonts w:hint="default" w:ascii="Times New Roman" w:hAnsi="Times New Roman" w:eastAsia="宋体" w:cs="Times New Roman"/>
          <w:snapToGrid/>
          <w:color w:val="000000"/>
          <w:kern w:val="0"/>
          <w:sz w:val="24"/>
          <w:szCs w:val="24"/>
          <w:highlight w:val="none"/>
          <w:lang w:val="en-US" w:eastAsia="zh-CN" w:bidi="ar"/>
        </w:rPr>
        <w:t>的是叶县自由路(南关)地下水井群，最近距离为2</w:t>
      </w:r>
      <w:r>
        <w:rPr>
          <w:rFonts w:hint="eastAsia" w:ascii="Times New Roman" w:hAnsi="Times New Roman" w:eastAsia="宋体" w:cs="Times New Roman"/>
          <w:snapToGrid/>
          <w:color w:val="000000"/>
          <w:kern w:val="0"/>
          <w:sz w:val="24"/>
          <w:szCs w:val="24"/>
          <w:highlight w:val="none"/>
          <w:lang w:val="en-US" w:eastAsia="zh-CN" w:bidi="ar"/>
        </w:rPr>
        <w:t>200</w:t>
      </w:r>
      <w:r>
        <w:rPr>
          <w:rFonts w:hint="default" w:ascii="Times New Roman" w:hAnsi="Times New Roman" w:eastAsia="宋体" w:cs="Times New Roman"/>
          <w:snapToGrid/>
          <w:color w:val="000000"/>
          <w:kern w:val="0"/>
          <w:sz w:val="24"/>
          <w:szCs w:val="24"/>
          <w:highlight w:val="none"/>
          <w:lang w:val="en-US" w:eastAsia="zh-CN" w:bidi="ar"/>
        </w:rPr>
        <w:t>m</w:t>
      </w:r>
      <w:r>
        <w:rPr>
          <w:rFonts w:hint="default" w:ascii="Times New Roman" w:hAnsi="Times New Roman" w:eastAsia="宋体" w:cs="Times New Roman"/>
          <w:snapToGrid/>
          <w:color w:val="000000"/>
          <w:kern w:val="0"/>
          <w:sz w:val="24"/>
          <w:szCs w:val="24"/>
          <w:lang w:val="en-US" w:eastAsia="zh-CN" w:bidi="ar"/>
        </w:rPr>
        <w:t>，符合叶县集中式饮用水水源保护区划的要求</w:t>
      </w:r>
      <w:r>
        <w:rPr>
          <w:rFonts w:hint="eastAsia" w:ascii="Times New Roman" w:hAnsi="Times New Roman" w:eastAsia="宋体" w:cs="Times New Roman"/>
          <w:snapToGrid/>
          <w:color w:val="000000"/>
          <w:kern w:val="0"/>
          <w:sz w:val="24"/>
          <w:szCs w:val="24"/>
          <w:lang w:val="en-US" w:eastAsia="zh-CN" w:bidi="ar"/>
        </w:rPr>
        <w:t>（本项目与最近的饮用水水源位置关系图，见附图十）</w:t>
      </w:r>
      <w:r>
        <w:rPr>
          <w:rFonts w:hint="default" w:ascii="Times New Roman" w:hAnsi="Times New Roman" w:eastAsia="宋体" w:cs="Times New Roman"/>
          <w:snapToGrid/>
          <w:color w:val="000000"/>
          <w:kern w:val="0"/>
          <w:sz w:val="24"/>
          <w:szCs w:val="24"/>
          <w:lang w:val="en-US" w:eastAsia="zh-CN" w:bidi="ar"/>
        </w:rPr>
        <w:t>。</w:t>
      </w:r>
    </w:p>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8"/>
          <w:szCs w:val="28"/>
          <w:lang w:val="en-US" w:eastAsia="zh-CN" w:bidi="ar"/>
        </w:rPr>
        <w:t>1.4.7</w:t>
      </w:r>
      <w:r>
        <w:rPr>
          <w:rFonts w:ascii="楷体" w:hAnsi="楷体" w:eastAsia="楷体" w:cs="楷体"/>
          <w:snapToGrid/>
          <w:color w:val="000000"/>
          <w:kern w:val="0"/>
          <w:sz w:val="28"/>
          <w:szCs w:val="28"/>
          <w:lang w:val="en-US" w:eastAsia="zh-CN" w:bidi="ar"/>
        </w:rPr>
        <w:t xml:space="preserve">《淮河流域水污染防治条例》相符性分析 </w:t>
      </w:r>
    </w:p>
    <w:p>
      <w:pPr>
        <w:keepNext w:val="0"/>
        <w:keepLines w:val="0"/>
        <w:widowControl/>
        <w:suppressLineNumbers w:val="0"/>
        <w:kinsoku/>
        <w:autoSpaceDE/>
        <w:autoSpaceDN/>
        <w:adjustRightInd/>
        <w:snapToGrid/>
        <w:spacing w:line="360" w:lineRule="auto"/>
        <w:ind w:firstLine="480" w:firstLineChars="200"/>
        <w:jc w:val="left"/>
        <w:textAlignment w:val="auto"/>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淮河流域水污染防治条例》中规定：“禁止在淮河流域新建化学制浆造纸企业；禁止在淮河流域新建制革、化工、电镀、酿造等污染严重的小型企业；严格限制在淮河流域新建前款所列大中型项目或者其他污染严重的项目。”</w:t>
      </w:r>
    </w:p>
    <w:p>
      <w:pPr>
        <w:keepNext w:val="0"/>
        <w:keepLines w:val="0"/>
        <w:widowControl/>
        <w:suppressLineNumbers w:val="0"/>
        <w:kinsoku/>
        <w:autoSpaceDE/>
        <w:autoSpaceDN/>
        <w:adjustRightInd/>
        <w:snapToGrid/>
        <w:spacing w:line="360" w:lineRule="auto"/>
        <w:ind w:firstLine="480" w:firstLineChars="200"/>
        <w:jc w:val="left"/>
        <w:textAlignment w:val="auto"/>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本项目不属于条例规定的“禁止新建制革、化工、电镀、酿造等污染严重的小型企业”的范围内；本项目在生产过程的产生废水经过厂区污水处理站处理后满足《肉类加工工业水染物排放标准》（</w:t>
      </w:r>
      <w:r>
        <w:rPr>
          <w:rFonts w:hint="default" w:ascii="Times New Roman" w:hAnsi="Times New Roman" w:eastAsia="宋体" w:cs="Times New Roman"/>
          <w:snapToGrid/>
          <w:color w:val="000000"/>
          <w:kern w:val="0"/>
          <w:sz w:val="24"/>
          <w:szCs w:val="24"/>
          <w:lang w:val="en-US" w:eastAsia="zh-CN" w:bidi="ar"/>
        </w:rPr>
        <w:t>GB13457-92</w:t>
      </w:r>
      <w:r>
        <w:rPr>
          <w:rFonts w:hint="eastAsia" w:ascii="宋体" w:hAnsi="宋体" w:eastAsia="宋体" w:cs="宋体"/>
          <w:snapToGrid/>
          <w:color w:val="000000"/>
          <w:kern w:val="0"/>
          <w:sz w:val="24"/>
          <w:szCs w:val="24"/>
          <w:lang w:val="en-US" w:eastAsia="zh-CN" w:bidi="ar"/>
        </w:rPr>
        <w:t>）表</w:t>
      </w:r>
      <w:r>
        <w:rPr>
          <w:rFonts w:hint="default" w:ascii="Times New Roman" w:hAnsi="Times New Roman" w:eastAsia="宋体" w:cs="Times New Roman"/>
          <w:snapToGrid/>
          <w:color w:val="000000"/>
          <w:kern w:val="0"/>
          <w:sz w:val="24"/>
          <w:szCs w:val="24"/>
          <w:lang w:val="en-US" w:eastAsia="zh-CN" w:bidi="ar"/>
        </w:rPr>
        <w:t>3</w:t>
      </w:r>
      <w:r>
        <w:rPr>
          <w:rFonts w:hint="eastAsia" w:ascii="宋体" w:hAnsi="宋体" w:eastAsia="宋体" w:cs="宋体"/>
          <w:snapToGrid/>
          <w:color w:val="000000"/>
          <w:kern w:val="0"/>
          <w:sz w:val="24"/>
          <w:szCs w:val="24"/>
          <w:lang w:val="en-US" w:eastAsia="zh-CN" w:bidi="ar"/>
        </w:rPr>
        <w:t>中三级标准及叶县县城污水处理厂接管要求，废水经叶县县城污水处理厂进一步处理后排放至灰河（沙河支流），对区域地表水影响较小。因此本项目的建设符合《淮河流域水污染防治条例》的要求。</w:t>
      </w:r>
    </w:p>
    <w:p>
      <w:pPr>
        <w:widowControl w:val="0"/>
        <w:bidi w:val="0"/>
        <w:spacing w:line="360" w:lineRule="auto"/>
        <w:ind w:left="0" w:leftChars="0" w:firstLine="0" w:firstLineChars="0"/>
        <w:jc w:val="both"/>
        <w:rPr>
          <w:rFonts w:hint="eastAsia" w:ascii="楷体" w:hAnsi="楷体" w:eastAsia="楷体" w:cs="楷体"/>
          <w:kern w:val="2"/>
          <w:sz w:val="28"/>
          <w:szCs w:val="24"/>
          <w:lang w:val="en-US" w:eastAsia="zh-CN" w:bidi="ar-SA"/>
        </w:rPr>
      </w:pPr>
      <w:r>
        <w:rPr>
          <w:rFonts w:hint="eastAsia" w:ascii="楷体" w:hAnsi="楷体" w:eastAsia="楷体" w:cs="楷体"/>
          <w:kern w:val="2"/>
          <w:sz w:val="28"/>
          <w:szCs w:val="24"/>
          <w:lang w:val="en-US" w:eastAsia="zh-CN" w:bidi="ar-SA"/>
        </w:rPr>
        <w:t>1.4.8与《平顶山市2023年蓝天、碧水、净土保卫战实施方案》（平环委办〔2023〕14、15、16号）的相符性分析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18.综合治理恶臭突出环境问题。加强污水处理、垃圾处理、畜禽养殖、橡胶、塑料制品、食品加工等行业恶臭污染治理。对垃圾、污水集中式处理设施，加大装置密闭和废气收集力度，采取除臭措施；规模化畜禽养殖企业（场）应加强粪污收集和处理，采取恶臭气体和氨排放治理措施；橡胶、塑料、食品加工等行业强化恶臭气体收集和治理；恶臭投诉集中的工业园区、重点企业安装运行特征因子有组织排放和无组织排放在线监测预警系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本项目属屠宰及肉类加工行业，在生产运行过程中不可避免的会产生恶臭气体。本项目厂区从源头上加强粪污收集和处理，加大装置密闭和废气收集力度，采取除臭措施，项目建设建设符合《平顶山市2023年蓝天保卫战实施方案》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12.推动企业绿色发展。在造纸、焦化、氮肥、农副食品加工、印染、有色、原料药制造、电镀等重点水污染物排放行业，推进清洁生产改造，减少单位产品耗水量和单位产品排污量。结合水环境容量、地表水环境目标、排污许可证要求，对直排企业污水处理设施适时进行提标改造。推进工业水循环利用和水循环梯级利用，在高耗水行业开展水效“领跑者”行动。电力企业严格落实环评审批的使用再生水要求。到2023年年底，万元工业增加值用水量较2020年下降约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本项目属屠宰及肉类加工行业，在生产运行过程中不可避免的会产生屠宰废水。叶县迪可清真食品有限公司为回民机构，牛羊宰杀前需要经穆斯林阿訇进行宗教仪式，推进清洁生产改造，减少单位产品耗水量和单位产品排污量，同时厂区配套建设污水处理站，确保厂区废水达标排放。因此，项目建设建设符合《平顶山市2023年碧水保卫战实施方案》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楷体" w:hAnsi="楷体" w:eastAsia="楷体" w:cs="楷体"/>
          <w:b w:val="0"/>
          <w:bCs w:val="0"/>
          <w:snapToGrid/>
          <w:kern w:val="0"/>
          <w:sz w:val="28"/>
          <w:szCs w:val="28"/>
          <w:lang w:eastAsia="zh-CN"/>
        </w:rPr>
      </w:pPr>
      <w:r>
        <w:rPr>
          <w:rFonts w:hint="eastAsia" w:ascii="楷体" w:hAnsi="楷体" w:eastAsia="楷体" w:cs="楷体"/>
          <w:b w:val="0"/>
          <w:bCs w:val="0"/>
          <w:snapToGrid/>
          <w:kern w:val="0"/>
          <w:sz w:val="28"/>
          <w:szCs w:val="28"/>
          <w:lang w:val="en-US" w:eastAsia="zh-CN"/>
        </w:rPr>
        <w:t>1.4.9与</w:t>
      </w:r>
      <w:r>
        <w:rPr>
          <w:rFonts w:hint="eastAsia" w:ascii="楷体" w:hAnsi="楷体" w:eastAsia="楷体" w:cs="楷体"/>
          <w:b w:val="0"/>
          <w:bCs w:val="0"/>
          <w:snapToGrid/>
          <w:kern w:val="0"/>
          <w:sz w:val="28"/>
          <w:szCs w:val="28"/>
          <w:lang w:eastAsia="zh-CN"/>
        </w:rPr>
        <w:t>《平顶山市“十四五”生态环境保护和生态经济发展规划（平政〔2023〕10号）》的相符性分析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snapToGrid/>
          <w:kern w:val="0"/>
          <w:sz w:val="24"/>
          <w:szCs w:val="24"/>
          <w:lang w:eastAsia="zh-CN"/>
        </w:rPr>
      </w:pPr>
      <w:r>
        <w:rPr>
          <w:rFonts w:hint="default" w:ascii="Times New Roman" w:hAnsi="Times New Roman" w:eastAsia="宋体" w:cs="Times New Roman"/>
          <w:snapToGrid/>
          <w:kern w:val="0"/>
          <w:sz w:val="24"/>
          <w:szCs w:val="24"/>
          <w:lang w:eastAsia="zh-CN"/>
        </w:rPr>
        <w:t>为推进平顶山市经济高质量发展与生态环境高水平保护，根据《国务院关于印发“十四五”生态环境保护规划的通知》、《河南省人民政府关于印发河南省“十四五”生态环境保护和生态经济发展规划的通知》（豫政〔2021〕44号）及《平顶山市国民经济和社会发展第十四个五年规划和二〇三五年远景目标纲要》，制定本规划。与本项目相关的内容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kern w:val="0"/>
          <w:sz w:val="24"/>
          <w:szCs w:val="24"/>
          <w:lang w:val="en-US" w:eastAsia="zh-CN"/>
        </w:rPr>
      </w:pPr>
      <w:bookmarkStart w:id="21" w:name="2"/>
      <w:r>
        <w:rPr>
          <w:rFonts w:hint="eastAsia" w:ascii="Times New Roman" w:hAnsi="Times New Roman" w:eastAsia="宋体" w:cs="Times New Roman"/>
          <w:b w:val="0"/>
          <w:bCs w:val="0"/>
          <w:snapToGrid/>
          <w:kern w:val="0"/>
          <w:sz w:val="24"/>
          <w:szCs w:val="24"/>
          <w:lang w:val="en-US" w:eastAsia="zh-CN"/>
        </w:rPr>
        <w:t>加强其他涉气污染物治理力度。加强污水处理、垃圾处理、畜禽养殖、橡胶塑料制品等行业恶臭污染防治。积极开展重点企业和园区恶臭气体监测，探索建立大气氨规范化排放清单，摸清重点排放源。推进工业烟气中三氧化硫、汞、铅、砷、镉、二噁英、苯并芘等多种非常规污染物强效脱除技术的研发及应用。加强生物质锅炉燃料品质及污染物排放管控，禁止掺烧垃圾、工业固体废物等其他物料，淘汰污染物排放不符合要求的生物质锅炉。</w:t>
      </w:r>
    </w:p>
    <w:p>
      <w:pPr>
        <w:keepNext w:val="0"/>
        <w:keepLines w:val="0"/>
        <w:pageBreakBefore w:val="0"/>
        <w:widowControl w:val="0"/>
        <w:kinsoku/>
        <w:wordWrap/>
        <w:overflowPunct/>
        <w:topLinePunct w:val="0"/>
        <w:autoSpaceDE w:val="0"/>
        <w:autoSpaceDN w:val="0"/>
        <w:bidi w:val="0"/>
        <w:adjustRightInd w:val="0"/>
        <w:snapToGrid w:val="0"/>
        <w:spacing w:line="240" w:lineRule="exact"/>
        <w:ind w:firstLine="480" w:firstLineChars="200"/>
        <w:jc w:val="left"/>
        <w:textAlignment w:val="auto"/>
        <w:rPr>
          <w:rFonts w:hint="default" w:ascii="Times New Roman" w:hAnsi="Times New Roman" w:eastAsia="宋体" w:cs="Times New Roman"/>
          <w:b w:val="0"/>
          <w:bCs w:val="0"/>
          <w:snapToGrid/>
          <w:kern w:val="0"/>
          <w:sz w:val="24"/>
          <w:szCs w:val="24"/>
          <w:lang w:val="en-US" w:eastAsia="zh-CN"/>
        </w:rPr>
      </w:pPr>
      <w:r>
        <w:rPr>
          <w:rFonts w:hint="eastAsia" w:ascii="Times New Roman" w:hAnsi="Times New Roman" w:eastAsia="宋体" w:cs="Times New Roman"/>
          <w:b w:val="0"/>
          <w:bCs w:val="0"/>
          <w:snapToGrid/>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kern w:val="0"/>
          <w:sz w:val="24"/>
          <w:szCs w:val="24"/>
          <w:lang w:val="en-US" w:eastAsia="zh-CN"/>
        </w:rPr>
      </w:pPr>
      <w:r>
        <w:rPr>
          <w:rFonts w:hint="eastAsia" w:ascii="Times New Roman" w:hAnsi="Times New Roman" w:eastAsia="宋体" w:cs="Times New Roman"/>
          <w:b w:val="0"/>
          <w:bCs w:val="0"/>
          <w:snapToGrid/>
          <w:kern w:val="0"/>
          <w:sz w:val="24"/>
          <w:szCs w:val="24"/>
          <w:lang w:val="en-US" w:eastAsia="zh-CN"/>
        </w:rPr>
        <w:t>强化工业污染防治工作。加快淘汰涉水企业落后生产工艺和产能。持续开展涉水“散乱污”企业排查整治，加强化工、有色、纺织印染、造纸、皮革、农副食品加工等行业综合整治。常态化开展纳管企业废水排放情况检查，严查偷排漏排、超标排放。推进开发区、工业园区雨污分流改造和初期雨水收集处理，加强污水处理配套设施建设及运行管控，加快现有污水处理设施分期升级改造，新建、升级开发区、工业园区要同步规划建设污水集中处理设施。加快补齐医疗机构污水处理设施短板，提高污染治理能力。</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left"/>
        <w:textAlignment w:val="auto"/>
        <w:rPr>
          <w:rFonts w:hint="default" w:ascii="Times New Roman" w:hAnsi="Times New Roman" w:eastAsia="宋体" w:cs="Times New Roman"/>
          <w:b w:val="0"/>
          <w:bCs w:val="0"/>
          <w:snapToGrid/>
          <w:kern w:val="0"/>
          <w:sz w:val="24"/>
          <w:szCs w:val="24"/>
          <w:lang w:val="en-US" w:eastAsia="zh-CN"/>
        </w:rPr>
      </w:pPr>
      <w:r>
        <w:rPr>
          <w:rFonts w:hint="eastAsia" w:ascii="Times New Roman" w:hAnsi="Times New Roman" w:eastAsia="宋体" w:cs="Times New Roman"/>
          <w:b w:val="0"/>
          <w:bCs w:val="0"/>
          <w:snapToGrid/>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kern w:val="0"/>
          <w:sz w:val="24"/>
          <w:szCs w:val="24"/>
          <w:lang w:val="en-US" w:eastAsia="zh-CN"/>
        </w:rPr>
      </w:pPr>
      <w:r>
        <w:rPr>
          <w:rFonts w:hint="eastAsia" w:ascii="Times New Roman" w:hAnsi="Times New Roman" w:eastAsia="宋体" w:cs="Times New Roman"/>
          <w:b w:val="0"/>
          <w:bCs w:val="0"/>
          <w:snapToGrid/>
          <w:kern w:val="0"/>
          <w:sz w:val="24"/>
          <w:szCs w:val="24"/>
          <w:lang w:val="en-US" w:eastAsia="zh-CN"/>
        </w:rPr>
        <w:t>本项目属农副食品加工中的屠宰及肉类加工行业，在生产运行过程中不可避免的会产生恶臭气体和屠宰废水。本项目厂区从源头上加强粪污收集和处理，加大装置密闭和废气收集力度，采取除臭措施。本项目厂区采用穆斯林屠宰方式，推进清洁生产改造，减少单位产品耗水量和单位产品排污量，同时厂区配套建设污水处理站，确保厂区废水达标排放。</w:t>
      </w:r>
    </w:p>
    <w:p>
      <w:pPr>
        <w:widowControl w:val="0"/>
        <w:bidi w:val="0"/>
        <w:spacing w:line="360" w:lineRule="auto"/>
        <w:ind w:left="0" w:leftChars="0" w:firstLine="480" w:firstLineChars="200"/>
        <w:jc w:val="both"/>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b w:val="0"/>
          <w:bCs w:val="0"/>
          <w:kern w:val="0"/>
          <w:sz w:val="24"/>
          <w:szCs w:val="24"/>
          <w:lang w:val="en-US" w:eastAsia="zh-CN" w:bidi="ar-SA"/>
        </w:rPr>
        <w:t>综上，本项目建设符合《平顶山市“十四五”生态环境保护和生态经济发展规划（平政〔2023〕10号）》的要求</w:t>
      </w:r>
      <w:bookmarkEnd w:id="21"/>
      <w:r>
        <w:rPr>
          <w:rFonts w:hint="eastAsia" w:ascii="Times New Roman" w:hAnsi="Times New Roman" w:eastAsia="宋体" w:cs="Times New Roman"/>
          <w:kern w:val="2"/>
          <w:sz w:val="24"/>
          <w:szCs w:val="22"/>
          <w:lang w:val="en-US" w:eastAsia="zh-CN" w:bidi="ar-SA"/>
        </w:rPr>
        <w:t>。</w:t>
      </w:r>
    </w:p>
    <w:p>
      <w:pPr>
        <w:widowControl w:val="0"/>
        <w:kinsoku/>
        <w:autoSpaceDE/>
        <w:autoSpaceDN/>
        <w:adjustRightInd/>
        <w:snapToGrid/>
        <w:spacing w:line="360" w:lineRule="auto"/>
        <w:jc w:val="both"/>
        <w:textAlignment w:val="auto"/>
        <w:rPr>
          <w:rFonts w:hint="eastAsia" w:ascii="楷体" w:hAnsi="楷体" w:eastAsia="楷体" w:cs="楷体"/>
          <w:kern w:val="0"/>
          <w:sz w:val="28"/>
          <w:szCs w:val="28"/>
          <w:lang w:val="en-US" w:eastAsia="zh-CN"/>
        </w:rPr>
      </w:pPr>
      <w:bookmarkStart w:id="22" w:name="_Toc11352"/>
      <w:bookmarkStart w:id="23" w:name="_Toc943"/>
      <w:bookmarkStart w:id="24" w:name="_Toc13459"/>
      <w:r>
        <w:rPr>
          <w:rFonts w:hint="eastAsia" w:ascii="楷体" w:hAnsi="楷体" w:eastAsia="楷体" w:cs="楷体"/>
          <w:kern w:val="0"/>
          <w:sz w:val="28"/>
          <w:szCs w:val="28"/>
          <w:lang w:val="en-US" w:eastAsia="zh-CN"/>
        </w:rPr>
        <w:t>1.4.10与</w:t>
      </w:r>
      <w:r>
        <w:rPr>
          <w:rFonts w:hint="eastAsia" w:ascii="楷体" w:hAnsi="楷体" w:eastAsia="楷体" w:cs="楷体"/>
          <w:sz w:val="28"/>
          <w:szCs w:val="28"/>
          <w:lang w:val="en-US" w:eastAsia="zh-CN"/>
        </w:rPr>
        <w:t>《叶县国土空间总体规划（2021-2035）》的符合性分析</w:t>
      </w:r>
    </w:p>
    <w:p>
      <w:pPr>
        <w:widowControl w:val="0"/>
        <w:kinsoku/>
        <w:autoSpaceDE/>
        <w:autoSpaceDN/>
        <w:adjustRightInd/>
        <w:snapToGrid/>
        <w:spacing w:line="360" w:lineRule="auto"/>
        <w:ind w:firstLine="480" w:firstLineChars="200"/>
        <w:jc w:val="both"/>
        <w:textAlignment w:val="auto"/>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2023年5月18日，平顶山市自然资源和规划局召开了《叶县国土空间总体规划（2021-2035）》专家论证评审会。专家评审委员会一致认为《规划》基础工作扎实，规划内容全面，符合县级国土空间总体规划编制相关要求和地方实际，原则通过评审。</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（一）</w:t>
      </w:r>
      <w:r>
        <w:rPr>
          <w:rFonts w:hint="default" w:ascii="Times New Roman" w:hAnsi="Times New Roman" w:cs="Times New Roman"/>
          <w:kern w:val="0"/>
          <w:sz w:val="24"/>
          <w:szCs w:val="24"/>
          <w:lang w:val="en-US" w:eastAsia="zh-CN"/>
        </w:rPr>
        <w:t>规划范围</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规划范围为县域行政区，包括3个街道、15个乡镇，总面积为13</w:t>
      </w:r>
      <w:r>
        <w:rPr>
          <w:rFonts w:hint="eastAsia" w:ascii="Times New Roman" w:hAnsi="Times New Roman" w:cs="Times New Roman"/>
          <w:kern w:val="0"/>
          <w:sz w:val="24"/>
          <w:szCs w:val="24"/>
          <w:lang w:val="en-US" w:eastAsia="zh-CN"/>
        </w:rPr>
        <w:t>87</w:t>
      </w:r>
      <w:r>
        <w:rPr>
          <w:rFonts w:hint="default" w:ascii="Times New Roman" w:hAnsi="Times New Roman" w:cs="Times New Roman"/>
          <w:kern w:val="0"/>
          <w:sz w:val="24"/>
          <w:szCs w:val="24"/>
          <w:lang w:val="en-US" w:eastAsia="zh-CN"/>
        </w:rPr>
        <w:t>平方</w:t>
      </w:r>
      <w:r>
        <w:rPr>
          <w:rFonts w:hint="eastAsia" w:ascii="Times New Roman" w:hAnsi="Times New Roman" w:cs="Times New Roman"/>
          <w:kern w:val="0"/>
          <w:sz w:val="24"/>
          <w:szCs w:val="24"/>
          <w:lang w:val="en-US" w:eastAsia="zh-CN"/>
        </w:rPr>
        <w:t>千米</w:t>
      </w:r>
      <w:r>
        <w:rPr>
          <w:rFonts w:hint="default" w:ascii="Times New Roman" w:hAnsi="Times New Roman" w:cs="Times New Roman"/>
          <w:kern w:val="0"/>
          <w:sz w:val="24"/>
          <w:szCs w:val="24"/>
          <w:lang w:val="en-US" w:eastAsia="zh-CN"/>
        </w:rPr>
        <w:t xml:space="preserve">。 </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（二）</w:t>
      </w:r>
      <w:r>
        <w:rPr>
          <w:rFonts w:hint="default" w:ascii="Times New Roman" w:hAnsi="Times New Roman" w:cs="Times New Roman"/>
          <w:kern w:val="0"/>
          <w:sz w:val="24"/>
          <w:szCs w:val="24"/>
          <w:lang w:val="en-US" w:eastAsia="zh-CN"/>
        </w:rPr>
        <w:t>规划期限</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规划期限为2021年至2035年，基期年为2020年，近期至2025年，远景展望至2050年。</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（三）上位引导（平顶山市域层面）</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 xml:space="preserve">落实平顶山市国土空间开发保护总体格局：平顶山市构建了“一核、一圈、两轴、三区、多节点”的国土空间开发保护格局。叶县强化与平顶山区域资源互用、产业优势互补、市县功能分工、交通一体化建设、基础设施共建共享。 </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（四）发展目标</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（1）</w:t>
      </w:r>
      <w:r>
        <w:rPr>
          <w:rFonts w:hint="default" w:ascii="Times New Roman" w:hAnsi="Times New Roman" w:cs="Times New Roman"/>
          <w:kern w:val="0"/>
          <w:sz w:val="24"/>
          <w:szCs w:val="24"/>
          <w:lang w:val="en-US" w:eastAsia="zh-CN"/>
        </w:rPr>
        <w:t>至2025年，落实新发展理念，强化优势产业，在建设宜居幸福县城方面有所突破，打造平顶山城镇圈重要增长极。</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（2）至2035年，基本建成经济更加发达、文化更加繁荣、社会更加进步、人民更加幸福、生态更加优美的社会主义现代化强县。</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（3）至2050年，国家建成富强、民主、文明、和谐、美丽的社会主义现代化强国，叶县全面建成社会主义现代化城市。</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（四）城市性质</w:t>
      </w:r>
    </w:p>
    <w:p>
      <w:pPr>
        <w:widowControl w:val="0"/>
        <w:kinsoku/>
        <w:autoSpaceDE/>
        <w:autoSpaceDN/>
        <w:adjustRightInd/>
        <w:snapToGrid/>
        <w:spacing w:line="360" w:lineRule="auto"/>
        <w:ind w:firstLine="480" w:firstLineChars="200"/>
        <w:jc w:val="both"/>
        <w:textAlignment w:val="auto"/>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（1）中原经济区尼龙新材料及盐化工基地——强化产业引领形成强劲发展动力和竞争力；</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（2）平顶山城镇圈综合性节点城市——提高城镇能级，打造成为城镇圈新增长极核</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（3）产城融合的中原文化名城——提升综合实力，加强历史文化保护传承和利用</w:t>
      </w:r>
    </w:p>
    <w:p>
      <w:pPr>
        <w:widowControl w:val="0"/>
        <w:kinsoku/>
        <w:autoSpaceDE/>
        <w:autoSpaceDN/>
        <w:adjustRightInd/>
        <w:snapToGrid/>
        <w:spacing w:line="360" w:lineRule="auto"/>
        <w:ind w:firstLine="480" w:firstLineChars="200"/>
        <w:jc w:val="both"/>
        <w:textAlignment w:val="auto"/>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（五）主体功能区布局</w:t>
      </w:r>
    </w:p>
    <w:p>
      <w:pPr>
        <w:widowControl w:val="0"/>
        <w:kinsoku/>
        <w:autoSpaceDE/>
        <w:autoSpaceDN/>
        <w:adjustRightInd/>
        <w:snapToGrid/>
        <w:spacing w:line="360" w:lineRule="auto"/>
        <w:ind w:firstLine="480" w:firstLineChars="200"/>
        <w:jc w:val="both"/>
        <w:textAlignment w:val="auto"/>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（1）农产品主产区</w:t>
      </w:r>
    </w:p>
    <w:p>
      <w:pPr>
        <w:widowControl w:val="0"/>
        <w:kinsoku/>
        <w:autoSpaceDE/>
        <w:autoSpaceDN/>
        <w:adjustRightInd/>
        <w:snapToGrid/>
        <w:spacing w:line="360" w:lineRule="auto"/>
        <w:ind w:firstLine="480" w:firstLineChars="200"/>
        <w:jc w:val="both"/>
        <w:textAlignment w:val="auto"/>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加强耕地保护，稳定粮食生产，发展现代农业，构建循环型农业体系，增强农业综合生产能力，提高农产品供给能力。</w:t>
      </w:r>
    </w:p>
    <w:p>
      <w:pPr>
        <w:widowControl w:val="0"/>
        <w:kinsoku/>
        <w:autoSpaceDE/>
        <w:autoSpaceDN/>
        <w:adjustRightInd/>
        <w:snapToGrid/>
        <w:spacing w:line="360" w:lineRule="auto"/>
        <w:ind w:firstLine="480" w:firstLineChars="200"/>
        <w:jc w:val="both"/>
        <w:textAlignment w:val="auto"/>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（2）重点生态功能区</w:t>
      </w:r>
    </w:p>
    <w:p>
      <w:pPr>
        <w:widowControl w:val="0"/>
        <w:kinsoku/>
        <w:autoSpaceDE/>
        <w:autoSpaceDN/>
        <w:adjustRightInd/>
        <w:snapToGrid/>
        <w:spacing w:line="360" w:lineRule="auto"/>
        <w:ind w:firstLine="480" w:firstLineChars="200"/>
        <w:jc w:val="both"/>
        <w:textAlignment w:val="auto"/>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把增强提供生态产品能力作为首要任务，保护和修复生态环境，增强生态服务功能，保障国家生态安全，因地制宜地发展适宜产业、绿色经济。</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（3）城市化地区</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着力提高经济和人口集聚能力，着力构建科学合理的城市化格局。有序推进村庄布局优化，助力城乡统筹发展，提升城乡发展质量。</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（六）城镇空间建设格局</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规划将城区、乡镇的城镇职能划分为综合型、工业型、旅游型、工贸型、农贸型五种基本类型。</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（1）</w:t>
      </w:r>
      <w:r>
        <w:rPr>
          <w:rFonts w:hint="default" w:ascii="Times New Roman" w:hAnsi="Times New Roman" w:cs="Times New Roman"/>
          <w:kern w:val="0"/>
          <w:sz w:val="24"/>
          <w:szCs w:val="24"/>
          <w:lang w:val="en-US" w:eastAsia="zh-CN"/>
        </w:rPr>
        <w:t>综合型城镇1个：中心城区；</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（2）</w:t>
      </w:r>
      <w:r>
        <w:rPr>
          <w:rFonts w:hint="default" w:ascii="Times New Roman" w:hAnsi="Times New Roman" w:cs="Times New Roman"/>
          <w:kern w:val="0"/>
          <w:sz w:val="24"/>
          <w:szCs w:val="24"/>
          <w:lang w:val="en-US" w:eastAsia="zh-CN"/>
        </w:rPr>
        <w:t>工业型城镇1个：尼龙新材料开发区；</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u w:val="single"/>
          <w:lang w:val="en-US" w:eastAsia="zh-CN"/>
        </w:rPr>
      </w:pPr>
      <w:r>
        <w:rPr>
          <w:rFonts w:hint="eastAsia" w:ascii="Times New Roman" w:hAnsi="Times New Roman" w:cs="Times New Roman"/>
          <w:kern w:val="0"/>
          <w:sz w:val="24"/>
          <w:szCs w:val="24"/>
          <w:u w:val="single"/>
          <w:lang w:val="en-US" w:eastAsia="zh-CN"/>
        </w:rPr>
        <w:t>（3）</w:t>
      </w:r>
      <w:r>
        <w:rPr>
          <w:rFonts w:hint="default" w:ascii="Times New Roman" w:hAnsi="Times New Roman" w:cs="Times New Roman"/>
          <w:kern w:val="0"/>
          <w:sz w:val="24"/>
          <w:szCs w:val="24"/>
          <w:u w:val="single"/>
          <w:lang w:val="en-US" w:eastAsia="zh-CN"/>
        </w:rPr>
        <w:t>工贸型城镇3个：龙泉乡、马庄乡、田庄乡；</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（4）</w:t>
      </w:r>
      <w:r>
        <w:rPr>
          <w:rFonts w:hint="default" w:ascii="Times New Roman" w:hAnsi="Times New Roman" w:cs="Times New Roman"/>
          <w:kern w:val="0"/>
          <w:sz w:val="24"/>
          <w:szCs w:val="24"/>
          <w:lang w:val="en-US" w:eastAsia="zh-CN"/>
        </w:rPr>
        <w:t>农贸型城镇7个：任店镇、廉村镇、洪庄杨镇、仙台镇、邓李乡、水寨乡、夏李乡；</w:t>
      </w:r>
    </w:p>
    <w:p>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（5）</w:t>
      </w:r>
      <w:r>
        <w:rPr>
          <w:rFonts w:hint="default" w:ascii="Times New Roman" w:hAnsi="Times New Roman" w:cs="Times New Roman"/>
          <w:kern w:val="0"/>
          <w:sz w:val="24"/>
          <w:szCs w:val="24"/>
          <w:lang w:val="en-US" w:eastAsia="zh-CN"/>
        </w:rPr>
        <w:t>旅游型城镇4个：叶邑镇、常村镇、辛店镇、保安镇。</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u w:val="single"/>
          <w:lang w:val="en-US" w:eastAsia="zh-CN"/>
        </w:rPr>
        <w:t>（七）本项目的符合性分析</w:t>
      </w:r>
    </w:p>
    <w:p>
      <w:pPr>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kern w:val="0"/>
          <w:sz w:val="24"/>
          <w:szCs w:val="24"/>
          <w:u w:val="single"/>
          <w:lang w:val="en-US" w:eastAsia="zh-CN"/>
        </w:rPr>
      </w:pPr>
      <w:r>
        <w:rPr>
          <w:rFonts w:hint="default" w:ascii="Times New Roman" w:hAnsi="Times New Roman" w:eastAsia="宋体" w:cs="Times New Roman"/>
          <w:kern w:val="0"/>
          <w:sz w:val="24"/>
          <w:szCs w:val="24"/>
          <w:u w:val="single"/>
          <w:lang w:val="en-US" w:eastAsia="zh-CN"/>
        </w:rPr>
        <w:t>根据</w:t>
      </w:r>
      <w:r>
        <w:rPr>
          <w:rFonts w:hint="eastAsia" w:ascii="Times New Roman" w:hAnsi="Times New Roman" w:eastAsia="宋体" w:cs="Times New Roman"/>
          <w:kern w:val="0"/>
          <w:sz w:val="24"/>
          <w:szCs w:val="24"/>
          <w:u w:val="single"/>
          <w:lang w:val="en-US" w:eastAsia="zh-CN"/>
        </w:rPr>
        <w:t>以上</w:t>
      </w:r>
      <w:r>
        <w:rPr>
          <w:rFonts w:hint="default" w:ascii="Times New Roman" w:hAnsi="Times New Roman" w:eastAsia="宋体" w:cs="Times New Roman"/>
          <w:kern w:val="0"/>
          <w:sz w:val="24"/>
          <w:szCs w:val="24"/>
          <w:u w:val="single"/>
          <w:lang w:val="en-US" w:eastAsia="zh-CN"/>
        </w:rPr>
        <w:t>城镇空间建设格局</w:t>
      </w:r>
      <w:r>
        <w:rPr>
          <w:rFonts w:hint="eastAsia" w:ascii="Times New Roman" w:hAnsi="Times New Roman" w:eastAsia="宋体" w:cs="Times New Roman"/>
          <w:kern w:val="0"/>
          <w:sz w:val="24"/>
          <w:szCs w:val="24"/>
          <w:u w:val="single"/>
          <w:lang w:val="en-US" w:eastAsia="zh-CN"/>
        </w:rPr>
        <w:t>可知，</w:t>
      </w:r>
      <w:r>
        <w:rPr>
          <w:rFonts w:hint="default" w:ascii="Times New Roman" w:hAnsi="Times New Roman" w:eastAsia="宋体" w:cs="Times New Roman"/>
          <w:kern w:val="0"/>
          <w:sz w:val="24"/>
          <w:szCs w:val="24"/>
          <w:u w:val="single"/>
          <w:lang w:val="en-US" w:eastAsia="zh-CN"/>
        </w:rPr>
        <w:t>马庄乡</w:t>
      </w:r>
      <w:r>
        <w:rPr>
          <w:rFonts w:hint="eastAsia" w:ascii="Times New Roman" w:hAnsi="Times New Roman" w:eastAsia="宋体" w:cs="Times New Roman"/>
          <w:kern w:val="0"/>
          <w:sz w:val="24"/>
          <w:szCs w:val="24"/>
          <w:u w:val="single"/>
          <w:lang w:val="en-US" w:eastAsia="zh-CN"/>
        </w:rPr>
        <w:t>不属于</w:t>
      </w:r>
      <w:r>
        <w:rPr>
          <w:rFonts w:hint="default" w:ascii="Times New Roman" w:hAnsi="Times New Roman" w:eastAsia="宋体" w:cs="Times New Roman"/>
          <w:kern w:val="0"/>
          <w:sz w:val="24"/>
          <w:szCs w:val="24"/>
          <w:u w:val="single"/>
          <w:lang w:val="en-US" w:eastAsia="zh-CN"/>
        </w:rPr>
        <w:t>叶县</w:t>
      </w:r>
      <w:r>
        <w:rPr>
          <w:rFonts w:hint="eastAsia" w:ascii="Times New Roman" w:hAnsi="Times New Roman" w:eastAsia="宋体" w:cs="Times New Roman"/>
          <w:kern w:val="0"/>
          <w:sz w:val="24"/>
          <w:szCs w:val="24"/>
          <w:u w:val="single"/>
          <w:lang w:val="en-US" w:eastAsia="zh-CN"/>
        </w:rPr>
        <w:t>的中心城区，</w:t>
      </w:r>
      <w:r>
        <w:rPr>
          <w:rFonts w:hint="default" w:ascii="Times New Roman" w:hAnsi="Times New Roman" w:eastAsia="宋体" w:cs="Times New Roman"/>
          <w:kern w:val="0"/>
          <w:sz w:val="24"/>
          <w:szCs w:val="24"/>
          <w:u w:val="single"/>
          <w:lang w:val="en-US" w:eastAsia="zh-CN"/>
        </w:rPr>
        <w:t>属工贸型城镇，主要产业以健康食品工业、商贸为主。</w:t>
      </w:r>
      <w:r>
        <w:rPr>
          <w:rFonts w:hint="eastAsia" w:ascii="Times New Roman" w:hAnsi="Times New Roman" w:eastAsia="宋体" w:cs="Times New Roman"/>
          <w:kern w:val="0"/>
          <w:sz w:val="24"/>
          <w:szCs w:val="24"/>
          <w:u w:val="single"/>
          <w:lang w:val="en-US" w:eastAsia="zh-CN"/>
        </w:rPr>
        <w:t>具体</w:t>
      </w:r>
      <w:r>
        <w:rPr>
          <w:rFonts w:hint="default" w:ascii="Times New Roman" w:hAnsi="Times New Roman" w:eastAsia="宋体" w:cs="Times New Roman"/>
          <w:kern w:val="0"/>
          <w:sz w:val="24"/>
          <w:szCs w:val="24"/>
          <w:u w:val="single"/>
          <w:lang w:val="en-US" w:eastAsia="zh-CN"/>
        </w:rPr>
        <w:t>城镇职能体系图（含乡集镇）</w:t>
      </w:r>
      <w:r>
        <w:rPr>
          <w:rFonts w:hint="eastAsia" w:ascii="Times New Roman" w:hAnsi="Times New Roman" w:eastAsia="宋体" w:cs="Times New Roman"/>
          <w:kern w:val="0"/>
          <w:sz w:val="24"/>
          <w:szCs w:val="24"/>
          <w:u w:val="single"/>
          <w:lang w:val="en-US" w:eastAsia="zh-CN"/>
        </w:rPr>
        <w:t>见附图十三。</w:t>
      </w:r>
    </w:p>
    <w:p>
      <w:pPr>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u w:val="single"/>
          <w:lang w:eastAsia="zh-CN"/>
        </w:rPr>
      </w:pPr>
      <w:r>
        <w:rPr>
          <w:rFonts w:hint="default" w:ascii="Times New Roman" w:hAnsi="Times New Roman" w:cs="Times New Roman"/>
          <w:kern w:val="0"/>
          <w:sz w:val="24"/>
          <w:szCs w:val="24"/>
          <w:u w:val="single"/>
          <w:lang w:val="en-US" w:eastAsia="zh-CN"/>
        </w:rPr>
        <w:t>叶县2022年马庄乡张庄村畜产品精细加工物流园建设项目，符合</w:t>
      </w:r>
      <w:r>
        <w:rPr>
          <w:rFonts w:hint="default" w:ascii="Times New Roman" w:hAnsi="Times New Roman" w:eastAsia="宋体" w:cs="Times New Roman"/>
          <w:kern w:val="0"/>
          <w:sz w:val="24"/>
          <w:szCs w:val="24"/>
          <w:u w:val="single"/>
          <w:lang w:val="en-US" w:eastAsia="zh-CN"/>
        </w:rPr>
        <w:t>马庄乡城镇职能体系的要求</w:t>
      </w:r>
      <w:r>
        <w:rPr>
          <w:rFonts w:hint="default" w:ascii="Times New Roman" w:hAnsi="Times New Roman" w:eastAsia="宋体" w:cs="Times New Roman"/>
          <w:snapToGrid/>
          <w:kern w:val="2"/>
          <w:sz w:val="24"/>
          <w:szCs w:val="24"/>
          <w:u w:val="single"/>
          <w:lang w:eastAsia="zh-CN"/>
        </w:rPr>
        <w:t>。</w:t>
      </w:r>
    </w:p>
    <w:p>
      <w:pPr>
        <w:pStyle w:val="4"/>
        <w:bidi w:val="0"/>
        <w:rPr>
          <w:lang w:val="en-US" w:eastAsia="zh-CN"/>
        </w:rPr>
      </w:pPr>
      <w:bookmarkStart w:id="25" w:name="_Toc10949"/>
      <w:bookmarkStart w:id="26" w:name="_Toc7723"/>
      <w:r>
        <w:rPr>
          <w:lang w:val="en-US" w:eastAsia="zh-CN"/>
        </w:rPr>
        <w:t>1.</w:t>
      </w:r>
      <w:r>
        <w:rPr>
          <w:rFonts w:hint="eastAsia"/>
          <w:lang w:val="en-US" w:eastAsia="zh-CN"/>
        </w:rPr>
        <w:t>5</w:t>
      </w:r>
      <w:r>
        <w:rPr>
          <w:lang w:val="en-US" w:eastAsia="zh-CN"/>
        </w:rPr>
        <w:t xml:space="preserve"> 关注的主要环境问题及环境影响</w:t>
      </w:r>
      <w:bookmarkEnd w:id="22"/>
      <w:bookmarkEnd w:id="23"/>
      <w:bookmarkEnd w:id="24"/>
      <w:bookmarkEnd w:id="25"/>
      <w:bookmarkEnd w:id="26"/>
    </w:p>
    <w:p>
      <w:pPr>
        <w:widowControl/>
        <w:kinsoku/>
        <w:autoSpaceDE/>
        <w:autoSpaceDN/>
        <w:adjustRightInd/>
        <w:snapToGrid/>
        <w:spacing w:line="360" w:lineRule="auto"/>
        <w:ind w:left="0" w:leftChars="0"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根据项目建设特点及所在区域环境特征，本项目产生的主要污染物为大气污染物、水污染物和固体废物，应关注的主要环境问题及环境影响如下</w:t>
      </w:r>
      <w:r>
        <w:rPr>
          <w:rFonts w:hint="eastAsia" w:ascii="宋体" w:hAnsi="宋体" w:eastAsia="宋体" w:cs="宋体"/>
          <w:snapToGrid/>
          <w:color w:val="000000"/>
          <w:kern w:val="0"/>
          <w:sz w:val="24"/>
          <w:szCs w:val="24"/>
          <w:lang w:eastAsia="zh-CN" w:bidi="ar"/>
        </w:rPr>
        <w:t>：</w:t>
      </w:r>
    </w:p>
    <w:p>
      <w:pPr>
        <w:widowControl w:val="0"/>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eastAsia="zh-CN"/>
        </w:rPr>
      </w:pPr>
      <w:r>
        <w:rPr>
          <w:rFonts w:hint="eastAsia" w:ascii="Times New Roman" w:hAnsi="Times New Roman" w:eastAsia="宋体" w:cs="Times New Roman"/>
          <w:snapToGrid/>
          <w:kern w:val="2"/>
          <w:sz w:val="24"/>
          <w:szCs w:val="24"/>
          <w:u w:val="none"/>
          <w:lang w:val="en-US" w:eastAsia="zh-CN"/>
        </w:rPr>
        <w:t xml:space="preserve">（1）项目是否符合相关法律法规要求； </w:t>
      </w:r>
    </w:p>
    <w:p>
      <w:pPr>
        <w:widowControl w:val="0"/>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eastAsia="zh-CN"/>
        </w:rPr>
      </w:pPr>
      <w:r>
        <w:rPr>
          <w:rFonts w:hint="eastAsia" w:ascii="Times New Roman" w:hAnsi="Times New Roman" w:eastAsia="宋体" w:cs="Times New Roman"/>
          <w:snapToGrid/>
          <w:kern w:val="2"/>
          <w:sz w:val="24"/>
          <w:szCs w:val="24"/>
          <w:u w:val="none"/>
          <w:lang w:val="en-US" w:eastAsia="zh-CN"/>
        </w:rPr>
        <w:t xml:space="preserve">（2）项目是否符合相关规划及选址要求； </w:t>
      </w:r>
    </w:p>
    <w:p>
      <w:pPr>
        <w:widowControl w:val="0"/>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val="en-US" w:eastAsia="zh-CN"/>
        </w:rPr>
      </w:pPr>
      <w:r>
        <w:rPr>
          <w:rFonts w:hint="eastAsia" w:ascii="Times New Roman" w:hAnsi="Times New Roman" w:eastAsia="宋体" w:cs="Times New Roman"/>
          <w:snapToGrid/>
          <w:kern w:val="2"/>
          <w:sz w:val="24"/>
          <w:szCs w:val="24"/>
          <w:u w:val="none"/>
          <w:lang w:val="en-US" w:eastAsia="zh-CN"/>
        </w:rPr>
        <w:t>（3）建设单位在尚未报批环境影响评价文件前，已经进行开工建设；</w:t>
      </w:r>
    </w:p>
    <w:p>
      <w:pPr>
        <w:widowControl w:val="0"/>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eastAsia="zh-CN"/>
        </w:rPr>
      </w:pPr>
      <w:r>
        <w:rPr>
          <w:rFonts w:hint="eastAsia" w:ascii="Times New Roman" w:hAnsi="Times New Roman" w:eastAsia="宋体" w:cs="Times New Roman"/>
          <w:snapToGrid/>
          <w:kern w:val="2"/>
          <w:sz w:val="24"/>
          <w:szCs w:val="24"/>
          <w:u w:val="none"/>
          <w:lang w:val="en-US" w:eastAsia="zh-CN"/>
        </w:rPr>
        <w:t xml:space="preserve">（4）运营期废气污染物（主要为恶臭气体）排放，对区域环境空气的影响； </w:t>
      </w:r>
    </w:p>
    <w:p>
      <w:pPr>
        <w:widowControl w:val="0"/>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eastAsia="zh-CN"/>
        </w:rPr>
      </w:pPr>
      <w:r>
        <w:rPr>
          <w:rFonts w:hint="eastAsia" w:ascii="Times New Roman" w:hAnsi="Times New Roman" w:eastAsia="宋体" w:cs="Times New Roman"/>
          <w:snapToGrid/>
          <w:kern w:val="2"/>
          <w:sz w:val="24"/>
          <w:szCs w:val="24"/>
          <w:u w:val="none"/>
          <w:lang w:val="en-US" w:eastAsia="zh-CN"/>
        </w:rPr>
        <w:t>（5）项目废水是否采取合理可行的污水处理系统，是否能够达到接管要求；</w:t>
      </w:r>
    </w:p>
    <w:p>
      <w:pPr>
        <w:widowControl w:val="0"/>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2"/>
          <w:sz w:val="24"/>
          <w:szCs w:val="24"/>
          <w:highlight w:val="none"/>
          <w:u w:val="none"/>
          <w:lang w:eastAsia="zh-CN"/>
        </w:rPr>
      </w:pPr>
      <w:r>
        <w:rPr>
          <w:rFonts w:hint="eastAsia" w:ascii="Times New Roman" w:hAnsi="Times New Roman" w:eastAsia="宋体" w:cs="Times New Roman"/>
          <w:snapToGrid/>
          <w:color w:val="000000"/>
          <w:kern w:val="2"/>
          <w:sz w:val="24"/>
          <w:szCs w:val="24"/>
          <w:highlight w:val="none"/>
          <w:u w:val="none"/>
          <w:lang w:val="en-US" w:eastAsia="zh-CN"/>
        </w:rPr>
        <w:t xml:space="preserve">（6）重点关注固体废物收集、暂存、处置措施的合理性，防止二次污染； </w:t>
      </w:r>
    </w:p>
    <w:p>
      <w:pPr>
        <w:widowControl w:val="0"/>
        <w:numPr>
          <w:ilvl w:val="0"/>
          <w:numId w:val="0"/>
        </w:numPr>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highlight w:val="none"/>
          <w:u w:val="none"/>
          <w:lang w:eastAsia="zh-CN"/>
        </w:rPr>
      </w:pPr>
      <w:r>
        <w:rPr>
          <w:rFonts w:hint="eastAsia" w:ascii="Times New Roman" w:hAnsi="Times New Roman" w:eastAsia="宋体" w:cs="Times New Roman"/>
          <w:snapToGrid/>
          <w:color w:val="000000"/>
          <w:kern w:val="2"/>
          <w:sz w:val="24"/>
          <w:szCs w:val="24"/>
          <w:highlight w:val="none"/>
          <w:u w:val="none"/>
          <w:lang w:val="en-US" w:eastAsia="zh-CN"/>
        </w:rPr>
        <w:t>（7）项目采取的其他相关环境保护措施是否合理、可行</w:t>
      </w:r>
      <w:r>
        <w:rPr>
          <w:rFonts w:hint="eastAsia" w:ascii="Times New Roman" w:hAnsi="Times New Roman" w:eastAsia="宋体" w:cs="Times New Roman"/>
          <w:snapToGrid/>
          <w:color w:val="000000"/>
          <w:kern w:val="2"/>
          <w:sz w:val="24"/>
          <w:szCs w:val="24"/>
          <w:highlight w:val="none"/>
          <w:u w:val="none"/>
          <w:lang w:eastAsia="zh-CN"/>
        </w:rPr>
        <w:t>。</w:t>
      </w:r>
    </w:p>
    <w:p>
      <w:pPr>
        <w:pStyle w:val="4"/>
        <w:bidi w:val="0"/>
        <w:rPr>
          <w:lang w:val="en-US" w:eastAsia="zh-CN"/>
        </w:rPr>
      </w:pPr>
      <w:bookmarkStart w:id="27" w:name="_Toc8267"/>
      <w:bookmarkStart w:id="28" w:name="_Toc17568"/>
      <w:bookmarkStart w:id="29" w:name="_Toc32700"/>
      <w:bookmarkStart w:id="30" w:name="_Toc4948"/>
      <w:bookmarkStart w:id="31" w:name="_Toc15072"/>
      <w:r>
        <w:rPr>
          <w:lang w:val="en-US" w:eastAsia="zh-CN"/>
        </w:rPr>
        <w:t>1.</w:t>
      </w:r>
      <w:r>
        <w:rPr>
          <w:rFonts w:hint="eastAsia"/>
          <w:lang w:val="en-US" w:eastAsia="zh-CN"/>
        </w:rPr>
        <w:t>6</w:t>
      </w:r>
      <w:r>
        <w:rPr>
          <w:lang w:val="en-US" w:eastAsia="zh-CN"/>
        </w:rPr>
        <w:t>环境影响报告书主要结论</w:t>
      </w:r>
      <w:bookmarkEnd w:id="27"/>
      <w:bookmarkEnd w:id="28"/>
      <w:bookmarkEnd w:id="29"/>
      <w:bookmarkEnd w:id="30"/>
      <w:bookmarkEnd w:id="31"/>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根据所收集资料，依据相关评价技术方法，对项目施工、营运期所产生的各项污染物进行核算。根据核算结果及环境质量现状监测报告，对项目建设及运营后可能产生的环境影响进行评价，并得出如下结论：</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eastAsia="zh-CN"/>
        </w:rPr>
        <w:t>叶县2022年马庄乡张庄村畜产品精细加工物流园建设项目</w:t>
      </w:r>
      <w:r>
        <w:rPr>
          <w:rFonts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生产线成熟可靠，项目运营后主要关注环境问题为废气、噪声、废水、固废引起的环境污染问题。通过采取相应的污染防治措施，可确保各项污染物达标排放，对周边环境影响较小。项目的运营不会降低当地环境功能，且项目符合国家目前的产业政策。</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建设单位在严格执行环保“三同时”制度及落实本环评中提出的各项环保治理措施，并确保设施正常运行，做到污染物达标排放的条件下，本项目从环境保护角度衡量是可行的</w:t>
      </w:r>
      <w:r>
        <w:rPr>
          <w:rFonts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p>
    <w:p>
      <w:pPr>
        <w:spacing w:line="218" w:lineRule="auto"/>
        <w:rPr>
          <w:rFonts w:ascii="宋体" w:hAnsi="宋体" w:eastAsia="宋体" w:cs="宋体"/>
          <w:sz w:val="24"/>
          <w:szCs w:val="24"/>
        </w:rPr>
      </w:pPr>
    </w:p>
    <w:p>
      <w:pPr>
        <w:spacing w:line="218" w:lineRule="auto"/>
        <w:rPr>
          <w:rFonts w:ascii="宋体" w:hAnsi="宋体" w:eastAsia="宋体" w:cs="宋体"/>
          <w:sz w:val="24"/>
          <w:szCs w:val="24"/>
        </w:rPr>
        <w:sectPr>
          <w:footerReference r:id="rId5" w:type="default"/>
          <w:pgSz w:w="11906" w:h="16839"/>
          <w:pgMar w:top="1431" w:right="1643" w:bottom="1478" w:left="1652" w:header="0" w:footer="1315" w:gutter="0"/>
          <w:pgBorders>
            <w:top w:val="none" w:sz="0" w:space="0"/>
            <w:left w:val="none" w:sz="0" w:space="0"/>
            <w:bottom w:val="none" w:sz="0" w:space="0"/>
            <w:right w:val="none" w:sz="0" w:space="0"/>
          </w:pgBorders>
          <w:pgNumType w:fmt="numberInDash"/>
          <w:cols w:space="720" w:num="1"/>
        </w:sectPr>
      </w:pPr>
    </w:p>
    <w:p>
      <w:pPr>
        <w:pStyle w:val="3"/>
        <w:bidi w:val="0"/>
        <w:jc w:val="center"/>
        <w:rPr>
          <w:rFonts w:hint="eastAsia"/>
          <w:b w:val="0"/>
          <w:bCs/>
        </w:rPr>
      </w:pPr>
      <w:bookmarkStart w:id="32" w:name="bookmark16"/>
      <w:bookmarkEnd w:id="32"/>
      <w:bookmarkStart w:id="33" w:name="bookmark18"/>
      <w:bookmarkEnd w:id="33"/>
      <w:bookmarkStart w:id="34" w:name="bookmark17"/>
      <w:bookmarkEnd w:id="34"/>
      <w:bookmarkStart w:id="35" w:name="_Toc28520"/>
      <w:bookmarkStart w:id="36" w:name="_Toc26068"/>
      <w:r>
        <w:rPr>
          <w:rFonts w:hint="eastAsia"/>
          <w:b w:val="0"/>
          <w:bCs/>
        </w:rPr>
        <w:t>2</w:t>
      </w:r>
      <w:r>
        <w:rPr>
          <w:rFonts w:hint="eastAsia"/>
          <w:b w:val="0"/>
          <w:bCs/>
          <w:lang w:val="en-US" w:eastAsia="zh-CN"/>
        </w:rPr>
        <w:t xml:space="preserve">  </w:t>
      </w:r>
      <w:r>
        <w:rPr>
          <w:rFonts w:hint="eastAsia"/>
          <w:b w:val="0"/>
          <w:bCs/>
        </w:rPr>
        <w:t>总则</w:t>
      </w:r>
      <w:bookmarkEnd w:id="35"/>
      <w:bookmarkEnd w:id="36"/>
    </w:p>
    <w:p>
      <w:pPr>
        <w:pStyle w:val="4"/>
        <w:bidi w:val="0"/>
        <w:rPr>
          <w:lang w:val="zh-CN" w:eastAsia="zh-CN"/>
        </w:rPr>
      </w:pPr>
      <w:bookmarkStart w:id="37" w:name="bookmark29"/>
      <w:bookmarkEnd w:id="37"/>
      <w:bookmarkStart w:id="38" w:name="_Toc31595"/>
      <w:bookmarkStart w:id="39" w:name="_Toc8828"/>
      <w:bookmarkStart w:id="40" w:name="_Toc826"/>
      <w:bookmarkStart w:id="41" w:name="_Toc3237"/>
      <w:bookmarkStart w:id="42" w:name="_Toc18350"/>
      <w:r>
        <w:rPr>
          <w:lang w:val="en-US" w:eastAsia="zh-CN"/>
        </w:rPr>
        <w:t>2.1</w:t>
      </w:r>
      <w:r>
        <w:rPr>
          <w:rFonts w:hint="eastAsia"/>
          <w:lang w:val="en-US" w:eastAsia="zh-CN"/>
        </w:rPr>
        <w:t>编制依据</w:t>
      </w:r>
      <w:bookmarkEnd w:id="38"/>
      <w:bookmarkEnd w:id="39"/>
      <w:bookmarkEnd w:id="40"/>
      <w:bookmarkEnd w:id="41"/>
      <w:bookmarkEnd w:id="42"/>
    </w:p>
    <w:p>
      <w:pPr>
        <w:keepNext/>
        <w:keepLines/>
        <w:pageBreakBefore w:val="0"/>
        <w:widowControl w:val="0"/>
        <w:kinsoku w:val="0"/>
        <w:wordWrap/>
        <w:overflowPunct/>
        <w:topLinePunct w:val="0"/>
        <w:autoSpaceDE w:val="0"/>
        <w:autoSpaceDN w:val="0"/>
        <w:bidi w:val="0"/>
        <w:adjustRightInd w:val="0"/>
        <w:snapToGrid w:val="0"/>
        <w:spacing w:line="360" w:lineRule="auto"/>
        <w:ind w:left="0" w:leftChars="0" w:firstLine="0" w:firstLineChars="0"/>
        <w:jc w:val="both"/>
        <w:textAlignment w:val="baseline"/>
        <w:outlineLvl w:val="9"/>
        <w:rPr>
          <w:rFonts w:hint="eastAsia" w:ascii="楷体" w:hAnsi="楷体" w:eastAsia="楷体" w:cs="楷体"/>
          <w:b w:val="0"/>
          <w:bCs/>
          <w:kern w:val="2"/>
          <w:sz w:val="28"/>
          <w:szCs w:val="24"/>
          <w:lang w:val="en-US" w:eastAsia="zh-CN" w:bidi="ar-SA"/>
        </w:rPr>
      </w:pPr>
      <w:r>
        <w:rPr>
          <w:rFonts w:hint="eastAsia" w:ascii="楷体" w:hAnsi="楷体" w:eastAsia="楷体" w:cs="楷体"/>
          <w:b w:val="0"/>
          <w:bCs/>
          <w:kern w:val="2"/>
          <w:sz w:val="28"/>
          <w:szCs w:val="24"/>
          <w:lang w:val="en-US" w:eastAsia="zh-CN" w:bidi="ar-SA"/>
        </w:rPr>
        <w:t>2.1.1相关法律法规</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2"/>
          <w:sz w:val="24"/>
          <w:szCs w:val="24"/>
          <w:lang w:eastAsia="zh-CN"/>
        </w:rPr>
      </w:pPr>
      <w:r>
        <w:rPr>
          <w:rFonts w:hint="default" w:ascii="Times New Roman" w:hAnsi="Times New Roman" w:eastAsia="宋体" w:cs="Times New Roman"/>
          <w:snapToGrid/>
          <w:color w:val="000000"/>
          <w:kern w:val="0"/>
          <w:sz w:val="24"/>
          <w:szCs w:val="24"/>
          <w:lang w:eastAsia="zh-CN" w:bidi="ar"/>
        </w:rPr>
        <w:t>（1）《中华人民共和国环境保护法》（2015年1月1日</w:t>
      </w:r>
      <w:r>
        <w:rPr>
          <w:rFonts w:hint="default" w:ascii="Times New Roman" w:hAnsi="Times New Roman" w:eastAsia="宋体" w:cs="Times New Roman"/>
          <w:snapToGrid/>
          <w:color w:val="4C4C4C"/>
          <w:kern w:val="2"/>
          <w:sz w:val="24"/>
          <w:szCs w:val="24"/>
          <w:shd w:val="clear" w:color="auto" w:fill="FFFFFF"/>
          <w:lang w:eastAsia="zh-CN"/>
        </w:rPr>
        <w:t>施行</w:t>
      </w:r>
      <w:r>
        <w:rPr>
          <w:rFonts w:hint="default" w:ascii="Times New Roman" w:hAnsi="Times New Roman" w:eastAsia="宋体" w:cs="Times New Roman"/>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eastAsia="zh-CN" w:bidi="ar"/>
        </w:rPr>
        <w:t xml:space="preserve">（2）《中华人民共和国大气污染防治法》（2016年1月1日起施行）； </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eastAsia="zh-CN" w:bidi="ar"/>
        </w:rPr>
        <w:t>（3）《中华人民共和国水污染防治法》（2018年1月1日起施行）；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eastAsia="zh-CN" w:bidi="ar"/>
        </w:rPr>
        <w:t>（4）《中华人民共和国噪声污染防治法》（2022年6月5日起施行）；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eastAsia="zh-CN" w:bidi="ar"/>
        </w:rPr>
        <w:t>（5）《中华人民共和国固体废物污染防治法》（2020年9月1日起施行）；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eastAsia="zh-CN" w:bidi="ar"/>
        </w:rPr>
        <w:t>（6）《中华人民共和国清洁生产促进法》（</w:t>
      </w:r>
      <w:r>
        <w:rPr>
          <w:rFonts w:hint="eastAsia" w:ascii="Times New Roman" w:hAnsi="Times New Roman" w:eastAsia="宋体" w:cs="Times New Roman"/>
          <w:snapToGrid/>
          <w:color w:val="000000"/>
          <w:kern w:val="0"/>
          <w:sz w:val="24"/>
          <w:szCs w:val="24"/>
          <w:lang w:val="en-US" w:eastAsia="zh-CN" w:bidi="ar"/>
        </w:rPr>
        <w:t>2012年7月1日</w:t>
      </w:r>
      <w:r>
        <w:rPr>
          <w:rFonts w:hint="default" w:ascii="Times New Roman" w:hAnsi="Times New Roman" w:eastAsia="宋体" w:cs="Times New Roman"/>
          <w:snapToGrid/>
          <w:color w:val="000000"/>
          <w:kern w:val="0"/>
          <w:sz w:val="24"/>
          <w:szCs w:val="24"/>
          <w:lang w:eastAsia="zh-CN" w:bidi="ar"/>
        </w:rPr>
        <w:t>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2"/>
          <w:sz w:val="24"/>
          <w:szCs w:val="24"/>
          <w:lang w:eastAsia="zh-CN"/>
        </w:rPr>
      </w:pPr>
      <w:r>
        <w:rPr>
          <w:rFonts w:hint="default" w:ascii="Times New Roman" w:hAnsi="Times New Roman" w:eastAsia="宋体" w:cs="Times New Roman"/>
          <w:snapToGrid/>
          <w:color w:val="000000"/>
          <w:kern w:val="0"/>
          <w:sz w:val="24"/>
          <w:szCs w:val="24"/>
          <w:lang w:eastAsia="zh-CN" w:bidi="ar"/>
        </w:rPr>
        <w:t>（7）《中华人民共和国环境影响评价法》（2018年12月29日第二次修正）；</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w:t>
      </w:r>
      <w:r>
        <w:rPr>
          <w:rFonts w:hint="eastAsia" w:ascii="Times New Roman" w:hAnsi="Times New Roman" w:eastAsia="宋体" w:cs="Times New Roman"/>
          <w:snapToGrid/>
          <w:color w:val="000000"/>
          <w:kern w:val="0"/>
          <w:sz w:val="24"/>
          <w:szCs w:val="24"/>
          <w:lang w:val="en-US" w:eastAsia="zh-CN" w:bidi="ar"/>
        </w:rPr>
        <w:t>8</w:t>
      </w:r>
      <w:r>
        <w:rPr>
          <w:rFonts w:hint="default" w:ascii="Times New Roman" w:hAnsi="Times New Roman" w:eastAsia="宋体" w:cs="Times New Roman"/>
          <w:snapToGrid/>
          <w:color w:val="000000"/>
          <w:kern w:val="0"/>
          <w:sz w:val="24"/>
          <w:szCs w:val="24"/>
          <w:lang w:val="en-US" w:eastAsia="zh-CN" w:bidi="ar"/>
        </w:rPr>
        <w:t>）《中华人民共和国土壤污染防治法》（2019年1月1日起施行）；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 xml:space="preserve">（9）《中华人民共和国土地管理法》（2020年1月1日起施行）； </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（10）《中华人民共和国水法》（2016年9月1日起施行）；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 xml:space="preserve">（11）《中华人民共和国节约能源法》（2018年10月26日修正）； </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（12）《中华人民共和国循环经济促进法》（2018年10月26日起施行）；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2"/>
          <w:sz w:val="24"/>
          <w:szCs w:val="24"/>
          <w:lang w:eastAsia="zh-CN"/>
        </w:rPr>
      </w:pPr>
      <w:r>
        <w:rPr>
          <w:rFonts w:hint="default"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13</w:t>
      </w:r>
      <w:r>
        <w:rPr>
          <w:rFonts w:hint="default" w:ascii="Times New Roman" w:hAnsi="Times New Roman" w:eastAsia="宋体" w:cs="Times New Roman"/>
          <w:snapToGrid/>
          <w:color w:val="000000"/>
          <w:kern w:val="0"/>
          <w:sz w:val="24"/>
          <w:szCs w:val="24"/>
          <w:lang w:eastAsia="zh-CN" w:bidi="ar"/>
        </w:rPr>
        <w:t>）《建设项目环境保护管理条例》（国务院令第682号，</w:t>
      </w:r>
      <w:r>
        <w:rPr>
          <w:rFonts w:hint="default" w:ascii="Times New Roman" w:hAnsi="Times New Roman" w:eastAsia="宋体" w:cs="Times New Roman"/>
          <w:snapToGrid/>
          <w:color w:val="4C4C4C"/>
          <w:kern w:val="2"/>
          <w:sz w:val="24"/>
          <w:szCs w:val="24"/>
          <w:shd w:val="clear" w:color="auto" w:fill="FFFFFF"/>
          <w:lang w:eastAsia="zh-CN"/>
        </w:rPr>
        <w:t>2017年10月1日起施行</w:t>
      </w:r>
      <w:r>
        <w:rPr>
          <w:rFonts w:hint="default" w:ascii="Times New Roman" w:hAnsi="Times New Roman" w:eastAsia="宋体" w:cs="Times New Roman"/>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ascii="Times New Roman" w:hAnsi="Times New Roman" w:eastAsia="宋体" w:cs="Times New Roman"/>
          <w:snapToGrid/>
          <w:color w:val="000000"/>
          <w:kern w:val="0"/>
          <w:sz w:val="24"/>
          <w:szCs w:val="24"/>
          <w:lang w:eastAsia="zh-CN" w:bidi="ar"/>
        </w:rPr>
        <w:t>（1</w:t>
      </w:r>
      <w:r>
        <w:rPr>
          <w:rFonts w:hint="eastAsia" w:ascii="Times New Roman" w:hAnsi="Times New Roman" w:eastAsia="宋体" w:cs="Times New Roman"/>
          <w:snapToGrid/>
          <w:color w:val="000000"/>
          <w:kern w:val="0"/>
          <w:sz w:val="24"/>
          <w:szCs w:val="24"/>
          <w:lang w:val="en-US" w:eastAsia="zh-CN" w:bidi="ar"/>
        </w:rPr>
        <w:t>4</w:t>
      </w:r>
      <w:r>
        <w:rPr>
          <w:rFonts w:ascii="Times New Roman" w:hAnsi="Times New Roman" w:eastAsia="宋体" w:cs="Times New Roman"/>
          <w:snapToGrid/>
          <w:color w:val="000000"/>
          <w:kern w:val="0"/>
          <w:sz w:val="24"/>
          <w:szCs w:val="24"/>
          <w:lang w:eastAsia="zh-CN" w:bidi="ar"/>
        </w:rPr>
        <w:t>）《河南省建设项目环境保护管理条例》（2018年9月29日）；</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15</w:t>
      </w:r>
      <w:r>
        <w:rPr>
          <w:rFonts w:ascii="Times New Roman" w:hAnsi="Times New Roman" w:eastAsia="宋体" w:cs="Times New Roman"/>
          <w:snapToGrid/>
          <w:color w:val="000000"/>
          <w:kern w:val="0"/>
          <w:sz w:val="24"/>
          <w:szCs w:val="24"/>
          <w:lang w:eastAsia="zh-CN" w:bidi="ar"/>
        </w:rPr>
        <w:t>）《河南省水污染防治条例》（2019年10月1日起施行）；</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16</w:t>
      </w:r>
      <w:r>
        <w:rPr>
          <w:rFonts w:ascii="Times New Roman" w:hAnsi="Times New Roman" w:eastAsia="宋体" w:cs="Times New Roman"/>
          <w:snapToGrid/>
          <w:color w:val="000000"/>
          <w:kern w:val="0"/>
          <w:sz w:val="24"/>
          <w:szCs w:val="24"/>
          <w:lang w:eastAsia="zh-CN" w:bidi="ar"/>
        </w:rPr>
        <w:t>）《河南省固体废物污染环境防治条例》（2012年1月1日起施行）；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（1</w:t>
      </w:r>
      <w:r>
        <w:rPr>
          <w:rFonts w:hint="eastAsia" w:ascii="Times New Roman" w:hAnsi="Times New Roman" w:eastAsia="宋体" w:cs="Times New Roman"/>
          <w:snapToGrid/>
          <w:color w:val="000000"/>
          <w:kern w:val="0"/>
          <w:sz w:val="24"/>
          <w:szCs w:val="24"/>
          <w:lang w:val="en-US" w:eastAsia="zh-CN" w:bidi="ar"/>
        </w:rPr>
        <w:t>7</w:t>
      </w:r>
      <w:r>
        <w:rPr>
          <w:rFonts w:hint="default" w:ascii="Times New Roman" w:hAnsi="Times New Roman" w:eastAsia="宋体" w:cs="Times New Roman"/>
          <w:snapToGrid/>
          <w:color w:val="000000"/>
          <w:kern w:val="0"/>
          <w:sz w:val="24"/>
          <w:szCs w:val="24"/>
          <w:lang w:val="en-US" w:eastAsia="zh-CN" w:bidi="ar"/>
        </w:rPr>
        <w:t>）《河南省大气污染防治条例》（2018年3月1日起施行）；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（1</w:t>
      </w:r>
      <w:r>
        <w:rPr>
          <w:rFonts w:hint="eastAsia" w:ascii="Times New Roman" w:hAnsi="Times New Roman" w:eastAsia="宋体" w:cs="Times New Roman"/>
          <w:snapToGrid/>
          <w:color w:val="000000"/>
          <w:kern w:val="0"/>
          <w:sz w:val="24"/>
          <w:szCs w:val="24"/>
          <w:lang w:val="en-US" w:eastAsia="zh-CN" w:bidi="ar"/>
        </w:rPr>
        <w:t>8</w:t>
      </w:r>
      <w:r>
        <w:rPr>
          <w:rFonts w:hint="default" w:ascii="Times New Roman" w:hAnsi="Times New Roman" w:eastAsia="宋体" w:cs="Times New Roman"/>
          <w:snapToGrid/>
          <w:color w:val="000000"/>
          <w:kern w:val="0"/>
          <w:sz w:val="24"/>
          <w:szCs w:val="24"/>
          <w:lang w:val="en-US" w:eastAsia="zh-CN" w:bidi="ar"/>
        </w:rPr>
        <w:t>）《河南省减少污染物排放条例》（2014年1月1日起施行）；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w:t>
      </w:r>
      <w:r>
        <w:rPr>
          <w:rFonts w:hint="eastAsia" w:ascii="Times New Roman" w:hAnsi="Times New Roman" w:eastAsia="宋体" w:cs="Times New Roman"/>
          <w:snapToGrid/>
          <w:color w:val="000000"/>
          <w:kern w:val="0"/>
          <w:sz w:val="24"/>
          <w:szCs w:val="24"/>
          <w:lang w:val="en-US" w:eastAsia="zh-CN" w:bidi="ar"/>
        </w:rPr>
        <w:t>19</w:t>
      </w:r>
      <w:r>
        <w:rPr>
          <w:rFonts w:hint="default" w:ascii="Times New Roman" w:hAnsi="Times New Roman" w:eastAsia="宋体" w:cs="Times New Roman"/>
          <w:snapToGrid/>
          <w:color w:val="000000"/>
          <w:kern w:val="0"/>
          <w:sz w:val="24"/>
          <w:szCs w:val="24"/>
          <w:lang w:val="en-US" w:eastAsia="zh-CN" w:bidi="ar"/>
        </w:rPr>
        <w:t>）《中华人民共和国动物防疫法》（2021年1月22日）；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w:t>
      </w:r>
      <w:r>
        <w:rPr>
          <w:rFonts w:hint="eastAsia" w:ascii="Times New Roman" w:hAnsi="Times New Roman" w:eastAsia="宋体" w:cs="Times New Roman"/>
          <w:snapToGrid/>
          <w:color w:val="000000"/>
          <w:kern w:val="0"/>
          <w:sz w:val="24"/>
          <w:szCs w:val="24"/>
          <w:lang w:val="en-US" w:eastAsia="zh-CN" w:bidi="ar"/>
        </w:rPr>
        <w:t>20</w:t>
      </w:r>
      <w:r>
        <w:rPr>
          <w:rFonts w:hint="default" w:ascii="Times New Roman" w:hAnsi="Times New Roman" w:eastAsia="宋体" w:cs="Times New Roman"/>
          <w:snapToGrid/>
          <w:color w:val="000000"/>
          <w:kern w:val="0"/>
          <w:sz w:val="24"/>
          <w:szCs w:val="24"/>
          <w:lang w:val="en-US" w:eastAsia="zh-CN" w:bidi="ar"/>
        </w:rPr>
        <w:t>）《中华人民共和国食品安全法》（2021年4月29日）。</w:t>
      </w:r>
    </w:p>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8"/>
          <w:szCs w:val="28"/>
          <w:lang w:val="en-US" w:eastAsia="zh-CN" w:bidi="ar"/>
        </w:rPr>
        <w:t>2.1.2</w:t>
      </w:r>
      <w:r>
        <w:rPr>
          <w:rFonts w:hint="eastAsia" w:ascii="楷体" w:hAnsi="楷体" w:eastAsia="楷体" w:cs="楷体"/>
          <w:snapToGrid/>
          <w:color w:val="000000"/>
          <w:kern w:val="0"/>
          <w:sz w:val="28"/>
          <w:szCs w:val="28"/>
          <w:lang w:val="en-US" w:eastAsia="zh-CN" w:bidi="ar"/>
        </w:rPr>
        <w:t>相关环境</w:t>
      </w:r>
      <w:r>
        <w:rPr>
          <w:rFonts w:ascii="楷体" w:hAnsi="楷体" w:eastAsia="楷体" w:cs="楷体"/>
          <w:snapToGrid/>
          <w:color w:val="000000"/>
          <w:kern w:val="0"/>
          <w:sz w:val="28"/>
          <w:szCs w:val="28"/>
          <w:lang w:val="en-US" w:eastAsia="zh-CN" w:bidi="ar"/>
        </w:rPr>
        <w:t>政策及</w:t>
      </w:r>
      <w:r>
        <w:rPr>
          <w:rFonts w:hint="eastAsia" w:ascii="楷体" w:hAnsi="楷体" w:eastAsia="楷体" w:cs="楷体"/>
          <w:snapToGrid/>
          <w:color w:val="000000"/>
          <w:kern w:val="0"/>
          <w:sz w:val="28"/>
          <w:szCs w:val="28"/>
          <w:lang w:val="en-US" w:eastAsia="zh-CN" w:bidi="ar"/>
        </w:rPr>
        <w:t>环保规划</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val="en-US" w:eastAsia="zh-CN" w:bidi="ar"/>
        </w:rPr>
        <w:t>（1）《产业结构调整指导目录（2024年本）》；</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2</w:t>
      </w:r>
      <w:r>
        <w:rPr>
          <w:rFonts w:ascii="Times New Roman" w:hAnsi="Times New Roman" w:eastAsia="宋体" w:cs="Times New Roman"/>
          <w:snapToGrid/>
          <w:color w:val="000000"/>
          <w:kern w:val="0"/>
          <w:sz w:val="24"/>
          <w:szCs w:val="24"/>
          <w:lang w:eastAsia="zh-CN" w:bidi="ar"/>
        </w:rPr>
        <w:t>）《建设项目环境影响评价分类管理名录》（部令第44号，2021年版）；</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3</w:t>
      </w:r>
      <w:r>
        <w:rPr>
          <w:rFonts w:ascii="Times New Roman" w:hAnsi="Times New Roman" w:eastAsia="宋体" w:cs="Times New Roman"/>
          <w:snapToGrid/>
          <w:color w:val="000000"/>
          <w:kern w:val="0"/>
          <w:sz w:val="24"/>
          <w:szCs w:val="24"/>
          <w:lang w:eastAsia="zh-CN" w:bidi="ar"/>
        </w:rPr>
        <w:t>）《环境影响评价公众参与办法》（自2019年1月1日实施）；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4</w:t>
      </w:r>
      <w:r>
        <w:rPr>
          <w:rFonts w:ascii="Times New Roman" w:hAnsi="Times New Roman" w:eastAsia="宋体" w:cs="Times New Roman"/>
          <w:snapToGrid/>
          <w:color w:val="000000"/>
          <w:kern w:val="0"/>
          <w:sz w:val="24"/>
          <w:szCs w:val="24"/>
          <w:lang w:eastAsia="zh-CN" w:bidi="ar"/>
        </w:rPr>
        <w:t>）《关于进一步加强环境影响评价管理防范环境风险的通知》（环发〔2012〕77号）；</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5</w:t>
      </w:r>
      <w:r>
        <w:rPr>
          <w:rFonts w:ascii="Times New Roman" w:hAnsi="Times New Roman" w:eastAsia="宋体" w:cs="Times New Roman"/>
          <w:snapToGrid/>
          <w:color w:val="000000"/>
          <w:kern w:val="0"/>
          <w:sz w:val="24"/>
          <w:szCs w:val="24"/>
          <w:lang w:eastAsia="zh-CN" w:bidi="ar"/>
        </w:rPr>
        <w:t>）《关于切实加强风险防范严格环境影响评价管理的通知》（环发〔2012〕98号）；</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val="en-US" w:eastAsia="zh-CN" w:bidi="ar"/>
        </w:rPr>
        <w:t>（6）关于印发《建设项目环境影响评价政府信息公开指南（试行）》的通知（环办</w:t>
      </w:r>
      <w:r>
        <w:rPr>
          <w:rFonts w:hint="default" w:ascii="Times New Roman" w:hAnsi="Times New Roman" w:eastAsia="宋体" w:cs="Times New Roman"/>
          <w:snapToGrid/>
          <w:color w:val="000000"/>
          <w:kern w:val="0"/>
          <w:sz w:val="24"/>
          <w:szCs w:val="24"/>
          <w:lang w:val="en-US" w:eastAsia="zh-CN" w:bidi="ar"/>
        </w:rPr>
        <w:t>[2013]103</w:t>
      </w:r>
      <w:r>
        <w:rPr>
          <w:rFonts w:hint="eastAsia" w:ascii="Times New Roman" w:hAnsi="Times New Roman" w:eastAsia="宋体" w:cs="Times New Roman"/>
          <w:snapToGrid/>
          <w:color w:val="000000"/>
          <w:kern w:val="0"/>
          <w:sz w:val="24"/>
          <w:szCs w:val="24"/>
          <w:lang w:val="en-US" w:eastAsia="zh-CN" w:bidi="ar"/>
        </w:rPr>
        <w:t xml:space="preserve">号）； </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val="en-US" w:eastAsia="zh-CN" w:bidi="ar"/>
        </w:rPr>
        <w:t>（7）国家环保总局《关于进一步加强生态保护工作的意见》（环发</w:t>
      </w:r>
      <w:r>
        <w:rPr>
          <w:rFonts w:hint="default" w:ascii="Times New Roman" w:hAnsi="Times New Roman" w:eastAsia="宋体" w:cs="Times New Roman"/>
          <w:snapToGrid/>
          <w:color w:val="000000"/>
          <w:kern w:val="0"/>
          <w:sz w:val="24"/>
          <w:szCs w:val="24"/>
          <w:lang w:val="en-US" w:eastAsia="zh-CN" w:bidi="ar"/>
        </w:rPr>
        <w:t>[2007]37</w:t>
      </w:r>
      <w:r>
        <w:rPr>
          <w:rFonts w:hint="eastAsia" w:ascii="Times New Roman" w:hAnsi="Times New Roman" w:eastAsia="宋体" w:cs="Times New Roman"/>
          <w:snapToGrid/>
          <w:color w:val="000000"/>
          <w:kern w:val="0"/>
          <w:sz w:val="24"/>
          <w:szCs w:val="24"/>
          <w:lang w:val="en-US" w:eastAsia="zh-CN" w:bidi="ar"/>
        </w:rPr>
        <w:t xml:space="preserve">号）； </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w:t>
      </w:r>
      <w:r>
        <w:rPr>
          <w:rFonts w:hint="eastAsia" w:ascii="Times New Roman" w:hAnsi="Times New Roman" w:eastAsia="宋体" w:cs="Times New Roman"/>
          <w:snapToGrid/>
          <w:color w:val="000000"/>
          <w:kern w:val="0"/>
          <w:sz w:val="24"/>
          <w:szCs w:val="24"/>
          <w:lang w:val="en-US" w:eastAsia="zh-CN" w:bidi="ar"/>
        </w:rPr>
        <w:t>8</w:t>
      </w:r>
      <w:r>
        <w:rPr>
          <w:rFonts w:hint="eastAsia" w:ascii="宋体" w:hAnsi="宋体" w:eastAsia="宋体" w:cs="宋体"/>
          <w:snapToGrid/>
          <w:color w:val="000000"/>
          <w:kern w:val="0"/>
          <w:sz w:val="24"/>
          <w:szCs w:val="24"/>
          <w:lang w:val="en-US" w:eastAsia="zh-CN" w:bidi="ar"/>
        </w:rPr>
        <w:t>）《国家危险废物名录》（</w:t>
      </w:r>
      <w:r>
        <w:rPr>
          <w:rFonts w:hint="default" w:ascii="Times New Roman" w:hAnsi="Times New Roman" w:eastAsia="宋体" w:cs="Times New Roman"/>
          <w:snapToGrid/>
          <w:color w:val="000000"/>
          <w:kern w:val="0"/>
          <w:sz w:val="24"/>
          <w:szCs w:val="24"/>
          <w:lang w:val="en-US" w:eastAsia="zh-CN" w:bidi="ar"/>
        </w:rPr>
        <w:t>2021</w:t>
      </w:r>
      <w:r>
        <w:rPr>
          <w:rFonts w:hint="eastAsia" w:ascii="宋体" w:hAnsi="宋体" w:eastAsia="宋体" w:cs="宋体"/>
          <w:snapToGrid/>
          <w:color w:val="000000"/>
          <w:kern w:val="0"/>
          <w:sz w:val="24"/>
          <w:szCs w:val="24"/>
          <w:lang w:val="en-US" w:eastAsia="zh-CN" w:bidi="ar"/>
        </w:rPr>
        <w:t>年版）；</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0"/>
          <w:sz w:val="24"/>
          <w:szCs w:val="24"/>
          <w:lang w:val="en-US" w:eastAsia="zh-CN" w:bidi="ar"/>
        </w:rPr>
      </w:pPr>
      <w:r>
        <w:rPr>
          <w:rFonts w:hint="eastAsia" w:ascii="Times New Roman" w:hAnsi="Times New Roman" w:eastAsia="宋体" w:cs="Times New Roman"/>
          <w:snapToGrid/>
          <w:color w:val="000000"/>
          <w:kern w:val="0"/>
          <w:sz w:val="24"/>
          <w:szCs w:val="24"/>
          <w:lang w:val="en-US" w:eastAsia="zh-CN" w:bidi="ar"/>
        </w:rPr>
        <w:t>（9）《“十四五”土壤、地下水和农村生态环境保护规划》（环土壤〔2021〕120号）；</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（10）《河南省人民政府关于印发河南省“十四五”生态环境保护和生态经济发展规划的通知》（豫政〔2021〕44号）；</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（11）《平顶山市“十四五”生态环境保护和生态经济发展规划》（平政〔2023〕10号）；</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（12）《平顶山市人民政府关于印发平顶山市“十四五”水生态环境保护规划的通知》（平政〔2023〕11号）；</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13</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《叶县国土空间总体规划（2021-2035）》；</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bookmarkStart w:id="43" w:name="_Toc44493931"/>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eastAsia="zh-CN" w:bidi="ar"/>
        </w:rPr>
        <w:t>1</w:t>
      </w:r>
      <w:r>
        <w:rPr>
          <w:rFonts w:hint="eastAsia" w:ascii="Times New Roman" w:hAnsi="Times New Roman" w:eastAsia="宋体" w:cs="Times New Roman"/>
          <w:snapToGrid/>
          <w:color w:val="000000"/>
          <w:kern w:val="0"/>
          <w:sz w:val="24"/>
          <w:szCs w:val="24"/>
          <w:lang w:val="en-US" w:eastAsia="zh-CN" w:bidi="ar"/>
        </w:rPr>
        <w:t>4</w:t>
      </w:r>
      <w:r>
        <w:rPr>
          <w:rFonts w:ascii="Times New Roman" w:hAnsi="Times New Roman" w:eastAsia="宋体" w:cs="Times New Roman"/>
          <w:snapToGrid/>
          <w:color w:val="000000"/>
          <w:kern w:val="0"/>
          <w:sz w:val="24"/>
          <w:szCs w:val="24"/>
          <w:lang w:eastAsia="zh-CN" w:bidi="ar"/>
        </w:rPr>
        <w:t>）《重污染天气重点行业应急减排措施制定</w:t>
      </w:r>
      <w:bookmarkEnd w:id="43"/>
      <w:bookmarkStart w:id="44" w:name="_Toc44493932"/>
      <w:r>
        <w:rPr>
          <w:rFonts w:ascii="Times New Roman" w:hAnsi="Times New Roman" w:eastAsia="宋体" w:cs="Times New Roman"/>
          <w:snapToGrid/>
          <w:color w:val="000000"/>
          <w:kern w:val="0"/>
          <w:sz w:val="24"/>
          <w:szCs w:val="24"/>
          <w:lang w:eastAsia="zh-CN" w:bidi="ar"/>
        </w:rPr>
        <w:t>技术指南</w:t>
      </w:r>
      <w:bookmarkEnd w:id="44"/>
      <w:r>
        <w:rPr>
          <w:rFonts w:hint="eastAsia" w:ascii="Times New Roman" w:hAnsi="Times New Roman" w:eastAsia="宋体" w:cs="Times New Roman"/>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（2020年修订版）</w:t>
      </w:r>
      <w:r>
        <w:rPr>
          <w:rFonts w:hint="eastAsia" w:ascii="Times New Roman" w:hAnsi="Times New Roman" w:eastAsia="宋体" w:cs="Times New Roman"/>
          <w:snapToGrid/>
          <w:kern w:val="2"/>
          <w:sz w:val="24"/>
          <w:szCs w:val="24"/>
          <w:lang w:eastAsia="zh-CN"/>
        </w:rPr>
        <w:t>。</w:t>
      </w:r>
    </w:p>
    <w:p>
      <w:pPr>
        <w:keepNext/>
        <w:keepLines/>
        <w:widowControl w:val="0"/>
        <w:spacing w:line="360" w:lineRule="auto"/>
        <w:ind w:left="0" w:leftChars="0" w:firstLine="0" w:firstLineChars="0"/>
        <w:jc w:val="both"/>
        <w:outlineLvl w:val="9"/>
        <w:rPr>
          <w:rFonts w:hint="eastAsia" w:ascii="楷体" w:hAnsi="楷体" w:eastAsia="楷体" w:cs="楷体"/>
          <w:b w:val="0"/>
          <w:bCs/>
          <w:color w:val="000000"/>
          <w:kern w:val="2"/>
          <w:sz w:val="28"/>
          <w:szCs w:val="24"/>
          <w:lang w:val="en-US" w:eastAsia="zh-CN" w:bidi="ar-SA"/>
        </w:rPr>
      </w:pPr>
      <w:r>
        <w:rPr>
          <w:rFonts w:hint="eastAsia" w:ascii="楷体" w:hAnsi="楷体" w:eastAsia="楷体" w:cs="楷体"/>
          <w:b w:val="0"/>
          <w:bCs/>
          <w:color w:val="000000"/>
          <w:kern w:val="2"/>
          <w:sz w:val="28"/>
          <w:szCs w:val="24"/>
          <w:lang w:val="en-US" w:eastAsia="zh-CN" w:bidi="ar-SA"/>
        </w:rPr>
        <w:t>2.1.3地方性规章及相关文件</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1</w:t>
      </w:r>
      <w:r>
        <w:rPr>
          <w:rFonts w:ascii="Times New Roman" w:hAnsi="Times New Roman" w:eastAsia="宋体" w:cs="Times New Roman"/>
          <w:snapToGrid/>
          <w:color w:val="000000"/>
          <w:kern w:val="0"/>
          <w:sz w:val="24"/>
          <w:szCs w:val="24"/>
          <w:lang w:eastAsia="zh-CN" w:bidi="ar"/>
        </w:rPr>
        <w:t>）《河南省环境保护厅关于印发深化建设项目环境影响评价审批制度改革实施意见的通知》（豫环文</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2015</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33号）；</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2</w:t>
      </w:r>
      <w:r>
        <w:rPr>
          <w:rFonts w:ascii="Times New Roman" w:hAnsi="Times New Roman" w:eastAsia="宋体" w:cs="Times New Roman"/>
          <w:snapToGrid/>
          <w:color w:val="000000"/>
          <w:kern w:val="0"/>
          <w:sz w:val="24"/>
          <w:szCs w:val="24"/>
          <w:lang w:eastAsia="zh-CN" w:bidi="ar"/>
        </w:rPr>
        <w:t>）《河南省生态环境厅审批环境影响评价文件的建设项目目录（2019年本）》（河南省环保厅公告2019年第6号，2019年5月27日起施行）；</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3</w:t>
      </w:r>
      <w:r>
        <w:rPr>
          <w:rFonts w:ascii="Times New Roman" w:hAnsi="Times New Roman" w:eastAsia="宋体" w:cs="Times New Roman"/>
          <w:snapToGrid/>
          <w:color w:val="000000"/>
          <w:kern w:val="0"/>
          <w:sz w:val="24"/>
          <w:szCs w:val="24"/>
          <w:lang w:eastAsia="zh-CN" w:bidi="ar"/>
        </w:rPr>
        <w:t>）《河南省生态环境厅下放环境影响评价文件审批权限的建设项目目录》（2019年8月29日）</w:t>
      </w:r>
      <w:r>
        <w:rPr>
          <w:rFonts w:hint="eastAsia" w:ascii="Times New Roman" w:hAnsi="Times New Roman" w:eastAsia="宋体" w:cs="Times New Roman"/>
          <w:snapToGrid/>
          <w:color w:val="000000"/>
          <w:kern w:val="0"/>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4</w:t>
      </w:r>
      <w:r>
        <w:rPr>
          <w:rFonts w:ascii="Times New Roman" w:hAnsi="Times New Roman" w:eastAsia="宋体" w:cs="Times New Roman"/>
          <w:snapToGrid/>
          <w:color w:val="000000"/>
          <w:kern w:val="0"/>
          <w:sz w:val="24"/>
          <w:szCs w:val="24"/>
          <w:lang w:eastAsia="zh-CN" w:bidi="ar"/>
        </w:rPr>
        <w:t>）《河南省环境保护厅关于加强环评管理防范环境风险的通知》（豫环文〔2012〕159号）；</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5</w:t>
      </w:r>
      <w:r>
        <w:rPr>
          <w:rFonts w:ascii="Times New Roman" w:hAnsi="Times New Roman" w:eastAsia="宋体" w:cs="Times New Roman"/>
          <w:snapToGrid/>
          <w:color w:val="000000"/>
          <w:kern w:val="0"/>
          <w:sz w:val="24"/>
          <w:szCs w:val="24"/>
          <w:lang w:eastAsia="zh-CN" w:bidi="ar"/>
        </w:rPr>
        <w:t>）《河南省生态环境厅关于印发河南省工业大气污染防治6个专项方案的通知》（豫环文</w:t>
      </w:r>
      <w:r>
        <w:rPr>
          <w:rFonts w:hint="eastAsia" w:ascii="宋体" w:hAnsi="宋体" w:eastAsia="宋体" w:cs="宋体"/>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eastAsia="zh-CN" w:bidi="ar"/>
        </w:rPr>
        <w:t>2</w:t>
      </w:r>
      <w:r>
        <w:rPr>
          <w:rFonts w:ascii="Times New Roman" w:hAnsi="Times New Roman" w:eastAsia="宋体" w:cs="Times New Roman"/>
          <w:snapToGrid/>
          <w:color w:val="000000"/>
          <w:kern w:val="0"/>
          <w:sz w:val="24"/>
          <w:szCs w:val="24"/>
          <w:lang w:eastAsia="zh-CN" w:bidi="ar"/>
        </w:rPr>
        <w:t>019</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84号）；</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6</w:t>
      </w:r>
      <w:r>
        <w:rPr>
          <w:rFonts w:ascii="Times New Roman" w:hAnsi="Times New Roman" w:eastAsia="宋体" w:cs="Times New Roman"/>
          <w:snapToGrid/>
          <w:color w:val="000000"/>
          <w:kern w:val="0"/>
          <w:sz w:val="24"/>
          <w:szCs w:val="24"/>
          <w:lang w:eastAsia="zh-CN" w:bidi="ar"/>
        </w:rPr>
        <w:t>）《河南省人民政府办公厅关于印发河南省城市集中式饮用水源保护区划的通知》（豫政办〔2007〕125号）</w:t>
      </w:r>
      <w:r>
        <w:rPr>
          <w:rFonts w:hint="eastAsia" w:ascii="Times New Roman" w:hAnsi="Times New Roman" w:eastAsia="宋体" w:cs="Times New Roman"/>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7</w:t>
      </w:r>
      <w:r>
        <w:rPr>
          <w:rFonts w:ascii="Times New Roman" w:hAnsi="Times New Roman" w:eastAsia="宋体" w:cs="Times New Roman"/>
          <w:snapToGrid/>
          <w:color w:val="000000"/>
          <w:kern w:val="0"/>
          <w:sz w:val="24"/>
          <w:szCs w:val="24"/>
          <w:lang w:eastAsia="zh-CN" w:bidi="ar"/>
        </w:rPr>
        <w:t>）《河南省人民政府办公厅关于印发河南省县级集中式饮用水源保护区划的通知》（豫政办〔2013〕107号）；</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8</w:t>
      </w:r>
      <w:r>
        <w:rPr>
          <w:rFonts w:ascii="Times New Roman" w:hAnsi="Times New Roman" w:eastAsia="宋体" w:cs="Times New Roman"/>
          <w:snapToGrid/>
          <w:color w:val="000000"/>
          <w:kern w:val="0"/>
          <w:sz w:val="24"/>
          <w:szCs w:val="24"/>
          <w:lang w:eastAsia="zh-CN" w:bidi="ar"/>
        </w:rPr>
        <w:t>）《河南省人民政府办公厅关于印发河南省乡镇集中式饮用水源保护区划的通知》（豫政办〔2016〕23号）；</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val="en-US" w:eastAsia="zh-CN" w:bidi="ar"/>
        </w:rPr>
        <w:t>（9）《河南省人民政府关于划定调整取消部分集中式饮用水水源保护区的通知》（豫政文〔</w:t>
      </w:r>
      <w:r>
        <w:rPr>
          <w:rFonts w:hint="default" w:ascii="Times New Roman" w:hAnsi="Times New Roman" w:eastAsia="宋体" w:cs="Times New Roman"/>
          <w:snapToGrid/>
          <w:color w:val="000000"/>
          <w:kern w:val="0"/>
          <w:sz w:val="24"/>
          <w:szCs w:val="24"/>
          <w:lang w:val="en-US" w:eastAsia="zh-CN" w:bidi="ar"/>
        </w:rPr>
        <w:t>2019</w:t>
      </w:r>
      <w:r>
        <w:rPr>
          <w:rFonts w:hint="eastAsia" w:ascii="Times New Roman" w:hAnsi="Times New Roman" w:eastAsia="宋体" w:cs="Times New Roman"/>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125</w:t>
      </w:r>
      <w:r>
        <w:rPr>
          <w:rFonts w:hint="eastAsia" w:ascii="Times New Roman" w:hAnsi="Times New Roman" w:eastAsia="宋体" w:cs="Times New Roman"/>
          <w:snapToGrid/>
          <w:color w:val="000000"/>
          <w:kern w:val="0"/>
          <w:sz w:val="24"/>
          <w:szCs w:val="24"/>
          <w:lang w:val="en-US" w:eastAsia="zh-CN" w:bidi="ar"/>
        </w:rPr>
        <w:t>号）；</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1</w:t>
      </w:r>
      <w:r>
        <w:rPr>
          <w:rFonts w:hint="eastAsia" w:ascii="Times New Roman" w:hAnsi="Times New Roman" w:eastAsia="宋体" w:cs="Times New Roman"/>
          <w:snapToGrid/>
          <w:color w:val="000000"/>
          <w:kern w:val="0"/>
          <w:sz w:val="24"/>
          <w:szCs w:val="24"/>
          <w:lang w:val="en-US" w:eastAsia="zh-CN" w:bidi="ar"/>
        </w:rPr>
        <w:t>0）《河南省人民政府关于划定调整取消部分集中式饮用水水源保护区的通知》（豫政文〔</w:t>
      </w:r>
      <w:r>
        <w:rPr>
          <w:rFonts w:hint="default" w:ascii="Times New Roman" w:hAnsi="Times New Roman" w:eastAsia="宋体" w:cs="Times New Roman"/>
          <w:snapToGrid/>
          <w:color w:val="000000"/>
          <w:kern w:val="0"/>
          <w:sz w:val="24"/>
          <w:szCs w:val="24"/>
          <w:lang w:val="en-US" w:eastAsia="zh-CN" w:bidi="ar"/>
        </w:rPr>
        <w:t>2019</w:t>
      </w:r>
      <w:r>
        <w:rPr>
          <w:rFonts w:hint="eastAsia" w:ascii="Times New Roman" w:hAnsi="Times New Roman" w:eastAsia="宋体" w:cs="Times New Roman"/>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162</w:t>
      </w:r>
      <w:r>
        <w:rPr>
          <w:rFonts w:hint="eastAsia" w:ascii="Times New Roman" w:hAnsi="Times New Roman" w:eastAsia="宋体" w:cs="Times New Roman"/>
          <w:snapToGrid/>
          <w:color w:val="000000"/>
          <w:kern w:val="0"/>
          <w:sz w:val="24"/>
          <w:szCs w:val="24"/>
          <w:lang w:val="en-US" w:eastAsia="zh-CN" w:bidi="ar"/>
        </w:rPr>
        <w:t>号）；</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eastAsia="zh-CN" w:bidi="ar"/>
        </w:rPr>
        <w:t>1</w:t>
      </w:r>
      <w:r>
        <w:rPr>
          <w:rFonts w:hint="eastAsia" w:ascii="Times New Roman" w:hAnsi="Times New Roman" w:eastAsia="宋体" w:cs="Times New Roman"/>
          <w:snapToGrid/>
          <w:color w:val="000000"/>
          <w:kern w:val="0"/>
          <w:sz w:val="24"/>
          <w:szCs w:val="24"/>
          <w:lang w:val="en-US" w:eastAsia="zh-CN" w:bidi="ar"/>
        </w:rPr>
        <w:t>1</w:t>
      </w:r>
      <w:r>
        <w:rPr>
          <w:rFonts w:ascii="Times New Roman" w:hAnsi="Times New Roman" w:eastAsia="宋体" w:cs="Times New Roman"/>
          <w:snapToGrid/>
          <w:color w:val="000000"/>
          <w:kern w:val="0"/>
          <w:sz w:val="24"/>
          <w:szCs w:val="24"/>
          <w:lang w:eastAsia="zh-CN" w:bidi="ar"/>
        </w:rPr>
        <w:t>）《平顶山市环境保护局关于平顶山市深化建设项目环境影响评价审批制度改革实施细则的通知》（平环〔2016〕38号）；</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eastAsia="zh-CN" w:bidi="ar"/>
        </w:rPr>
        <w:t>1</w:t>
      </w:r>
      <w:r>
        <w:rPr>
          <w:rFonts w:hint="eastAsia" w:ascii="Times New Roman" w:hAnsi="Times New Roman" w:eastAsia="宋体" w:cs="Times New Roman"/>
          <w:snapToGrid/>
          <w:color w:val="000000"/>
          <w:kern w:val="0"/>
          <w:sz w:val="24"/>
          <w:szCs w:val="24"/>
          <w:lang w:val="en-US" w:eastAsia="zh-CN" w:bidi="ar"/>
        </w:rPr>
        <w:t>2</w:t>
      </w:r>
      <w:r>
        <w:rPr>
          <w:rFonts w:ascii="Times New Roman" w:hAnsi="Times New Roman" w:eastAsia="宋体" w:cs="Times New Roman"/>
          <w:snapToGrid/>
          <w:color w:val="000000"/>
          <w:kern w:val="0"/>
          <w:sz w:val="24"/>
          <w:szCs w:val="24"/>
          <w:lang w:eastAsia="zh-CN" w:bidi="ar"/>
        </w:rPr>
        <w:t>）《平顶山市环境保护局关于调整建设项目环境影响评价审批权限的通知》，2019年6月4日实施；</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eastAsia="zh-CN" w:bidi="ar"/>
        </w:rPr>
        <w:t>1</w:t>
      </w:r>
      <w:r>
        <w:rPr>
          <w:rFonts w:hint="eastAsia" w:ascii="Times New Roman" w:hAnsi="Times New Roman" w:eastAsia="宋体" w:cs="Times New Roman"/>
          <w:snapToGrid/>
          <w:color w:val="000000"/>
          <w:kern w:val="0"/>
          <w:sz w:val="24"/>
          <w:szCs w:val="24"/>
          <w:lang w:val="en-US" w:eastAsia="zh-CN" w:bidi="ar"/>
        </w:rPr>
        <w:t>3</w:t>
      </w:r>
      <w:r>
        <w:rPr>
          <w:rFonts w:ascii="Times New Roman" w:hAnsi="Times New Roman" w:eastAsia="宋体" w:cs="Times New Roman"/>
          <w:snapToGrid/>
          <w:color w:val="000000"/>
          <w:kern w:val="0"/>
          <w:sz w:val="24"/>
          <w:szCs w:val="24"/>
          <w:lang w:eastAsia="zh-CN" w:bidi="ar"/>
        </w:rPr>
        <w:t>）《河南省重污染天气重点行业应急减排措施制定技术指南》（2021年修订版）；</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u w:val="none"/>
          <w:lang w:val="en-US" w:eastAsia="zh-CN" w:bidi="ar"/>
        </w:rPr>
        <w:t>（14）</w:t>
      </w:r>
      <w:r>
        <w:rPr>
          <w:rFonts w:ascii="Times New Roman" w:hAnsi="Times New Roman" w:eastAsia="宋体" w:cs="Times New Roman"/>
          <w:snapToGrid/>
          <w:color w:val="000000"/>
          <w:kern w:val="0"/>
          <w:sz w:val="24"/>
          <w:szCs w:val="24"/>
          <w:lang w:eastAsia="zh-CN" w:bidi="ar"/>
        </w:rPr>
        <w:t>《平顶山市人民政府关于实施</w:t>
      </w:r>
      <w:r>
        <w:rPr>
          <w:rFonts w:hint="eastAsia" w:ascii="Times New Roman" w:hAnsi="Times New Roman" w:eastAsia="宋体" w:cs="Times New Roman"/>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三线一单</w:t>
      </w:r>
      <w:r>
        <w:rPr>
          <w:rFonts w:hint="eastAsia" w:ascii="Times New Roman" w:hAnsi="Times New Roman" w:eastAsia="宋体" w:cs="Times New Roman"/>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生态环境分区管控的意见》</w:t>
      </w:r>
      <w:r>
        <w:rPr>
          <w:rFonts w:hint="eastAsia" w:ascii="Times New Roman" w:hAnsi="Times New Roman" w:eastAsia="宋体" w:cs="Times New Roman"/>
          <w:snapToGrid/>
          <w:color w:val="000000"/>
          <w:kern w:val="0"/>
          <w:sz w:val="24"/>
          <w:szCs w:val="24"/>
          <w:lang w:eastAsia="zh-CN" w:bidi="ar"/>
        </w:rPr>
        <w:t>（平政〔2021〕10号）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0"/>
          <w:sz w:val="24"/>
          <w:szCs w:val="24"/>
          <w:lang w:val="en-US" w:eastAsia="zh-CN" w:bidi="ar"/>
        </w:rPr>
      </w:pPr>
      <w:r>
        <w:rPr>
          <w:rFonts w:hint="eastAsia"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15</w:t>
      </w:r>
      <w:r>
        <w:rPr>
          <w:rFonts w:hint="eastAsia"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《河南省屠宰建设项目环境影响评价文件审查审批原则》（2016年6月27日）。</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u w:val="none"/>
          <w:lang w:eastAsia="zh-CN" w:bidi="ar"/>
        </w:rPr>
      </w:pPr>
      <w:r>
        <w:rPr>
          <w:rFonts w:ascii="Times New Roman" w:hAnsi="Times New Roman" w:eastAsia="宋体" w:cs="Times New Roman"/>
          <w:snapToGrid/>
          <w:color w:val="000000"/>
          <w:kern w:val="0"/>
          <w:sz w:val="24"/>
          <w:szCs w:val="24"/>
          <w:u w:val="none"/>
          <w:lang w:eastAsia="zh-CN" w:bidi="ar"/>
        </w:rPr>
        <w:t>（</w:t>
      </w:r>
      <w:r>
        <w:rPr>
          <w:rFonts w:hint="eastAsia" w:ascii="Times New Roman" w:hAnsi="Times New Roman" w:eastAsia="宋体" w:cs="Times New Roman"/>
          <w:snapToGrid/>
          <w:color w:val="000000"/>
          <w:kern w:val="0"/>
          <w:sz w:val="24"/>
          <w:szCs w:val="24"/>
          <w:u w:val="none"/>
          <w:lang w:val="en-US" w:eastAsia="zh-CN" w:bidi="ar"/>
        </w:rPr>
        <w:t>16</w:t>
      </w:r>
      <w:r>
        <w:rPr>
          <w:rFonts w:ascii="Times New Roman" w:hAnsi="Times New Roman" w:eastAsia="宋体" w:cs="Times New Roman"/>
          <w:snapToGrid/>
          <w:color w:val="000000"/>
          <w:kern w:val="0"/>
          <w:sz w:val="24"/>
          <w:szCs w:val="24"/>
          <w:u w:val="none"/>
          <w:lang w:eastAsia="zh-CN" w:bidi="ar"/>
        </w:rPr>
        <w:t>）</w:t>
      </w:r>
      <w:r>
        <w:rPr>
          <w:rFonts w:hint="eastAsia" w:ascii="Times New Roman" w:hAnsi="Times New Roman" w:eastAsia="宋体" w:cs="Times New Roman"/>
          <w:snapToGrid/>
          <w:color w:val="000000"/>
          <w:kern w:val="0"/>
          <w:sz w:val="24"/>
          <w:szCs w:val="24"/>
          <w:u w:val="none"/>
          <w:lang w:eastAsia="zh-CN" w:bidi="ar"/>
        </w:rPr>
        <w:t>《河南省</w:t>
      </w:r>
      <w:r>
        <w:rPr>
          <w:rFonts w:hint="eastAsia" w:ascii="Times New Roman" w:hAnsi="Times New Roman" w:eastAsia="宋体" w:cs="Times New Roman"/>
          <w:snapToGrid/>
          <w:color w:val="000000"/>
          <w:kern w:val="0"/>
          <w:sz w:val="24"/>
          <w:szCs w:val="24"/>
          <w:u w:val="none"/>
          <w:lang w:val="en-US" w:eastAsia="zh-CN" w:bidi="ar"/>
        </w:rPr>
        <w:t>2023年蓝天保卫战实施方案</w:t>
      </w:r>
      <w:r>
        <w:rPr>
          <w:rFonts w:hint="eastAsia" w:ascii="Times New Roman" w:hAnsi="Times New Roman" w:eastAsia="宋体" w:cs="Times New Roman"/>
          <w:snapToGrid/>
          <w:color w:val="000000"/>
          <w:kern w:val="0"/>
          <w:sz w:val="24"/>
          <w:szCs w:val="24"/>
          <w:u w:val="none"/>
          <w:lang w:eastAsia="zh-CN" w:bidi="ar"/>
        </w:rPr>
        <w:t>》（豫环委办</w:t>
      </w:r>
      <w:r>
        <w:rPr>
          <w:rFonts w:hint="eastAsia" w:ascii="Times New Roman" w:hAnsi="Times New Roman" w:eastAsia="宋体" w:cs="Times New Roman"/>
          <w:snapToGrid/>
          <w:color w:val="000000"/>
          <w:kern w:val="0"/>
          <w:sz w:val="24"/>
          <w:szCs w:val="24"/>
          <w:u w:val="none"/>
          <w:lang w:val="en-US" w:eastAsia="zh-CN" w:bidi="ar"/>
        </w:rPr>
        <w:t>[2023]4号</w:t>
      </w:r>
      <w:r>
        <w:rPr>
          <w:rFonts w:hint="eastAsia" w:ascii="Times New Roman" w:hAnsi="Times New Roman" w:eastAsia="宋体" w:cs="Times New Roman"/>
          <w:snapToGrid/>
          <w:color w:val="000000"/>
          <w:kern w:val="0"/>
          <w:sz w:val="24"/>
          <w:szCs w:val="24"/>
          <w:u w:val="none"/>
          <w:lang w:eastAsia="zh-CN" w:bidi="ar"/>
        </w:rPr>
        <w: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2"/>
          <w:sz w:val="24"/>
          <w:szCs w:val="24"/>
          <w:u w:val="none"/>
          <w:lang w:eastAsia="zh-CN"/>
        </w:rPr>
      </w:pPr>
      <w:r>
        <w:rPr>
          <w:rFonts w:hint="eastAsia" w:ascii="Times New Roman" w:hAnsi="Times New Roman" w:eastAsia="宋体" w:cs="Times New Roman"/>
          <w:snapToGrid/>
          <w:color w:val="000000"/>
          <w:kern w:val="2"/>
          <w:sz w:val="24"/>
          <w:szCs w:val="24"/>
          <w:u w:val="none"/>
          <w:lang w:eastAsia="zh-CN"/>
        </w:rPr>
        <w:t>（</w:t>
      </w:r>
      <w:r>
        <w:rPr>
          <w:rFonts w:hint="eastAsia" w:ascii="Times New Roman" w:hAnsi="Times New Roman" w:eastAsia="宋体" w:cs="Times New Roman"/>
          <w:snapToGrid/>
          <w:color w:val="000000"/>
          <w:kern w:val="2"/>
          <w:sz w:val="24"/>
          <w:szCs w:val="24"/>
          <w:u w:val="none"/>
          <w:lang w:val="en-US" w:eastAsia="zh-CN"/>
        </w:rPr>
        <w:t>17</w:t>
      </w:r>
      <w:r>
        <w:rPr>
          <w:rFonts w:hint="eastAsia" w:ascii="Times New Roman" w:hAnsi="Times New Roman" w:eastAsia="宋体" w:cs="Times New Roman"/>
          <w:snapToGrid/>
          <w:color w:val="000000"/>
          <w:kern w:val="2"/>
          <w:sz w:val="24"/>
          <w:szCs w:val="24"/>
          <w:u w:val="none"/>
          <w:lang w:eastAsia="zh-CN"/>
        </w:rPr>
        <w:t>）</w:t>
      </w:r>
      <w:r>
        <w:rPr>
          <w:rFonts w:hint="eastAsia" w:ascii="Times New Roman" w:hAnsi="Times New Roman" w:eastAsia="宋体" w:cs="Times New Roman"/>
          <w:snapToGrid/>
          <w:color w:val="000000"/>
          <w:kern w:val="0"/>
          <w:sz w:val="24"/>
          <w:szCs w:val="24"/>
          <w:u w:val="none"/>
          <w:lang w:eastAsia="zh-CN" w:bidi="ar"/>
        </w:rPr>
        <w:t>《河南省</w:t>
      </w:r>
      <w:r>
        <w:rPr>
          <w:rFonts w:hint="eastAsia" w:ascii="Times New Roman" w:hAnsi="Times New Roman" w:eastAsia="宋体" w:cs="Times New Roman"/>
          <w:snapToGrid/>
          <w:color w:val="000000"/>
          <w:kern w:val="0"/>
          <w:sz w:val="24"/>
          <w:szCs w:val="24"/>
          <w:u w:val="none"/>
          <w:lang w:val="en-US" w:eastAsia="zh-CN" w:bidi="ar"/>
        </w:rPr>
        <w:t>2023年碧水保卫战实施方案</w:t>
      </w:r>
      <w:r>
        <w:rPr>
          <w:rFonts w:hint="eastAsia" w:ascii="Times New Roman" w:hAnsi="Times New Roman" w:eastAsia="宋体" w:cs="Times New Roman"/>
          <w:snapToGrid/>
          <w:color w:val="000000"/>
          <w:kern w:val="0"/>
          <w:sz w:val="24"/>
          <w:szCs w:val="24"/>
          <w:u w:val="none"/>
          <w:lang w:eastAsia="zh-CN" w:bidi="ar"/>
        </w:rPr>
        <w:t>》（豫环委办</w:t>
      </w:r>
      <w:r>
        <w:rPr>
          <w:rFonts w:hint="eastAsia" w:ascii="Times New Roman" w:hAnsi="Times New Roman" w:eastAsia="宋体" w:cs="Times New Roman"/>
          <w:snapToGrid/>
          <w:color w:val="000000"/>
          <w:kern w:val="0"/>
          <w:sz w:val="24"/>
          <w:szCs w:val="24"/>
          <w:u w:val="none"/>
          <w:lang w:val="en-US" w:eastAsia="zh-CN" w:bidi="ar"/>
        </w:rPr>
        <w:t>[2023]5号</w:t>
      </w:r>
      <w:r>
        <w:rPr>
          <w:rFonts w:hint="eastAsia" w:ascii="Times New Roman" w:hAnsi="Times New Roman" w:eastAsia="宋体" w:cs="Times New Roman"/>
          <w:snapToGrid/>
          <w:color w:val="000000"/>
          <w:kern w:val="0"/>
          <w:sz w:val="24"/>
          <w:szCs w:val="24"/>
          <w:u w:val="none"/>
          <w:lang w:eastAsia="zh-CN" w:bidi="ar"/>
        </w:rPr>
        <w: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2"/>
          <w:sz w:val="24"/>
          <w:szCs w:val="24"/>
          <w:u w:val="none"/>
          <w:lang w:eastAsia="zh-CN"/>
        </w:rPr>
      </w:pPr>
      <w:r>
        <w:rPr>
          <w:rFonts w:hint="eastAsia" w:ascii="Times New Roman" w:hAnsi="Times New Roman" w:eastAsia="宋体" w:cs="Times New Roman"/>
          <w:snapToGrid/>
          <w:color w:val="000000"/>
          <w:kern w:val="2"/>
          <w:sz w:val="24"/>
          <w:szCs w:val="24"/>
          <w:u w:val="none"/>
          <w:lang w:eastAsia="zh-CN"/>
        </w:rPr>
        <w:t>（</w:t>
      </w:r>
      <w:r>
        <w:rPr>
          <w:rFonts w:hint="eastAsia" w:ascii="Times New Roman" w:hAnsi="Times New Roman" w:eastAsia="宋体" w:cs="Times New Roman"/>
          <w:snapToGrid/>
          <w:color w:val="000000"/>
          <w:kern w:val="2"/>
          <w:sz w:val="24"/>
          <w:szCs w:val="24"/>
          <w:u w:val="none"/>
          <w:lang w:val="en-US" w:eastAsia="zh-CN"/>
        </w:rPr>
        <w:t>18</w:t>
      </w:r>
      <w:r>
        <w:rPr>
          <w:rFonts w:hint="eastAsia" w:ascii="Times New Roman" w:hAnsi="Times New Roman" w:eastAsia="宋体" w:cs="Times New Roman"/>
          <w:snapToGrid/>
          <w:color w:val="000000"/>
          <w:kern w:val="2"/>
          <w:sz w:val="24"/>
          <w:szCs w:val="24"/>
          <w:u w:val="none"/>
          <w:lang w:eastAsia="zh-CN"/>
        </w:rPr>
        <w:t>）</w:t>
      </w:r>
      <w:r>
        <w:rPr>
          <w:rFonts w:hint="eastAsia" w:ascii="Times New Roman" w:hAnsi="Times New Roman" w:eastAsia="宋体" w:cs="Times New Roman"/>
          <w:snapToGrid/>
          <w:color w:val="000000"/>
          <w:kern w:val="0"/>
          <w:sz w:val="24"/>
          <w:szCs w:val="24"/>
          <w:u w:val="none"/>
          <w:lang w:eastAsia="zh-CN" w:bidi="ar"/>
        </w:rPr>
        <w:t>《河南省</w:t>
      </w:r>
      <w:r>
        <w:rPr>
          <w:rFonts w:hint="eastAsia" w:ascii="Times New Roman" w:hAnsi="Times New Roman" w:eastAsia="宋体" w:cs="Times New Roman"/>
          <w:snapToGrid/>
          <w:color w:val="000000"/>
          <w:kern w:val="0"/>
          <w:sz w:val="24"/>
          <w:szCs w:val="24"/>
          <w:u w:val="none"/>
          <w:lang w:val="en-US" w:eastAsia="zh-CN" w:bidi="ar"/>
        </w:rPr>
        <w:t>2023年净土保卫战实施方案</w:t>
      </w:r>
      <w:r>
        <w:rPr>
          <w:rFonts w:hint="eastAsia" w:ascii="Times New Roman" w:hAnsi="Times New Roman" w:eastAsia="宋体" w:cs="Times New Roman"/>
          <w:snapToGrid/>
          <w:color w:val="000000"/>
          <w:kern w:val="0"/>
          <w:sz w:val="24"/>
          <w:szCs w:val="24"/>
          <w:u w:val="none"/>
          <w:lang w:eastAsia="zh-CN" w:bidi="ar"/>
        </w:rPr>
        <w:t>》（豫环委办</w:t>
      </w:r>
      <w:r>
        <w:rPr>
          <w:rFonts w:hint="eastAsia" w:ascii="Times New Roman" w:hAnsi="Times New Roman" w:eastAsia="宋体" w:cs="Times New Roman"/>
          <w:snapToGrid/>
          <w:color w:val="000000"/>
          <w:kern w:val="0"/>
          <w:sz w:val="24"/>
          <w:szCs w:val="24"/>
          <w:u w:val="none"/>
          <w:lang w:val="en-US" w:eastAsia="zh-CN" w:bidi="ar"/>
        </w:rPr>
        <w:t>[2023]6号</w:t>
      </w:r>
      <w:r>
        <w:rPr>
          <w:rFonts w:hint="eastAsia" w:ascii="Times New Roman" w:hAnsi="Times New Roman" w:eastAsia="宋体" w:cs="Times New Roman"/>
          <w:snapToGrid/>
          <w:color w:val="000000"/>
          <w:kern w:val="0"/>
          <w:sz w:val="24"/>
          <w:szCs w:val="24"/>
          <w:u w:val="none"/>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u w:val="none"/>
          <w:lang w:eastAsia="zh-CN"/>
        </w:rPr>
      </w:pPr>
      <w:r>
        <w:rPr>
          <w:rFonts w:hint="eastAsia" w:ascii="Times New Roman" w:hAnsi="Times New Roman" w:eastAsia="宋体" w:cs="Times New Roman"/>
          <w:snapToGrid/>
          <w:color w:val="000000"/>
          <w:kern w:val="2"/>
          <w:sz w:val="24"/>
          <w:szCs w:val="24"/>
          <w:u w:val="none"/>
          <w:lang w:eastAsia="zh-CN"/>
        </w:rPr>
        <w:t>（</w:t>
      </w:r>
      <w:r>
        <w:rPr>
          <w:rFonts w:hint="eastAsia" w:ascii="Times New Roman" w:hAnsi="Times New Roman" w:eastAsia="宋体" w:cs="Times New Roman"/>
          <w:snapToGrid/>
          <w:color w:val="000000"/>
          <w:kern w:val="2"/>
          <w:sz w:val="24"/>
          <w:szCs w:val="24"/>
          <w:u w:val="none"/>
          <w:lang w:val="en-US" w:eastAsia="zh-CN"/>
        </w:rPr>
        <w:t>19</w:t>
      </w:r>
      <w:r>
        <w:rPr>
          <w:rFonts w:hint="eastAsia" w:ascii="Times New Roman" w:hAnsi="Times New Roman" w:eastAsia="宋体" w:cs="Times New Roman"/>
          <w:snapToGrid/>
          <w:color w:val="000000"/>
          <w:kern w:val="2"/>
          <w:sz w:val="24"/>
          <w:szCs w:val="24"/>
          <w:u w:val="none"/>
          <w:lang w:eastAsia="zh-CN"/>
        </w:rPr>
        <w:t>）</w:t>
      </w:r>
      <w:r>
        <w:rPr>
          <w:rFonts w:ascii="Times New Roman" w:hAnsi="Times New Roman" w:eastAsia="宋体" w:cs="Times New Roman"/>
          <w:snapToGrid/>
          <w:color w:val="000000"/>
          <w:kern w:val="2"/>
          <w:sz w:val="24"/>
          <w:szCs w:val="24"/>
          <w:u w:val="none"/>
          <w:lang w:eastAsia="zh-CN"/>
        </w:rPr>
        <w:t>《平顶山市202</w:t>
      </w:r>
      <w:r>
        <w:rPr>
          <w:rFonts w:hint="eastAsia" w:ascii="Times New Roman" w:hAnsi="Times New Roman" w:eastAsia="宋体" w:cs="Times New Roman"/>
          <w:snapToGrid/>
          <w:color w:val="000000"/>
          <w:kern w:val="2"/>
          <w:sz w:val="24"/>
          <w:szCs w:val="24"/>
          <w:u w:val="none"/>
          <w:lang w:val="en-US" w:eastAsia="zh-CN"/>
        </w:rPr>
        <w:t>3</w:t>
      </w:r>
      <w:r>
        <w:rPr>
          <w:rFonts w:ascii="Times New Roman" w:hAnsi="Times New Roman" w:eastAsia="宋体" w:cs="Times New Roman"/>
          <w:snapToGrid/>
          <w:color w:val="000000"/>
          <w:kern w:val="2"/>
          <w:sz w:val="24"/>
          <w:szCs w:val="24"/>
          <w:u w:val="none"/>
          <w:lang w:eastAsia="zh-CN"/>
        </w:rPr>
        <w:t>年</w:t>
      </w:r>
      <w:r>
        <w:rPr>
          <w:rFonts w:hint="eastAsia" w:ascii="Times New Roman" w:hAnsi="Times New Roman" w:eastAsia="宋体" w:cs="Times New Roman"/>
          <w:snapToGrid/>
          <w:color w:val="000000"/>
          <w:kern w:val="2"/>
          <w:sz w:val="24"/>
          <w:szCs w:val="24"/>
          <w:u w:val="none"/>
          <w:lang w:val="en-US" w:eastAsia="zh-CN"/>
        </w:rPr>
        <w:t>蓝天保卫战实施方案</w:t>
      </w:r>
      <w:r>
        <w:rPr>
          <w:rFonts w:ascii="Times New Roman" w:hAnsi="Times New Roman" w:eastAsia="宋体" w:cs="Times New Roman"/>
          <w:snapToGrid/>
          <w:color w:val="000000"/>
          <w:kern w:val="2"/>
          <w:sz w:val="24"/>
          <w:szCs w:val="24"/>
          <w:u w:val="none"/>
          <w:lang w:eastAsia="zh-CN"/>
        </w:rPr>
        <w:t>》（平</w:t>
      </w:r>
      <w:r>
        <w:rPr>
          <w:rFonts w:hint="eastAsia" w:ascii="Times New Roman" w:hAnsi="Times New Roman" w:eastAsia="宋体" w:cs="Times New Roman"/>
          <w:snapToGrid/>
          <w:color w:val="000000"/>
          <w:kern w:val="2"/>
          <w:sz w:val="24"/>
          <w:szCs w:val="24"/>
          <w:u w:val="none"/>
          <w:lang w:eastAsia="zh-CN"/>
        </w:rPr>
        <w:t>环委办</w:t>
      </w:r>
      <w:r>
        <w:rPr>
          <w:rFonts w:ascii="Times New Roman" w:hAnsi="Times New Roman" w:eastAsia="宋体" w:cs="Times New Roman"/>
          <w:snapToGrid/>
          <w:color w:val="000000"/>
          <w:kern w:val="2"/>
          <w:sz w:val="24"/>
          <w:szCs w:val="24"/>
          <w:u w:val="none"/>
          <w:lang w:eastAsia="zh-CN"/>
        </w:rPr>
        <w:t>〔202</w:t>
      </w:r>
      <w:r>
        <w:rPr>
          <w:rFonts w:hint="eastAsia" w:ascii="Times New Roman" w:hAnsi="Times New Roman" w:eastAsia="宋体" w:cs="Times New Roman"/>
          <w:snapToGrid/>
          <w:color w:val="000000"/>
          <w:kern w:val="2"/>
          <w:sz w:val="24"/>
          <w:szCs w:val="24"/>
          <w:u w:val="none"/>
          <w:lang w:val="en-US" w:eastAsia="zh-CN"/>
        </w:rPr>
        <w:t>3</w:t>
      </w:r>
      <w:r>
        <w:rPr>
          <w:rFonts w:ascii="Times New Roman" w:hAnsi="Times New Roman" w:eastAsia="宋体" w:cs="Times New Roman"/>
          <w:snapToGrid/>
          <w:color w:val="000000"/>
          <w:kern w:val="2"/>
          <w:sz w:val="24"/>
          <w:szCs w:val="24"/>
          <w:u w:val="none"/>
          <w:lang w:eastAsia="zh-CN"/>
        </w:rPr>
        <w:t>〕</w:t>
      </w:r>
      <w:r>
        <w:rPr>
          <w:rFonts w:hint="eastAsia" w:ascii="Times New Roman" w:hAnsi="Times New Roman" w:eastAsia="宋体" w:cs="Times New Roman"/>
          <w:snapToGrid/>
          <w:color w:val="000000"/>
          <w:kern w:val="2"/>
          <w:sz w:val="24"/>
          <w:szCs w:val="24"/>
          <w:u w:val="none"/>
          <w:lang w:eastAsia="zh-CN"/>
        </w:rPr>
        <w:t>1</w:t>
      </w:r>
      <w:r>
        <w:rPr>
          <w:rFonts w:hint="eastAsia" w:ascii="Times New Roman" w:hAnsi="Times New Roman" w:eastAsia="宋体" w:cs="Times New Roman"/>
          <w:snapToGrid/>
          <w:color w:val="000000"/>
          <w:kern w:val="2"/>
          <w:sz w:val="24"/>
          <w:szCs w:val="24"/>
          <w:u w:val="none"/>
          <w:lang w:val="en-US" w:eastAsia="zh-CN"/>
        </w:rPr>
        <w:t>4</w:t>
      </w:r>
      <w:r>
        <w:rPr>
          <w:rFonts w:ascii="Times New Roman" w:hAnsi="Times New Roman" w:eastAsia="宋体" w:cs="Times New Roman"/>
          <w:snapToGrid/>
          <w:color w:val="000000"/>
          <w:kern w:val="2"/>
          <w:sz w:val="24"/>
          <w:szCs w:val="24"/>
          <w:u w:val="none"/>
          <w:lang w:eastAsia="zh-CN"/>
        </w:rPr>
        <w:t>号</w:t>
      </w:r>
      <w:r>
        <w:rPr>
          <w:rFonts w:hint="eastAsia" w:ascii="Times New Roman" w:hAnsi="Times New Roman" w:eastAsia="宋体" w:cs="Times New Roman"/>
          <w:snapToGrid/>
          <w:color w:val="000000"/>
          <w:kern w:val="2"/>
          <w:sz w:val="24"/>
          <w:szCs w:val="24"/>
          <w:u w:val="none"/>
          <w:lang w:eastAsia="zh-CN"/>
        </w:rPr>
        <w:t>）</w:t>
      </w:r>
      <w:r>
        <w:rPr>
          <w:rFonts w:ascii="Times New Roman" w:hAnsi="Times New Roman" w:eastAsia="宋体" w:cs="Times New Roman"/>
          <w:snapToGrid/>
          <w:color w:val="000000"/>
          <w:kern w:val="0"/>
          <w:sz w:val="24"/>
          <w:szCs w:val="24"/>
          <w:u w:val="none"/>
          <w:lang w:eastAsia="zh-CN" w:bidi="ar"/>
        </w:rPr>
        <w: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20</w:t>
      </w:r>
      <w:r>
        <w:rPr>
          <w:rFonts w:hint="eastAsia" w:ascii="Times New Roman" w:hAnsi="Times New Roman" w:eastAsia="宋体" w:cs="Times New Roman"/>
          <w:snapToGrid/>
          <w:color w:val="000000"/>
          <w:kern w:val="0"/>
          <w:sz w:val="24"/>
          <w:szCs w:val="24"/>
          <w:lang w:eastAsia="zh-CN" w:bidi="ar"/>
        </w:rPr>
        <w:t>）</w:t>
      </w:r>
      <w:r>
        <w:rPr>
          <w:rFonts w:ascii="Times New Roman" w:hAnsi="Times New Roman" w:eastAsia="宋体" w:cs="Times New Roman"/>
          <w:snapToGrid/>
          <w:color w:val="000000"/>
          <w:kern w:val="2"/>
          <w:sz w:val="24"/>
          <w:szCs w:val="24"/>
          <w:u w:val="none"/>
          <w:lang w:eastAsia="zh-CN"/>
        </w:rPr>
        <w:t>《平顶山市202</w:t>
      </w:r>
      <w:r>
        <w:rPr>
          <w:rFonts w:hint="eastAsia" w:ascii="Times New Roman" w:hAnsi="Times New Roman" w:eastAsia="宋体" w:cs="Times New Roman"/>
          <w:snapToGrid/>
          <w:color w:val="000000"/>
          <w:kern w:val="2"/>
          <w:sz w:val="24"/>
          <w:szCs w:val="24"/>
          <w:u w:val="none"/>
          <w:lang w:val="en-US" w:eastAsia="zh-CN"/>
        </w:rPr>
        <w:t>3</w:t>
      </w:r>
      <w:r>
        <w:rPr>
          <w:rFonts w:ascii="Times New Roman" w:hAnsi="Times New Roman" w:eastAsia="宋体" w:cs="Times New Roman"/>
          <w:snapToGrid/>
          <w:color w:val="000000"/>
          <w:kern w:val="2"/>
          <w:sz w:val="24"/>
          <w:szCs w:val="24"/>
          <w:u w:val="none"/>
          <w:lang w:eastAsia="zh-CN"/>
        </w:rPr>
        <w:t>年</w:t>
      </w:r>
      <w:r>
        <w:rPr>
          <w:rFonts w:hint="eastAsia" w:ascii="Times New Roman" w:hAnsi="Times New Roman" w:eastAsia="宋体" w:cs="Times New Roman"/>
          <w:snapToGrid/>
          <w:color w:val="000000"/>
          <w:kern w:val="2"/>
          <w:sz w:val="24"/>
          <w:szCs w:val="24"/>
          <w:u w:val="none"/>
          <w:lang w:val="en-US" w:eastAsia="zh-CN"/>
        </w:rPr>
        <w:t>碧水保卫战实施方案</w:t>
      </w:r>
      <w:r>
        <w:rPr>
          <w:rFonts w:ascii="Times New Roman" w:hAnsi="Times New Roman" w:eastAsia="宋体" w:cs="Times New Roman"/>
          <w:snapToGrid/>
          <w:color w:val="000000"/>
          <w:kern w:val="2"/>
          <w:sz w:val="24"/>
          <w:szCs w:val="24"/>
          <w:u w:val="none"/>
          <w:lang w:eastAsia="zh-CN"/>
        </w:rPr>
        <w:t>》（平</w:t>
      </w:r>
      <w:r>
        <w:rPr>
          <w:rFonts w:hint="eastAsia" w:ascii="Times New Roman" w:hAnsi="Times New Roman" w:eastAsia="宋体" w:cs="Times New Roman"/>
          <w:snapToGrid/>
          <w:color w:val="000000"/>
          <w:kern w:val="2"/>
          <w:sz w:val="24"/>
          <w:szCs w:val="24"/>
          <w:u w:val="none"/>
          <w:lang w:eastAsia="zh-CN"/>
        </w:rPr>
        <w:t>环委办</w:t>
      </w:r>
      <w:r>
        <w:rPr>
          <w:rFonts w:ascii="Times New Roman" w:hAnsi="Times New Roman" w:eastAsia="宋体" w:cs="Times New Roman"/>
          <w:snapToGrid/>
          <w:color w:val="000000"/>
          <w:kern w:val="2"/>
          <w:sz w:val="24"/>
          <w:szCs w:val="24"/>
          <w:u w:val="none"/>
          <w:lang w:eastAsia="zh-CN"/>
        </w:rPr>
        <w:t>〔202</w:t>
      </w:r>
      <w:r>
        <w:rPr>
          <w:rFonts w:hint="eastAsia" w:ascii="Times New Roman" w:hAnsi="Times New Roman" w:eastAsia="宋体" w:cs="Times New Roman"/>
          <w:snapToGrid/>
          <w:color w:val="000000"/>
          <w:kern w:val="2"/>
          <w:sz w:val="24"/>
          <w:szCs w:val="24"/>
          <w:u w:val="none"/>
          <w:lang w:val="en-US" w:eastAsia="zh-CN"/>
        </w:rPr>
        <w:t>3</w:t>
      </w:r>
      <w:r>
        <w:rPr>
          <w:rFonts w:ascii="Times New Roman" w:hAnsi="Times New Roman" w:eastAsia="宋体" w:cs="Times New Roman"/>
          <w:snapToGrid/>
          <w:color w:val="000000"/>
          <w:kern w:val="2"/>
          <w:sz w:val="24"/>
          <w:szCs w:val="24"/>
          <w:u w:val="none"/>
          <w:lang w:eastAsia="zh-CN"/>
        </w:rPr>
        <w:t>〕</w:t>
      </w:r>
      <w:r>
        <w:rPr>
          <w:rFonts w:hint="eastAsia" w:ascii="Times New Roman" w:hAnsi="Times New Roman" w:eastAsia="宋体" w:cs="Times New Roman"/>
          <w:snapToGrid/>
          <w:color w:val="000000"/>
          <w:kern w:val="2"/>
          <w:sz w:val="24"/>
          <w:szCs w:val="24"/>
          <w:u w:val="none"/>
          <w:lang w:eastAsia="zh-CN"/>
        </w:rPr>
        <w:t>1</w:t>
      </w:r>
      <w:r>
        <w:rPr>
          <w:rFonts w:hint="eastAsia" w:ascii="Times New Roman" w:hAnsi="Times New Roman" w:eastAsia="宋体" w:cs="Times New Roman"/>
          <w:snapToGrid/>
          <w:color w:val="000000"/>
          <w:kern w:val="2"/>
          <w:sz w:val="24"/>
          <w:szCs w:val="24"/>
          <w:u w:val="none"/>
          <w:lang w:val="en-US" w:eastAsia="zh-CN"/>
        </w:rPr>
        <w:t>5</w:t>
      </w:r>
      <w:r>
        <w:rPr>
          <w:rFonts w:ascii="Times New Roman" w:hAnsi="Times New Roman" w:eastAsia="宋体" w:cs="Times New Roman"/>
          <w:snapToGrid/>
          <w:color w:val="000000"/>
          <w:kern w:val="2"/>
          <w:sz w:val="24"/>
          <w:szCs w:val="24"/>
          <w:u w:val="none"/>
          <w:lang w:eastAsia="zh-CN"/>
        </w:rPr>
        <w:t>号</w:t>
      </w:r>
      <w:r>
        <w:rPr>
          <w:rFonts w:hint="eastAsia" w:ascii="Times New Roman" w:hAnsi="Times New Roman" w:eastAsia="宋体" w:cs="Times New Roman"/>
          <w:snapToGrid/>
          <w:color w:val="000000"/>
          <w:kern w:val="2"/>
          <w:sz w:val="24"/>
          <w:szCs w:val="24"/>
          <w:u w:val="none"/>
          <w:lang w:eastAsia="zh-CN"/>
        </w:rPr>
        <w:t>）</w:t>
      </w:r>
      <w:r>
        <w:rPr>
          <w:rFonts w:ascii="Times New Roman" w:hAnsi="Times New Roman" w:eastAsia="宋体" w:cs="Times New Roman"/>
          <w:snapToGrid/>
          <w:color w:val="000000"/>
          <w:kern w:val="0"/>
          <w:sz w:val="24"/>
          <w:szCs w:val="24"/>
          <w:u w:val="none"/>
          <w:lang w:eastAsia="zh-CN" w:bidi="ar"/>
        </w:rPr>
        <w: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21</w:t>
      </w:r>
      <w:r>
        <w:rPr>
          <w:rFonts w:hint="eastAsia" w:ascii="Times New Roman" w:hAnsi="Times New Roman" w:eastAsia="宋体" w:cs="Times New Roman"/>
          <w:snapToGrid/>
          <w:color w:val="000000"/>
          <w:kern w:val="0"/>
          <w:sz w:val="24"/>
          <w:szCs w:val="24"/>
          <w:lang w:eastAsia="zh-CN" w:bidi="ar"/>
        </w:rPr>
        <w:t>）</w:t>
      </w:r>
      <w:r>
        <w:rPr>
          <w:rFonts w:ascii="Times New Roman" w:hAnsi="Times New Roman" w:eastAsia="宋体" w:cs="Times New Roman"/>
          <w:snapToGrid/>
          <w:color w:val="000000"/>
          <w:kern w:val="2"/>
          <w:sz w:val="24"/>
          <w:szCs w:val="24"/>
          <w:u w:val="none"/>
          <w:lang w:eastAsia="zh-CN"/>
        </w:rPr>
        <w:t>《平顶山市202</w:t>
      </w:r>
      <w:r>
        <w:rPr>
          <w:rFonts w:hint="eastAsia" w:ascii="Times New Roman" w:hAnsi="Times New Roman" w:eastAsia="宋体" w:cs="Times New Roman"/>
          <w:snapToGrid/>
          <w:color w:val="000000"/>
          <w:kern w:val="2"/>
          <w:sz w:val="24"/>
          <w:szCs w:val="24"/>
          <w:u w:val="none"/>
          <w:lang w:val="en-US" w:eastAsia="zh-CN"/>
        </w:rPr>
        <w:t>3</w:t>
      </w:r>
      <w:r>
        <w:rPr>
          <w:rFonts w:ascii="Times New Roman" w:hAnsi="Times New Roman" w:eastAsia="宋体" w:cs="Times New Roman"/>
          <w:snapToGrid/>
          <w:color w:val="000000"/>
          <w:kern w:val="2"/>
          <w:sz w:val="24"/>
          <w:szCs w:val="24"/>
          <w:u w:val="none"/>
          <w:lang w:eastAsia="zh-CN"/>
        </w:rPr>
        <w:t>年</w:t>
      </w:r>
      <w:r>
        <w:rPr>
          <w:rFonts w:hint="eastAsia" w:ascii="Times New Roman" w:hAnsi="Times New Roman" w:eastAsia="宋体" w:cs="Times New Roman"/>
          <w:snapToGrid/>
          <w:color w:val="000000"/>
          <w:kern w:val="2"/>
          <w:sz w:val="24"/>
          <w:szCs w:val="24"/>
          <w:u w:val="none"/>
          <w:lang w:val="en-US" w:eastAsia="zh-CN"/>
        </w:rPr>
        <w:t>净土保卫战实施方案</w:t>
      </w:r>
      <w:r>
        <w:rPr>
          <w:rFonts w:ascii="Times New Roman" w:hAnsi="Times New Roman" w:eastAsia="宋体" w:cs="Times New Roman"/>
          <w:snapToGrid/>
          <w:color w:val="000000"/>
          <w:kern w:val="2"/>
          <w:sz w:val="24"/>
          <w:szCs w:val="24"/>
          <w:u w:val="none"/>
          <w:lang w:eastAsia="zh-CN"/>
        </w:rPr>
        <w:t>》（平</w:t>
      </w:r>
      <w:r>
        <w:rPr>
          <w:rFonts w:hint="eastAsia" w:ascii="Times New Roman" w:hAnsi="Times New Roman" w:eastAsia="宋体" w:cs="Times New Roman"/>
          <w:snapToGrid/>
          <w:color w:val="000000"/>
          <w:kern w:val="2"/>
          <w:sz w:val="24"/>
          <w:szCs w:val="24"/>
          <w:u w:val="none"/>
          <w:lang w:eastAsia="zh-CN"/>
        </w:rPr>
        <w:t>环委办</w:t>
      </w:r>
      <w:r>
        <w:rPr>
          <w:rFonts w:ascii="Times New Roman" w:hAnsi="Times New Roman" w:eastAsia="宋体" w:cs="Times New Roman"/>
          <w:snapToGrid/>
          <w:color w:val="000000"/>
          <w:kern w:val="2"/>
          <w:sz w:val="24"/>
          <w:szCs w:val="24"/>
          <w:u w:val="none"/>
          <w:lang w:eastAsia="zh-CN"/>
        </w:rPr>
        <w:t>〔202</w:t>
      </w:r>
      <w:r>
        <w:rPr>
          <w:rFonts w:hint="eastAsia" w:ascii="Times New Roman" w:hAnsi="Times New Roman" w:eastAsia="宋体" w:cs="Times New Roman"/>
          <w:snapToGrid/>
          <w:color w:val="000000"/>
          <w:kern w:val="2"/>
          <w:sz w:val="24"/>
          <w:szCs w:val="24"/>
          <w:u w:val="none"/>
          <w:lang w:val="en-US" w:eastAsia="zh-CN"/>
        </w:rPr>
        <w:t>3</w:t>
      </w:r>
      <w:r>
        <w:rPr>
          <w:rFonts w:ascii="Times New Roman" w:hAnsi="Times New Roman" w:eastAsia="宋体" w:cs="Times New Roman"/>
          <w:snapToGrid/>
          <w:color w:val="000000"/>
          <w:kern w:val="2"/>
          <w:sz w:val="24"/>
          <w:szCs w:val="24"/>
          <w:u w:val="none"/>
          <w:lang w:eastAsia="zh-CN"/>
        </w:rPr>
        <w:t>〕</w:t>
      </w:r>
      <w:r>
        <w:rPr>
          <w:rFonts w:hint="eastAsia" w:ascii="Times New Roman" w:hAnsi="Times New Roman" w:eastAsia="宋体" w:cs="Times New Roman"/>
          <w:snapToGrid/>
          <w:color w:val="000000"/>
          <w:kern w:val="2"/>
          <w:sz w:val="24"/>
          <w:szCs w:val="24"/>
          <w:u w:val="none"/>
          <w:lang w:eastAsia="zh-CN"/>
        </w:rPr>
        <w:t>1</w:t>
      </w:r>
      <w:r>
        <w:rPr>
          <w:rFonts w:hint="eastAsia" w:ascii="Times New Roman" w:hAnsi="Times New Roman" w:eastAsia="宋体" w:cs="Times New Roman"/>
          <w:snapToGrid/>
          <w:color w:val="000000"/>
          <w:kern w:val="2"/>
          <w:sz w:val="24"/>
          <w:szCs w:val="24"/>
          <w:u w:val="none"/>
          <w:lang w:val="en-US" w:eastAsia="zh-CN"/>
        </w:rPr>
        <w:t>6</w:t>
      </w:r>
      <w:r>
        <w:rPr>
          <w:rFonts w:ascii="Times New Roman" w:hAnsi="Times New Roman" w:eastAsia="宋体" w:cs="Times New Roman"/>
          <w:snapToGrid/>
          <w:color w:val="000000"/>
          <w:kern w:val="2"/>
          <w:sz w:val="24"/>
          <w:szCs w:val="24"/>
          <w:u w:val="none"/>
          <w:lang w:eastAsia="zh-CN"/>
        </w:rPr>
        <w:t>号</w:t>
      </w:r>
      <w:r>
        <w:rPr>
          <w:rFonts w:hint="eastAsia" w:ascii="Times New Roman" w:hAnsi="Times New Roman" w:eastAsia="宋体" w:cs="Times New Roman"/>
          <w:snapToGrid/>
          <w:color w:val="000000"/>
          <w:kern w:val="2"/>
          <w:sz w:val="24"/>
          <w:szCs w:val="24"/>
          <w:u w:val="none"/>
          <w:lang w:eastAsia="zh-CN"/>
        </w:rPr>
        <w:t>）</w:t>
      </w:r>
      <w:r>
        <w:rPr>
          <w:rFonts w:ascii="Times New Roman" w:hAnsi="Times New Roman" w:eastAsia="宋体" w:cs="Times New Roman"/>
          <w:snapToGrid/>
          <w:color w:val="000000"/>
          <w:kern w:val="0"/>
          <w:sz w:val="24"/>
          <w:szCs w:val="24"/>
          <w:u w:val="none"/>
          <w:lang w:eastAsia="zh-CN" w:bidi="ar"/>
        </w:rPr>
        <w:t>；</w:t>
      </w:r>
    </w:p>
    <w:p>
      <w:pPr>
        <w:keepNext/>
        <w:keepLines/>
        <w:widowControl w:val="0"/>
        <w:spacing w:line="360" w:lineRule="auto"/>
        <w:ind w:left="0" w:leftChars="0" w:firstLine="0" w:firstLineChars="0"/>
        <w:jc w:val="both"/>
        <w:outlineLvl w:val="9"/>
        <w:rPr>
          <w:rFonts w:ascii="Times New Roman" w:hAnsi="Times New Roman" w:eastAsia="宋体" w:cs="Times New Roman"/>
          <w:b/>
          <w:color w:val="000000"/>
          <w:kern w:val="2"/>
          <w:sz w:val="28"/>
          <w:szCs w:val="24"/>
          <w:lang w:val="en-US" w:eastAsia="zh-CN" w:bidi="ar-SA"/>
        </w:rPr>
      </w:pPr>
      <w:r>
        <w:rPr>
          <w:rFonts w:ascii="Times New Roman" w:hAnsi="Times New Roman" w:eastAsia="宋体" w:cs="Times New Roman"/>
          <w:b/>
          <w:color w:val="000000"/>
          <w:kern w:val="2"/>
          <w:sz w:val="28"/>
          <w:szCs w:val="24"/>
          <w:lang w:val="en-US" w:eastAsia="zh-CN" w:bidi="ar-SA"/>
        </w:rPr>
        <w:t>2.1.3 技术规范</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u w:val="single"/>
          <w:lang w:eastAsia="zh-CN"/>
        </w:rPr>
      </w:pPr>
      <w:r>
        <w:rPr>
          <w:rFonts w:ascii="Times New Roman" w:hAnsi="Times New Roman" w:eastAsia="宋体" w:cs="Times New Roman"/>
          <w:snapToGrid/>
          <w:color w:val="000000"/>
          <w:kern w:val="0"/>
          <w:sz w:val="24"/>
          <w:szCs w:val="24"/>
          <w:u w:val="none"/>
          <w:lang w:eastAsia="zh-CN" w:bidi="ar"/>
        </w:rPr>
        <w:t>（1）《</w:t>
      </w:r>
      <w:r>
        <w:rPr>
          <w:rFonts w:ascii="Times New Roman" w:hAnsi="Times New Roman" w:eastAsia="宋体" w:cs="Times New Roman"/>
          <w:snapToGrid/>
          <w:color w:val="000000"/>
          <w:kern w:val="0"/>
          <w:sz w:val="24"/>
          <w:szCs w:val="24"/>
          <w:u w:val="none"/>
          <w:lang w:eastAsia="zh-CN" w:bidi="ar"/>
        </w:rPr>
        <w:fldChar w:fldCharType="begin"/>
      </w:r>
      <w:r>
        <w:rPr>
          <w:rFonts w:ascii="Times New Roman" w:hAnsi="Times New Roman" w:eastAsia="宋体" w:cs="Times New Roman"/>
          <w:snapToGrid/>
          <w:color w:val="000000"/>
          <w:kern w:val="0"/>
          <w:sz w:val="24"/>
          <w:szCs w:val="24"/>
          <w:u w:val="none"/>
          <w:lang w:eastAsia="zh-CN" w:bidi="ar"/>
        </w:rPr>
        <w:instrText xml:space="preserve"> HYPERLINK "https://www.mee.gov.cn/ywgz/fgbz/bz/bzwb/other/pjjsdz/201612/W020161214348664955109.pdf" </w:instrText>
      </w:r>
      <w:r>
        <w:rPr>
          <w:rFonts w:ascii="Times New Roman" w:hAnsi="Times New Roman" w:eastAsia="宋体" w:cs="Times New Roman"/>
          <w:snapToGrid/>
          <w:color w:val="000000"/>
          <w:kern w:val="0"/>
          <w:sz w:val="24"/>
          <w:szCs w:val="24"/>
          <w:u w:val="none"/>
          <w:lang w:eastAsia="zh-CN" w:bidi="ar"/>
        </w:rPr>
        <w:fldChar w:fldCharType="separate"/>
      </w:r>
      <w:r>
        <w:rPr>
          <w:rFonts w:ascii="Times New Roman" w:hAnsi="Times New Roman" w:eastAsia="宋体" w:cs="Times New Roman"/>
          <w:snapToGrid/>
          <w:color w:val="000000"/>
          <w:kern w:val="0"/>
          <w:sz w:val="24"/>
          <w:szCs w:val="24"/>
          <w:u w:val="none"/>
          <w:lang w:eastAsia="zh-CN" w:bidi="ar"/>
        </w:rPr>
        <w:t>建设项目环境影响评价技术导则</w:t>
      </w:r>
      <w:r>
        <w:rPr>
          <w:rFonts w:ascii="Times New Roman" w:hAnsi="Times New Roman" w:eastAsia="宋体" w:cs="Times New Roman"/>
          <w:snapToGrid/>
          <w:color w:val="000000"/>
          <w:kern w:val="0"/>
          <w:sz w:val="24"/>
          <w:szCs w:val="24"/>
          <w:u w:val="none"/>
          <w:lang w:eastAsia="zh-CN" w:bidi="ar"/>
        </w:rPr>
        <w:fldChar w:fldCharType="end"/>
      </w:r>
      <w:r>
        <w:rPr>
          <w:rFonts w:ascii="Times New Roman" w:hAnsi="Times New Roman" w:eastAsia="宋体" w:cs="Times New Roman"/>
          <w:snapToGrid/>
          <w:color w:val="000000"/>
          <w:kern w:val="0"/>
          <w:sz w:val="24"/>
          <w:szCs w:val="24"/>
          <w:u w:val="none"/>
          <w:lang w:eastAsia="zh-CN" w:bidi="ar"/>
        </w:rPr>
        <w:t>—总纲》（HJ2.1-2016）；</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（2）《环境影响评价技术导则—大气环境》（HJ2.2-2018）；</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（3）《环境影响评价技术导则—地</w:t>
      </w:r>
      <w:r>
        <w:rPr>
          <w:rFonts w:hint="eastAsia" w:ascii="Times New Roman" w:hAnsi="Times New Roman" w:eastAsia="宋体" w:cs="Times New Roman"/>
          <w:snapToGrid/>
          <w:color w:val="000000"/>
          <w:kern w:val="0"/>
          <w:sz w:val="24"/>
          <w:szCs w:val="24"/>
          <w:lang w:eastAsia="zh-CN" w:bidi="ar"/>
        </w:rPr>
        <w:t>表</w:t>
      </w:r>
      <w:r>
        <w:rPr>
          <w:rFonts w:ascii="Times New Roman" w:hAnsi="Times New Roman" w:eastAsia="宋体" w:cs="Times New Roman"/>
          <w:snapToGrid/>
          <w:color w:val="000000"/>
          <w:kern w:val="0"/>
          <w:sz w:val="24"/>
          <w:szCs w:val="24"/>
          <w:lang w:eastAsia="zh-CN" w:bidi="ar"/>
        </w:rPr>
        <w:t>水环境》（HJ/T2.3-2018）；</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u w:val="single"/>
          <w:lang w:eastAsia="zh-CN"/>
        </w:rPr>
      </w:pPr>
      <w:r>
        <w:rPr>
          <w:rFonts w:ascii="Times New Roman" w:hAnsi="Times New Roman" w:eastAsia="宋体" w:cs="Times New Roman"/>
          <w:snapToGrid/>
          <w:color w:val="000000"/>
          <w:kern w:val="0"/>
          <w:sz w:val="24"/>
          <w:szCs w:val="24"/>
          <w:u w:val="none"/>
          <w:lang w:eastAsia="zh-CN" w:bidi="ar"/>
        </w:rPr>
        <w:t>（4）《环境影响评价技术导则—声环境》（HJ2.4-20</w:t>
      </w:r>
      <w:r>
        <w:rPr>
          <w:rFonts w:hint="eastAsia" w:ascii="Times New Roman" w:hAnsi="Times New Roman" w:eastAsia="宋体" w:cs="Times New Roman"/>
          <w:snapToGrid/>
          <w:color w:val="000000"/>
          <w:kern w:val="0"/>
          <w:sz w:val="24"/>
          <w:szCs w:val="24"/>
          <w:u w:val="none"/>
          <w:lang w:eastAsia="zh-CN" w:bidi="ar"/>
        </w:rPr>
        <w:t>21</w:t>
      </w:r>
      <w:r>
        <w:rPr>
          <w:rFonts w:ascii="Times New Roman" w:hAnsi="Times New Roman" w:eastAsia="宋体" w:cs="Times New Roman"/>
          <w:snapToGrid/>
          <w:color w:val="000000"/>
          <w:kern w:val="0"/>
          <w:sz w:val="24"/>
          <w:szCs w:val="24"/>
          <w:u w:val="none"/>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（5）《环境影响评价技术导则—地下水环境》（HJ610-2016）；</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（6）《建设项目环境风险评价技术导则》（HJ/T169-2018）；</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（7）《环境影响评价技术导则—土壤环境（试行）》（HJ964-2018）；</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ascii="Times New Roman" w:hAnsi="Times New Roman" w:eastAsia="宋体" w:cs="Times New Roman"/>
          <w:snapToGrid/>
          <w:color w:val="000000"/>
          <w:kern w:val="0"/>
          <w:sz w:val="24"/>
          <w:szCs w:val="24"/>
          <w:lang w:eastAsia="zh-CN" w:bidi="ar"/>
        </w:rPr>
        <w:t>（8）《环境影响评价技术导则—生态影响》（HJ19-20</w:t>
      </w:r>
      <w:r>
        <w:rPr>
          <w:rFonts w:hint="eastAsia" w:ascii="Times New Roman" w:hAnsi="Times New Roman" w:eastAsia="宋体" w:cs="Times New Roman"/>
          <w:snapToGrid/>
          <w:color w:val="000000"/>
          <w:kern w:val="0"/>
          <w:sz w:val="24"/>
          <w:szCs w:val="24"/>
          <w:lang w:val="en-US" w:eastAsia="zh-CN" w:bidi="ar"/>
        </w:rPr>
        <w:t>22</w:t>
      </w:r>
      <w:r>
        <w:rPr>
          <w:rFonts w:ascii="Times New Roman" w:hAnsi="Times New Roman" w:eastAsia="宋体" w:cs="Times New Roman"/>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ascii="Times New Roman" w:hAnsi="Times New Roman" w:eastAsia="宋体" w:cs="Times New Roman"/>
          <w:snapToGrid/>
          <w:color w:val="000000"/>
          <w:kern w:val="0"/>
          <w:sz w:val="24"/>
          <w:szCs w:val="24"/>
          <w:lang w:eastAsia="zh-CN" w:bidi="ar"/>
        </w:rPr>
        <w:t>（9）《建设项目危险废物环境影响评价指南》（2017年9月1日）。</w:t>
      </w:r>
    </w:p>
    <w:p>
      <w:pPr>
        <w:widowControl/>
        <w:spacing w:beforeAutospacing="0" w:afterAutospacing="0" w:line="360" w:lineRule="auto"/>
        <w:ind w:firstLine="480" w:firstLineChars="200"/>
        <w:jc w:val="both"/>
        <w:rPr>
          <w:rFonts w:ascii="Times New Roman" w:hAnsi="Times New Roman" w:eastAsia="宋体" w:cs="Times New Roman"/>
          <w:color w:val="000000"/>
          <w:kern w:val="0"/>
          <w:sz w:val="24"/>
          <w:szCs w:val="24"/>
          <w:lang w:val="en-US" w:eastAsia="zh-CN" w:bidi="ar-SA"/>
        </w:rPr>
      </w:pPr>
      <w:r>
        <w:rPr>
          <w:rFonts w:ascii="Times New Roman" w:hAnsi="Times New Roman" w:eastAsia="宋体" w:cs="Times New Roman"/>
          <w:color w:val="000000"/>
          <w:kern w:val="0"/>
          <w:sz w:val="24"/>
          <w:szCs w:val="24"/>
          <w:lang w:val="en-US" w:eastAsia="zh-CN" w:bidi="ar"/>
        </w:rPr>
        <w:t>（10）</w:t>
      </w:r>
      <w:r>
        <w:rPr>
          <w:rFonts w:ascii="Times New Roman" w:hAnsi="Times New Roman" w:eastAsia="宋体" w:cs="Times New Roman"/>
          <w:color w:val="000000"/>
          <w:kern w:val="0"/>
          <w:sz w:val="24"/>
          <w:szCs w:val="24"/>
          <w:lang w:val="en-US" w:eastAsia="zh-CN" w:bidi="ar-SA"/>
        </w:rPr>
        <w:t>《大气污染治理工程技术导则》（HJ2000-2010）；</w:t>
      </w:r>
    </w:p>
    <w:p>
      <w:pPr>
        <w:widowControl/>
        <w:spacing w:beforeAutospacing="0" w:afterAutospacing="0" w:line="360" w:lineRule="auto"/>
        <w:ind w:firstLine="480" w:firstLineChars="200"/>
        <w:jc w:val="both"/>
        <w:rPr>
          <w:rFonts w:ascii="Times New Roman" w:hAnsi="Times New Roman" w:eastAsia="宋体" w:cs="Times New Roman"/>
          <w:color w:val="000000"/>
          <w:kern w:val="0"/>
          <w:sz w:val="24"/>
          <w:szCs w:val="24"/>
          <w:lang w:val="en-US" w:eastAsia="zh-CN" w:bidi="ar-SA"/>
        </w:rPr>
      </w:pPr>
      <w:r>
        <w:rPr>
          <w:rFonts w:ascii="Times New Roman" w:hAnsi="Times New Roman" w:eastAsia="宋体" w:cs="Times New Roman"/>
          <w:color w:val="000000"/>
          <w:kern w:val="0"/>
          <w:sz w:val="24"/>
          <w:szCs w:val="24"/>
          <w:lang w:val="en-US" w:eastAsia="zh-CN" w:bidi="ar"/>
        </w:rPr>
        <w:t>（11）</w:t>
      </w:r>
      <w:r>
        <w:rPr>
          <w:rFonts w:ascii="Times New Roman" w:hAnsi="Times New Roman" w:eastAsia="宋体" w:cs="Times New Roman"/>
          <w:color w:val="000000"/>
          <w:kern w:val="0"/>
          <w:sz w:val="24"/>
          <w:szCs w:val="24"/>
          <w:lang w:val="en-US" w:eastAsia="zh-CN" w:bidi="ar-SA"/>
        </w:rPr>
        <w:t>《水污染治理工程技术导则》（HJ2015-2012）；</w:t>
      </w:r>
    </w:p>
    <w:p>
      <w:pPr>
        <w:widowControl/>
        <w:spacing w:beforeAutospacing="0" w:afterAutospacing="0" w:line="360" w:lineRule="auto"/>
        <w:ind w:firstLine="480" w:firstLineChars="200"/>
        <w:jc w:val="both"/>
        <w:rPr>
          <w:rFonts w:ascii="Times New Roman" w:hAnsi="Times New Roman" w:eastAsia="宋体" w:cs="Times New Roman"/>
          <w:color w:val="000000"/>
          <w:kern w:val="0"/>
          <w:sz w:val="24"/>
          <w:szCs w:val="24"/>
          <w:lang w:val="en-US" w:eastAsia="zh-CN" w:bidi="ar-SA"/>
        </w:rPr>
      </w:pPr>
      <w:r>
        <w:rPr>
          <w:rFonts w:ascii="Times New Roman" w:hAnsi="Times New Roman" w:eastAsia="宋体" w:cs="Times New Roman"/>
          <w:color w:val="000000"/>
          <w:kern w:val="0"/>
          <w:sz w:val="24"/>
          <w:szCs w:val="24"/>
          <w:lang w:val="en-US" w:eastAsia="zh-CN" w:bidi="ar"/>
        </w:rPr>
        <w:t>（12）</w:t>
      </w:r>
      <w:r>
        <w:rPr>
          <w:rFonts w:ascii="Times New Roman" w:hAnsi="Times New Roman" w:eastAsia="宋体" w:cs="Times New Roman"/>
          <w:color w:val="000000"/>
          <w:kern w:val="0"/>
          <w:sz w:val="24"/>
          <w:szCs w:val="24"/>
          <w:lang w:val="en-US" w:eastAsia="zh-CN" w:bidi="ar-SA"/>
        </w:rPr>
        <w:t>《固体废物处理处置工程技术导则》（HJ2035-2013）；</w:t>
      </w:r>
    </w:p>
    <w:p>
      <w:pPr>
        <w:widowControl w:val="0"/>
        <w:spacing w:line="360" w:lineRule="auto"/>
        <w:ind w:firstLine="480" w:firstLineChars="200"/>
        <w:jc w:val="left"/>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
        </w:rPr>
        <w:t>（1</w:t>
      </w:r>
      <w:r>
        <w:rPr>
          <w:rFonts w:hint="eastAsia" w:ascii="Times New Roman" w:hAnsi="Times New Roman" w:eastAsia="宋体" w:cs="Times New Roman"/>
          <w:color w:val="000000"/>
          <w:kern w:val="2"/>
          <w:sz w:val="24"/>
          <w:szCs w:val="24"/>
          <w:lang w:val="en-US" w:eastAsia="zh-CN" w:bidi="ar"/>
        </w:rPr>
        <w:t>3</w:t>
      </w:r>
      <w:r>
        <w:rPr>
          <w:rFonts w:ascii="Times New Roman" w:hAnsi="Times New Roman" w:eastAsia="宋体" w:cs="Times New Roman"/>
          <w:color w:val="000000"/>
          <w:kern w:val="2"/>
          <w:sz w:val="24"/>
          <w:szCs w:val="24"/>
          <w:lang w:val="en-US" w:eastAsia="zh-CN" w:bidi="ar"/>
        </w:rPr>
        <w:t>）</w:t>
      </w:r>
      <w:r>
        <w:rPr>
          <w:rFonts w:ascii="Times New Roman" w:hAnsi="Times New Roman" w:eastAsia="宋体" w:cs="Times New Roman"/>
          <w:color w:val="000000"/>
          <w:kern w:val="2"/>
          <w:sz w:val="24"/>
          <w:szCs w:val="24"/>
          <w:lang w:val="en-US" w:eastAsia="zh-CN" w:bidi="ar-SA"/>
        </w:rPr>
        <w:t>《危险化学品重大危险源辨识》（</w:t>
      </w:r>
      <w:r>
        <w:rPr>
          <w:rFonts w:hint="eastAsia" w:ascii="Times New Roman" w:hAnsi="Times New Roman" w:eastAsia="宋体" w:cs="Times New Roman"/>
          <w:kern w:val="2"/>
          <w:sz w:val="24"/>
          <w:szCs w:val="24"/>
          <w:lang w:val="en-US" w:eastAsia="zh-CN" w:bidi="ar-SA"/>
        </w:rPr>
        <w:t>GB18218-2018</w:t>
      </w:r>
      <w:r>
        <w:rPr>
          <w:rFonts w:ascii="Times New Roman" w:hAnsi="Times New Roman" w:eastAsia="宋体" w:cs="Times New Roman"/>
          <w:color w:val="000000"/>
          <w:kern w:val="2"/>
          <w:sz w:val="24"/>
          <w:szCs w:val="24"/>
          <w:lang w:val="en-US" w:eastAsia="zh-CN" w:bidi="ar-SA"/>
        </w:rPr>
        <w:t>）；</w:t>
      </w:r>
    </w:p>
    <w:p>
      <w:pPr>
        <w:widowControl w:val="0"/>
        <w:spacing w:after="0" w:line="360" w:lineRule="auto"/>
        <w:ind w:left="0" w:leftChars="0"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（14）《一般工业固体废物贮存和填埋污染控制标准》（GB18599-2020）；</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（15）《危险废物贮存污染控制标准》（</w:t>
      </w:r>
      <w:r>
        <w:rPr>
          <w:rFonts w:ascii="Times New Roman" w:hAnsi="Times New Roman" w:eastAsia="宋体" w:cs="Times New Roman"/>
          <w:snapToGrid/>
          <w:kern w:val="2"/>
          <w:sz w:val="24"/>
          <w:szCs w:val="24"/>
          <w:lang w:eastAsia="zh-CN"/>
        </w:rPr>
        <w:t>GB18597-20</w:t>
      </w:r>
      <w:r>
        <w:rPr>
          <w:rFonts w:hint="eastAsia" w:ascii="Times New Roman" w:hAnsi="Times New Roman" w:eastAsia="宋体" w:cs="Times New Roman"/>
          <w:snapToGrid/>
          <w:kern w:val="2"/>
          <w:sz w:val="24"/>
          <w:szCs w:val="24"/>
          <w:lang w:val="en-US" w:eastAsia="zh-CN"/>
        </w:rPr>
        <w:t>23</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（16）《排污单位环境管理台账及排污许可证执行报告技术规范 总则（试行）》（</w:t>
      </w:r>
      <w:r>
        <w:rPr>
          <w:rFonts w:ascii="Times New Roman" w:hAnsi="Times New Roman" w:eastAsia="宋体" w:cs="Times New Roman"/>
          <w:snapToGrid/>
          <w:kern w:val="2"/>
          <w:sz w:val="24"/>
          <w:szCs w:val="24"/>
          <w:lang w:eastAsia="zh-CN"/>
        </w:rPr>
        <w:t>HJ944-2018</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（17）《</w:t>
      </w:r>
      <w:r>
        <w:rPr>
          <w:rFonts w:hint="eastAsia" w:ascii="Times New Roman" w:hAnsi="Times New Roman" w:eastAsia="宋体" w:cs="Times New Roman"/>
          <w:snapToGrid/>
          <w:kern w:val="2"/>
          <w:sz w:val="24"/>
          <w:szCs w:val="24"/>
          <w:lang w:val="en-US" w:eastAsia="zh-CN"/>
        </w:rPr>
        <w:t>排污许可证申请与核发技术规范 农副食品加工工业</w:t>
      </w:r>
      <w:r>
        <w:rPr>
          <w:rFonts w:hint="default" w:ascii="Times New Roman" w:hAnsi="Times New Roman" w:eastAsia="宋体" w:cs="Times New Roman"/>
          <w:snapToGrid/>
          <w:kern w:val="2"/>
          <w:sz w:val="24"/>
          <w:szCs w:val="24"/>
          <w:lang w:val="en-US" w:eastAsia="zh-CN"/>
        </w:rPr>
        <w:t>-</w:t>
      </w:r>
      <w:r>
        <w:rPr>
          <w:rFonts w:hint="eastAsia" w:ascii="Times New Roman" w:hAnsi="Times New Roman" w:eastAsia="宋体" w:cs="Times New Roman"/>
          <w:snapToGrid/>
          <w:kern w:val="2"/>
          <w:sz w:val="24"/>
          <w:szCs w:val="24"/>
          <w:lang w:val="en-US" w:eastAsia="zh-CN"/>
        </w:rPr>
        <w:t>屠宰及肉类加工工业</w:t>
      </w:r>
      <w:r>
        <w:rPr>
          <w:rFonts w:hint="eastAsia" w:ascii="Times New Roman" w:hAnsi="Times New Roman" w:eastAsia="宋体" w:cs="Times New Roman"/>
          <w:snapToGrid/>
          <w:kern w:val="2"/>
          <w:sz w:val="24"/>
          <w:szCs w:val="24"/>
          <w:lang w:eastAsia="zh-CN"/>
        </w:rPr>
        <w:t>》（HJ</w:t>
      </w:r>
      <w:r>
        <w:rPr>
          <w:rFonts w:hint="eastAsia" w:ascii="Times New Roman" w:hAnsi="Times New Roman" w:eastAsia="宋体" w:cs="Times New Roman"/>
          <w:snapToGrid/>
          <w:kern w:val="2"/>
          <w:sz w:val="24"/>
          <w:szCs w:val="24"/>
          <w:lang w:val="en-US" w:eastAsia="zh-CN"/>
        </w:rPr>
        <w:t>8603</w:t>
      </w:r>
      <w:r>
        <w:rPr>
          <w:rFonts w:hint="eastAsia" w:ascii="Times New Roman" w:hAnsi="Times New Roman" w:eastAsia="宋体" w:cs="Times New Roman"/>
          <w:snapToGrid/>
          <w:kern w:val="2"/>
          <w:sz w:val="24"/>
          <w:szCs w:val="24"/>
          <w:lang w:eastAsia="zh-CN"/>
        </w:rPr>
        <w:t>-20</w:t>
      </w:r>
      <w:r>
        <w:rPr>
          <w:rFonts w:hint="eastAsia" w:ascii="Times New Roman" w:hAnsi="Times New Roman" w:eastAsia="宋体" w:cs="Times New Roman"/>
          <w:snapToGrid/>
          <w:kern w:val="2"/>
          <w:sz w:val="24"/>
          <w:szCs w:val="24"/>
          <w:lang w:val="en-US" w:eastAsia="zh-CN"/>
        </w:rPr>
        <w:t>18</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18</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《排污单位自行监测技术指南 农副食品加工业》（HJ986-2018）</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19</w:t>
      </w:r>
      <w:r>
        <w:rPr>
          <w:rFonts w:hint="eastAsia" w:ascii="Times New Roman" w:hAnsi="Times New Roman" w:eastAsia="宋体" w:cs="Times New Roman"/>
          <w:snapToGrid/>
          <w:kern w:val="2"/>
          <w:sz w:val="24"/>
          <w:szCs w:val="24"/>
          <w:lang w:eastAsia="zh-CN"/>
        </w:rPr>
        <w:t>）《屠宰与肉类加工废术治理工程技术规范》（HJ2004</w:t>
      </w:r>
      <w:r>
        <w:rPr>
          <w:rFonts w:hint="eastAsia" w:ascii="Times New Roman" w:hAnsi="Times New Roman" w:eastAsia="宋体" w:cs="Times New Roman"/>
          <w:snapToGrid/>
          <w:kern w:val="2"/>
          <w:sz w:val="24"/>
          <w:szCs w:val="24"/>
          <w:lang w:val="en-US" w:eastAsia="zh-CN"/>
        </w:rPr>
        <w:t>-</w:t>
      </w:r>
      <w:r>
        <w:rPr>
          <w:rFonts w:hint="eastAsia" w:ascii="Times New Roman" w:hAnsi="Times New Roman" w:eastAsia="宋体" w:cs="Times New Roman"/>
          <w:snapToGrid/>
          <w:kern w:val="2"/>
          <w:sz w:val="24"/>
          <w:szCs w:val="24"/>
          <w:lang w:eastAsia="zh-CN"/>
        </w:rPr>
        <w:t>2010）；</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20</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《污染源源强核算技术指南准则》（HJ884-2018）；</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（21）《食品安全国家标准肉和肉制品经营卫生规范》（ GB/T 20799-2016）；</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（22）《动物防疫条件审查办法》（2022年修订版）；</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（23）《食品生产通用卫生规范》（GB14881-2013）；</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（24）《屠宰及肉类加工业污染防治可行技术指南》（HJ 1285—2023）；</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（25）《畜禽屠宰加工卫生规范》（GB12694-2016）；</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（26）《危险废物识别标志设置技术规范》（HJ 1276—2022）；</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（27）《危险废物管理计划和管理台账制定技术导则》（HJ 1259-2022）。</w:t>
      </w:r>
    </w:p>
    <w:p>
      <w:pPr>
        <w:keepNext/>
        <w:keepLines/>
        <w:widowControl w:val="0"/>
        <w:spacing w:line="360" w:lineRule="auto"/>
        <w:ind w:left="0" w:leftChars="0" w:firstLine="0" w:firstLineChars="0"/>
        <w:jc w:val="both"/>
        <w:outlineLvl w:val="9"/>
        <w:rPr>
          <w:rFonts w:ascii="Times New Roman" w:hAnsi="Times New Roman" w:eastAsia="宋体" w:cs="Times New Roman"/>
          <w:b/>
          <w:kern w:val="2"/>
          <w:sz w:val="28"/>
          <w:szCs w:val="24"/>
          <w:lang w:val="en-US" w:eastAsia="zh-CN" w:bidi="ar-SA"/>
        </w:rPr>
      </w:pPr>
      <w:r>
        <w:rPr>
          <w:rFonts w:ascii="Times New Roman" w:hAnsi="Times New Roman" w:eastAsia="宋体" w:cs="Times New Roman"/>
          <w:b/>
          <w:kern w:val="2"/>
          <w:sz w:val="28"/>
          <w:szCs w:val="24"/>
          <w:lang w:val="en-US" w:eastAsia="zh-CN" w:bidi="ar-SA"/>
        </w:rPr>
        <w:t>2.1.4项目依据</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t>1、</w:t>
      </w:r>
      <w:r>
        <w:rPr>
          <w:rFonts w:hint="eastAsia" w:ascii="Times New Roman" w:hAnsi="Times New Roman" w:eastAsia="宋体" w:cs="Times New Roman"/>
          <w:snapToGrid/>
          <w:kern w:val="2"/>
          <w:sz w:val="24"/>
          <w:szCs w:val="24"/>
          <w:lang w:eastAsia="zh-CN"/>
        </w:rPr>
        <w:t>《建设项目</w:t>
      </w:r>
      <w:r>
        <w:rPr>
          <w:rFonts w:ascii="Times New Roman" w:hAnsi="Times New Roman" w:eastAsia="宋体" w:cs="Times New Roman"/>
          <w:snapToGrid/>
          <w:kern w:val="2"/>
          <w:sz w:val="24"/>
          <w:szCs w:val="24"/>
          <w:lang w:eastAsia="zh-CN"/>
        </w:rPr>
        <w:t>环境影响评价委托书</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2</w:t>
      </w:r>
      <w:r>
        <w:rPr>
          <w:rFonts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eastAsia="zh-CN"/>
        </w:rPr>
        <w:t>《建设项目可行性研究报告》及发改委批复文件；</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3</w:t>
      </w:r>
      <w:r>
        <w:rPr>
          <w:rFonts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eastAsia="zh-CN"/>
        </w:rPr>
        <w:t>《环境质量现状</w:t>
      </w:r>
      <w:r>
        <w:rPr>
          <w:rFonts w:ascii="Times New Roman" w:hAnsi="Times New Roman" w:eastAsia="宋体" w:cs="Times New Roman"/>
          <w:snapToGrid/>
          <w:kern w:val="2"/>
          <w:sz w:val="24"/>
          <w:szCs w:val="24"/>
          <w:lang w:eastAsia="zh-CN"/>
        </w:rPr>
        <w:t>监测报</w:t>
      </w:r>
      <w:r>
        <w:rPr>
          <w:rFonts w:hint="eastAsia" w:ascii="Times New Roman" w:hAnsi="Times New Roman" w:eastAsia="宋体" w:cs="Times New Roman"/>
          <w:snapToGrid/>
          <w:kern w:val="2"/>
          <w:sz w:val="24"/>
          <w:szCs w:val="24"/>
          <w:lang w:eastAsia="zh-CN"/>
        </w:rPr>
        <w:t>告》；</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4</w:t>
      </w:r>
      <w:r>
        <w:rPr>
          <w:rFonts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u w:val="none"/>
          <w:lang w:val="en-US" w:eastAsia="zh-CN"/>
        </w:rPr>
        <w:t>《规划证明》</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val="en-US" w:eastAsia="zh-CN"/>
        </w:rPr>
      </w:pPr>
      <w:r>
        <w:rPr>
          <w:rFonts w:hint="eastAsia" w:ascii="Times New Roman" w:hAnsi="Times New Roman" w:eastAsia="宋体" w:cs="Times New Roman"/>
          <w:snapToGrid/>
          <w:kern w:val="2"/>
          <w:sz w:val="24"/>
          <w:szCs w:val="24"/>
          <w:u w:val="none"/>
          <w:lang w:val="en-US" w:eastAsia="zh-CN"/>
        </w:rPr>
        <w:t>5、</w:t>
      </w:r>
      <w:r>
        <w:rPr>
          <w:rFonts w:hint="eastAsia" w:ascii="Times New Roman" w:hAnsi="Times New Roman" w:eastAsia="宋体" w:cs="Times New Roman"/>
          <w:snapToGrid/>
          <w:kern w:val="2"/>
          <w:sz w:val="24"/>
          <w:szCs w:val="24"/>
          <w:lang w:val="en-US" w:eastAsia="zh-CN"/>
        </w:rPr>
        <w:t>《土地使用证》；</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6、《病死动物无害化处理协议》</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u w:val="single"/>
          <w:lang w:eastAsia="zh-CN"/>
        </w:rPr>
      </w:pPr>
      <w:r>
        <w:rPr>
          <w:rFonts w:hint="eastAsia" w:ascii="Times New Roman" w:hAnsi="Times New Roman" w:eastAsia="宋体" w:cs="Times New Roman"/>
          <w:snapToGrid/>
          <w:kern w:val="2"/>
          <w:sz w:val="24"/>
          <w:szCs w:val="24"/>
          <w:lang w:val="en-US" w:eastAsia="zh-CN"/>
        </w:rPr>
        <w:t>7、</w:t>
      </w:r>
      <w:r>
        <w:rPr>
          <w:rFonts w:ascii="Times New Roman" w:hAnsi="Times New Roman" w:eastAsia="宋体" w:cs="Times New Roman"/>
          <w:snapToGrid/>
          <w:kern w:val="2"/>
          <w:sz w:val="24"/>
          <w:szCs w:val="24"/>
          <w:lang w:eastAsia="zh-CN"/>
        </w:rPr>
        <w:t>项目承办单位提供的其他技术资料</w:t>
      </w:r>
      <w:r>
        <w:rPr>
          <w:rFonts w:ascii="Times New Roman" w:hAnsi="Times New Roman" w:eastAsia="宋体" w:cs="Times New Roman"/>
          <w:snapToGrid/>
          <w:kern w:val="2"/>
          <w:sz w:val="24"/>
          <w:szCs w:val="24"/>
          <w:u w:val="none"/>
          <w:lang w:eastAsia="zh-CN"/>
        </w:rPr>
        <w:t>。</w:t>
      </w:r>
    </w:p>
    <w:p>
      <w:pPr>
        <w:pStyle w:val="4"/>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lang w:val="en-US" w:eastAsia="zh-CN"/>
        </w:rPr>
      </w:pPr>
      <w:bookmarkStart w:id="45" w:name="_Toc7698"/>
      <w:bookmarkStart w:id="46" w:name="_Toc19363"/>
      <w:bookmarkStart w:id="47" w:name="_Toc31636"/>
      <w:bookmarkStart w:id="48" w:name="_Toc21427"/>
      <w:bookmarkStart w:id="49" w:name="_Toc27199"/>
      <w:r>
        <w:rPr>
          <w:lang w:val="en-US" w:eastAsia="zh-CN"/>
        </w:rPr>
        <w:t>2.2评价目的与</w:t>
      </w:r>
      <w:r>
        <w:rPr>
          <w:rFonts w:hint="eastAsia"/>
          <w:lang w:val="en-US" w:eastAsia="zh-CN"/>
        </w:rPr>
        <w:t>评价</w:t>
      </w:r>
      <w:r>
        <w:rPr>
          <w:lang w:val="en-US" w:eastAsia="zh-CN"/>
        </w:rPr>
        <w:t>原则</w:t>
      </w:r>
      <w:bookmarkEnd w:id="45"/>
      <w:bookmarkEnd w:id="46"/>
      <w:bookmarkEnd w:id="47"/>
      <w:bookmarkEnd w:id="48"/>
      <w:bookmarkEnd w:id="49"/>
    </w:p>
    <w:p>
      <w:pPr>
        <w:keepNext/>
        <w:keepLines/>
        <w:widowControl w:val="0"/>
        <w:spacing w:line="360" w:lineRule="auto"/>
        <w:ind w:left="0" w:leftChars="0" w:firstLine="0" w:firstLineChars="0"/>
        <w:jc w:val="both"/>
        <w:outlineLvl w:val="9"/>
        <w:rPr>
          <w:rFonts w:ascii="Times New Roman" w:hAnsi="Times New Roman" w:eastAsia="宋体" w:cs="Times New Roman"/>
          <w:b/>
          <w:kern w:val="2"/>
          <w:sz w:val="28"/>
          <w:szCs w:val="24"/>
          <w:lang w:val="en-US" w:eastAsia="zh-CN" w:bidi="ar-SA"/>
        </w:rPr>
      </w:pPr>
      <w:r>
        <w:rPr>
          <w:rFonts w:ascii="Times New Roman" w:hAnsi="Times New Roman" w:eastAsia="宋体" w:cs="Times New Roman"/>
          <w:b/>
          <w:kern w:val="2"/>
          <w:sz w:val="28"/>
          <w:szCs w:val="24"/>
          <w:lang w:val="en-US" w:eastAsia="zh-CN" w:bidi="ar-SA"/>
        </w:rPr>
        <w:t>2.2.1评价目的</w:t>
      </w:r>
    </w:p>
    <w:p>
      <w:pPr>
        <w:widowControl/>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4"/>
          <w:szCs w:val="24"/>
          <w:lang w:val="en-US" w:eastAsia="zh-CN" w:bidi="ar"/>
        </w:rPr>
        <w:t>本项目环境影响评价的目的是：贯彻、推行预防为主和清洁生产的环境管理方针，通过调查与监测查清项目所在地区的环境质量现状，针对本项目排污特点，预测分析工程建设对当地自然、生态、社会及生活环境的影响，提出消除和减少不利影响的措施，从环保角度评价本工程的可行性，为政府管理部门决策、建设单位实施环境管理、设计部门优化环境工程设计提供科学依据</w:t>
      </w:r>
      <w:r>
        <w:rPr>
          <w:rFonts w:hint="default" w:ascii="Times New Roman" w:hAnsi="Times New Roman" w:eastAsia="宋体" w:cs="Times New Roman"/>
          <w:snapToGrid/>
          <w:color w:val="000000"/>
          <w:kern w:val="0"/>
          <w:sz w:val="24"/>
          <w:szCs w:val="24"/>
          <w:lang w:eastAsia="zh-CN" w:bidi="ar"/>
        </w:rPr>
        <w:t>。</w:t>
      </w:r>
    </w:p>
    <w:p>
      <w:pPr>
        <w:keepNext/>
        <w:keepLines/>
        <w:widowControl w:val="0"/>
        <w:spacing w:line="360" w:lineRule="auto"/>
        <w:ind w:left="0" w:leftChars="0" w:firstLine="0" w:firstLineChars="0"/>
        <w:jc w:val="both"/>
        <w:outlineLvl w:val="9"/>
        <w:rPr>
          <w:rFonts w:ascii="Times New Roman" w:hAnsi="Times New Roman" w:eastAsia="宋体" w:cs="Times New Roman"/>
          <w:b/>
          <w:kern w:val="2"/>
          <w:sz w:val="28"/>
          <w:szCs w:val="24"/>
          <w:lang w:val="en-US" w:eastAsia="zh-CN" w:bidi="ar-SA"/>
        </w:rPr>
      </w:pPr>
      <w:r>
        <w:rPr>
          <w:rFonts w:ascii="Times New Roman" w:hAnsi="Times New Roman" w:eastAsia="宋体" w:cs="Times New Roman"/>
          <w:b/>
          <w:kern w:val="2"/>
          <w:sz w:val="28"/>
          <w:szCs w:val="24"/>
          <w:lang w:val="en-US" w:eastAsia="zh-CN" w:bidi="ar-SA"/>
        </w:rPr>
        <w:t>2.2.2</w:t>
      </w:r>
      <w:r>
        <w:rPr>
          <w:rFonts w:hint="eastAsia" w:ascii="Times New Roman" w:hAnsi="Times New Roman" w:eastAsia="宋体" w:cs="Times New Roman"/>
          <w:b/>
          <w:kern w:val="2"/>
          <w:sz w:val="28"/>
          <w:szCs w:val="24"/>
          <w:lang w:val="en-US" w:eastAsia="zh-CN" w:bidi="ar-SA"/>
        </w:rPr>
        <w:t>评价原则</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突出环境影响评价的源头预防作用，坚持保护和改善环境质量。</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）依法评价：贯彻执行我国环境保护相关法律法规、标准、政策和规划等，优化项目建设，服务环境管理。</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）科学评价：规范环境影响评价方法，科学分析项目建设对环境质量的影响。</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）突出重点：根据建设项目的工程内容及其特点，明确与环境要素间的作用效应关系，对建设项目主要环境影响予以重点分析和评价。</w:t>
      </w:r>
    </w:p>
    <w:p>
      <w:pPr>
        <w:pStyle w:val="4"/>
        <w:bidi w:val="0"/>
        <w:rPr>
          <w:lang w:val="en-US" w:eastAsia="zh-CN"/>
        </w:rPr>
      </w:pPr>
      <w:bookmarkStart w:id="50" w:name="_Toc10347"/>
      <w:bookmarkStart w:id="51" w:name="_Toc23439"/>
      <w:bookmarkStart w:id="52" w:name="_Toc25343"/>
      <w:bookmarkStart w:id="53" w:name="_Toc7653"/>
      <w:bookmarkStart w:id="54" w:name="_Toc15397"/>
      <w:r>
        <w:rPr>
          <w:lang w:val="en-US" w:eastAsia="zh-CN"/>
        </w:rPr>
        <w:t>2.3环境影响识别及评价因子筛选</w:t>
      </w:r>
      <w:bookmarkEnd w:id="50"/>
      <w:bookmarkEnd w:id="51"/>
      <w:bookmarkEnd w:id="52"/>
      <w:bookmarkEnd w:id="53"/>
      <w:bookmarkEnd w:id="54"/>
    </w:p>
    <w:p>
      <w:pPr>
        <w:keepNext/>
        <w:keepLines/>
        <w:widowControl w:val="0"/>
        <w:spacing w:line="360" w:lineRule="auto"/>
        <w:ind w:left="0" w:leftChars="0" w:firstLine="0" w:firstLineChars="0"/>
        <w:jc w:val="both"/>
        <w:outlineLvl w:val="9"/>
        <w:rPr>
          <w:rFonts w:ascii="Times New Roman" w:hAnsi="Times New Roman" w:eastAsia="宋体" w:cs="Times New Roman"/>
          <w:b/>
          <w:kern w:val="2"/>
          <w:sz w:val="28"/>
          <w:szCs w:val="24"/>
          <w:lang w:val="en-US" w:eastAsia="zh-CN" w:bidi="ar-SA"/>
        </w:rPr>
      </w:pPr>
      <w:r>
        <w:rPr>
          <w:rFonts w:ascii="Times New Roman" w:hAnsi="Times New Roman" w:eastAsia="宋体" w:cs="Times New Roman"/>
          <w:b/>
          <w:kern w:val="2"/>
          <w:sz w:val="28"/>
          <w:szCs w:val="24"/>
          <w:lang w:val="en-US" w:eastAsia="zh-CN" w:bidi="ar-SA"/>
        </w:rPr>
        <w:t>2.3.1 环境影响识别</w:t>
      </w:r>
    </w:p>
    <w:p>
      <w:pPr>
        <w:widowControl/>
        <w:kinsoku/>
        <w:autoSpaceDE/>
        <w:autoSpaceDN/>
        <w:adjustRightInd/>
        <w:snapToGrid/>
        <w:spacing w:line="360" w:lineRule="auto"/>
        <w:ind w:firstLine="480" w:firstLineChars="200"/>
        <w:jc w:val="left"/>
        <w:textAlignment w:val="auto"/>
        <w:rPr>
          <w:rFonts w:hint="eastAsia" w:ascii="宋体" w:hAnsi="宋体" w:eastAsia="宋体" w:cs="宋体"/>
          <w:snapToGrid/>
          <w:color w:val="000000"/>
          <w:kern w:val="0"/>
          <w:sz w:val="24"/>
          <w:szCs w:val="24"/>
          <w:lang w:eastAsia="zh-CN" w:bidi="ar"/>
        </w:rPr>
      </w:pPr>
      <w:r>
        <w:rPr>
          <w:rFonts w:hint="eastAsia" w:ascii="宋体" w:hAnsi="宋体" w:eastAsia="宋体" w:cs="宋体"/>
          <w:snapToGrid/>
          <w:color w:val="000000"/>
          <w:kern w:val="0"/>
          <w:sz w:val="24"/>
          <w:szCs w:val="24"/>
          <w:lang w:val="en-US" w:eastAsia="zh-CN" w:bidi="ar"/>
        </w:rPr>
        <w:t>本项目为新建项目，对环境的影响分为以下两个阶段：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val="en-US" w:eastAsia="zh-CN" w:bidi="ar"/>
        </w:rPr>
      </w:pPr>
      <w:r>
        <w:rPr>
          <w:rFonts w:hint="default" w:ascii="Times New Roman" w:hAnsi="Times New Roman" w:eastAsia="宋体" w:cs="Times New Roman"/>
          <w:snapToGrid/>
          <w:color w:val="000000"/>
          <w:kern w:val="0"/>
          <w:sz w:val="24"/>
          <w:szCs w:val="24"/>
          <w:lang w:val="en-US" w:eastAsia="zh-CN" w:bidi="ar"/>
        </w:rPr>
        <w:t>（1）施工期：建设施工过程产生施工扬尘、施工废水、机械噪声及固体废物，会对周围环境产生不良影响</w:t>
      </w:r>
      <w:r>
        <w:rPr>
          <w:rFonts w:hint="eastAsia" w:ascii="Times New Roman" w:hAnsi="Times New Roman" w:eastAsia="宋体" w:cs="Times New Roman"/>
          <w:snapToGrid/>
          <w:color w:val="000000"/>
          <w:kern w:val="0"/>
          <w:sz w:val="24"/>
          <w:szCs w:val="24"/>
          <w:lang w:val="en-US" w:eastAsia="zh-CN" w:bidi="ar"/>
        </w:rPr>
        <w:t>。</w:t>
      </w:r>
    </w:p>
    <w:p>
      <w:pPr>
        <w:widowControl/>
        <w:kinsoku/>
        <w:autoSpaceDE/>
        <w:autoSpaceDN/>
        <w:adjustRightInd/>
        <w:snapToGrid/>
        <w:spacing w:line="360" w:lineRule="auto"/>
        <w:ind w:firstLine="480" w:firstLineChars="200"/>
        <w:jc w:val="left"/>
        <w:textAlignment w:val="auto"/>
        <w:rPr>
          <w:rFonts w:hint="default" w:ascii="Times New Roman" w:hAnsi="Times New Roman" w:eastAsia="宋体" w:cs="Times New Roman"/>
          <w:snapToGrid/>
          <w:color w:val="000000"/>
          <w:kern w:val="0"/>
          <w:sz w:val="24"/>
          <w:szCs w:val="24"/>
          <w:lang w:eastAsia="zh-CN" w:bidi="ar"/>
        </w:rPr>
      </w:pPr>
      <w:r>
        <w:rPr>
          <w:rFonts w:hint="default" w:ascii="Times New Roman" w:hAnsi="Times New Roman" w:eastAsia="宋体" w:cs="Times New Roman"/>
          <w:snapToGrid/>
          <w:color w:val="000000"/>
          <w:kern w:val="0"/>
          <w:sz w:val="24"/>
          <w:szCs w:val="24"/>
          <w:lang w:val="en-US" w:eastAsia="zh-CN" w:bidi="ar"/>
        </w:rPr>
        <w:t>（2）运营期：生产过程中产生的废气、废水、固体废物及噪声，会对周围环境产生不良影响。</w:t>
      </w:r>
    </w:p>
    <w:p>
      <w:pPr>
        <w:widowControl/>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根据工程特点和区域环境特征，进行环境影响因子识别，以确定工程在施工期和运行期对自然环境及生态环境等的影响情况，</w:t>
      </w:r>
      <w:r>
        <w:rPr>
          <w:rFonts w:hint="default" w:ascii="Times New Roman" w:hAnsi="Times New Roman" w:eastAsia="宋体" w:cs="Times New Roman"/>
          <w:snapToGrid/>
          <w:color w:val="000000"/>
          <w:kern w:val="0"/>
          <w:sz w:val="24"/>
          <w:szCs w:val="24"/>
          <w:lang w:eastAsia="zh-CN" w:bidi="ar"/>
        </w:rPr>
        <w:t>具体见表2-1</w:t>
      </w:r>
      <w:r>
        <w:rPr>
          <w:rFonts w:hint="eastAsia" w:ascii="宋体" w:hAnsi="宋体" w:eastAsia="宋体" w:cs="宋体"/>
          <w:snapToGrid/>
          <w:color w:val="000000"/>
          <w:kern w:val="0"/>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napToGrid/>
          <w:kern w:val="2"/>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snapToGrid/>
          <w:kern w:val="2"/>
          <w:sz w:val="24"/>
          <w:szCs w:val="24"/>
          <w:lang w:eastAsia="zh-CN"/>
        </w:rPr>
      </w:pPr>
      <w:r>
        <w:rPr>
          <w:rFonts w:hint="eastAsia" w:ascii="Times New Roman" w:hAnsi="Times New Roman" w:eastAsia="宋体" w:cs="Times New Roman"/>
          <w:b/>
          <w:bCs/>
          <w:snapToGrid/>
          <w:kern w:val="2"/>
          <w:sz w:val="24"/>
          <w:szCs w:val="24"/>
          <w:lang w:eastAsia="zh-CN"/>
        </w:rPr>
        <w:t>表2-1  工程</w:t>
      </w:r>
      <w:r>
        <w:rPr>
          <w:rFonts w:hint="eastAsia" w:ascii="Times New Roman" w:hAnsi="Times New Roman" w:eastAsia="宋体" w:cs="Times New Roman"/>
          <w:b/>
          <w:bCs/>
          <w:snapToGrid/>
          <w:kern w:val="2"/>
          <w:sz w:val="24"/>
          <w:szCs w:val="24"/>
          <w:highlight w:val="none"/>
          <w:lang w:eastAsia="zh-CN"/>
        </w:rPr>
        <w:t>环境影响因素识别一览表</w:t>
      </w:r>
    </w:p>
    <w:tbl>
      <w:tblPr>
        <w:tblStyle w:val="24"/>
        <w:tblW w:w="9016"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1208"/>
        <w:gridCol w:w="783"/>
        <w:gridCol w:w="728"/>
        <w:gridCol w:w="743"/>
        <w:gridCol w:w="678"/>
        <w:gridCol w:w="739"/>
        <w:gridCol w:w="774"/>
        <w:gridCol w:w="741"/>
        <w:gridCol w:w="681"/>
        <w:gridCol w:w="112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2022"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7"/>
                <w:kern w:val="2"/>
                <w:sz w:val="21"/>
                <w:szCs w:val="21"/>
                <w:lang w:val="en-US" w:eastAsia="en-US" w:bidi="ar-SA"/>
              </w:rPr>
              <w:t>影响因子</w:t>
            </w:r>
          </w:p>
        </w:tc>
        <w:tc>
          <w:tcPr>
            <w:tcW w:w="29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7"/>
                <w:kern w:val="2"/>
                <w:sz w:val="21"/>
                <w:szCs w:val="21"/>
                <w:lang w:val="en-US" w:eastAsia="en-US" w:bidi="ar-SA"/>
              </w:rPr>
              <w:t>施工期</w:t>
            </w:r>
          </w:p>
        </w:tc>
        <w:tc>
          <w:tcPr>
            <w:tcW w:w="4062"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6"/>
                <w:kern w:val="2"/>
                <w:sz w:val="21"/>
                <w:szCs w:val="21"/>
                <w:lang w:val="en-US" w:eastAsia="en-US" w:bidi="ar-SA"/>
              </w:rPr>
              <w:t>运营期</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2022"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5"/>
                <w:kern w:val="2"/>
                <w:sz w:val="21"/>
                <w:szCs w:val="21"/>
                <w:lang w:val="en-US" w:eastAsia="en-US" w:bidi="ar-SA"/>
              </w:rPr>
              <w:t>废气</w:t>
            </w:r>
          </w:p>
        </w:tc>
        <w:tc>
          <w:tcPr>
            <w:tcW w:w="7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5"/>
                <w:kern w:val="2"/>
                <w:sz w:val="21"/>
                <w:szCs w:val="21"/>
                <w:lang w:val="en-US" w:eastAsia="en-US" w:bidi="ar-SA"/>
              </w:rPr>
              <w:t>废水</w:t>
            </w:r>
          </w:p>
        </w:tc>
        <w:tc>
          <w:tcPr>
            <w:tcW w:w="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1"/>
                <w:kern w:val="2"/>
                <w:sz w:val="21"/>
                <w:szCs w:val="21"/>
                <w:lang w:val="en-US" w:eastAsia="en-US" w:bidi="ar-SA"/>
              </w:rPr>
              <w:t>噪声</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5"/>
                <w:kern w:val="2"/>
                <w:sz w:val="21"/>
                <w:szCs w:val="21"/>
                <w:lang w:val="en-US" w:eastAsia="en-US" w:bidi="ar-SA"/>
              </w:rPr>
              <w:t>固废</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5"/>
                <w:kern w:val="2"/>
                <w:sz w:val="21"/>
                <w:szCs w:val="21"/>
                <w:lang w:val="en-US" w:eastAsia="en-US" w:bidi="ar-SA"/>
              </w:rPr>
              <w:t>废气</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5"/>
                <w:kern w:val="2"/>
                <w:sz w:val="21"/>
                <w:szCs w:val="21"/>
                <w:lang w:val="en-US" w:eastAsia="en-US" w:bidi="ar-SA"/>
              </w:rPr>
              <w:t>废水</w:t>
            </w:r>
          </w:p>
        </w:tc>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1"/>
                <w:kern w:val="2"/>
                <w:sz w:val="21"/>
                <w:szCs w:val="21"/>
                <w:lang w:val="en-US" w:eastAsia="en-US" w:bidi="ar-SA"/>
              </w:rPr>
              <w:t>噪声</w:t>
            </w:r>
          </w:p>
        </w:tc>
        <w:tc>
          <w:tcPr>
            <w:tcW w:w="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5"/>
                <w:kern w:val="2"/>
                <w:sz w:val="21"/>
                <w:szCs w:val="21"/>
                <w:lang w:val="en-US" w:eastAsia="en-US" w:bidi="ar-SA"/>
              </w:rPr>
              <w:t>固废</w:t>
            </w:r>
          </w:p>
        </w:tc>
        <w:tc>
          <w:tcPr>
            <w:tcW w:w="1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7"/>
                <w:kern w:val="2"/>
                <w:sz w:val="21"/>
                <w:szCs w:val="21"/>
                <w:lang w:val="en-US" w:eastAsia="en-US" w:bidi="ar-SA"/>
              </w:rPr>
              <w:t>职工生活</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13"/>
                <w:kern w:val="2"/>
                <w:position w:val="7"/>
                <w:sz w:val="21"/>
                <w:szCs w:val="21"/>
                <w:lang w:val="en-US" w:eastAsia="en-US" w:bidi="ar-SA"/>
              </w:rPr>
              <w:t>自然</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4"/>
                <w:kern w:val="2"/>
                <w:sz w:val="21"/>
                <w:szCs w:val="21"/>
                <w:lang w:val="en-US" w:eastAsia="en-US" w:bidi="ar-SA"/>
              </w:rPr>
              <w:t>环境</w:t>
            </w:r>
          </w:p>
        </w:tc>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7"/>
                <w:kern w:val="2"/>
                <w:sz w:val="21"/>
                <w:szCs w:val="21"/>
                <w:lang w:val="en-US" w:eastAsia="en-US" w:bidi="ar-SA"/>
              </w:rPr>
              <w:t>环境空气</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2"/>
                <w:kern w:val="2"/>
                <w:sz w:val="21"/>
                <w:szCs w:val="21"/>
                <w:lang w:eastAsia="zh-CN"/>
              </w:rPr>
              <w:t>-2S↑</w:t>
            </w:r>
          </w:p>
        </w:tc>
        <w:tc>
          <w:tcPr>
            <w:tcW w:w="7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2"/>
                <w:kern w:val="2"/>
                <w:sz w:val="21"/>
                <w:szCs w:val="21"/>
                <w:lang w:eastAsia="zh-CN"/>
              </w:rPr>
              <w:t>-2L↓</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1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4"/>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6"/>
                <w:kern w:val="2"/>
                <w:sz w:val="21"/>
                <w:szCs w:val="21"/>
                <w:lang w:val="en-US" w:eastAsia="en-US" w:bidi="ar-SA"/>
              </w:rPr>
              <w:t>地表水</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5"/>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1S↑</w:t>
            </w:r>
          </w:p>
        </w:tc>
        <w:tc>
          <w:tcPr>
            <w:tcW w:w="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1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4"/>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5"/>
                <w:kern w:val="2"/>
                <w:sz w:val="21"/>
                <w:szCs w:val="21"/>
                <w:lang w:val="en-US" w:eastAsia="en-US" w:bidi="ar-SA"/>
              </w:rPr>
              <w:t>声环境</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1S↑</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4"/>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c>
          <w:tcPr>
            <w:tcW w:w="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1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4"/>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4"/>
                <w:kern w:val="2"/>
                <w:sz w:val="21"/>
                <w:szCs w:val="21"/>
                <w:lang w:val="en-US" w:eastAsia="en-US" w:bidi="ar-SA"/>
              </w:rPr>
              <w:t>土壤</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5"/>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1S↑</w:t>
            </w:r>
          </w:p>
        </w:tc>
        <w:tc>
          <w:tcPr>
            <w:tcW w:w="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1S↑</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c>
          <w:tcPr>
            <w:tcW w:w="1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3"/>
                <w:kern w:val="2"/>
                <w:position w:val="7"/>
                <w:sz w:val="21"/>
                <w:szCs w:val="21"/>
                <w:lang w:val="en-US" w:eastAsia="en-US" w:bidi="ar-SA"/>
              </w:rPr>
              <w:t>生态</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4"/>
                <w:kern w:val="2"/>
                <w:sz w:val="21"/>
                <w:szCs w:val="21"/>
                <w:lang w:val="en-US" w:eastAsia="en-US" w:bidi="ar-SA"/>
              </w:rPr>
              <w:t>环境</w:t>
            </w:r>
          </w:p>
        </w:tc>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7"/>
                <w:kern w:val="2"/>
                <w:sz w:val="21"/>
                <w:szCs w:val="21"/>
                <w:lang w:val="en-US" w:eastAsia="en-US" w:bidi="ar-SA"/>
              </w:rPr>
              <w:t>地表植被</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5"/>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1S↑</w:t>
            </w:r>
          </w:p>
        </w:tc>
        <w:tc>
          <w:tcPr>
            <w:tcW w:w="7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5"/>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1S↑</w:t>
            </w:r>
          </w:p>
        </w:tc>
        <w:tc>
          <w:tcPr>
            <w:tcW w:w="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1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7"/>
                <w:kern w:val="2"/>
                <w:sz w:val="21"/>
                <w:szCs w:val="21"/>
                <w:lang w:val="en-US" w:eastAsia="en-US" w:bidi="ar-SA"/>
              </w:rPr>
              <w:t>土地利用</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1S↑</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c>
          <w:tcPr>
            <w:tcW w:w="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napToGrid/>
                <w:kern w:val="2"/>
                <w:sz w:val="21"/>
                <w:szCs w:val="21"/>
                <w:lang w:eastAsia="zh-CN"/>
              </w:rPr>
            </w:pPr>
            <w:r>
              <w:rPr>
                <w:rFonts w:ascii="Times New Roman" w:hAnsi="Times New Roman" w:eastAsia="Times New Roman" w:cs="Times New Roman"/>
                <w:snapToGrid/>
                <w:spacing w:val="-4"/>
                <w:kern w:val="2"/>
                <w:sz w:val="21"/>
                <w:szCs w:val="21"/>
                <w:lang w:eastAsia="zh-CN"/>
              </w:rPr>
              <w:t>-</w:t>
            </w:r>
            <w:r>
              <w:rPr>
                <w:rFonts w:ascii="Times New Roman" w:hAnsi="Times New Roman" w:eastAsia="Times New Roman" w:cs="Times New Roman"/>
                <w:snapToGrid/>
                <w:spacing w:val="-26"/>
                <w:kern w:val="2"/>
                <w:sz w:val="21"/>
                <w:szCs w:val="21"/>
                <w:lang w:eastAsia="zh-CN"/>
              </w:rPr>
              <w:t xml:space="preserve"> </w:t>
            </w:r>
            <w:r>
              <w:rPr>
                <w:rFonts w:ascii="Times New Roman" w:hAnsi="Times New Roman" w:eastAsia="Times New Roman" w:cs="Times New Roman"/>
                <w:snapToGrid/>
                <w:spacing w:val="-4"/>
                <w:kern w:val="2"/>
                <w:sz w:val="21"/>
                <w:szCs w:val="21"/>
                <w:lang w:eastAsia="zh-CN"/>
              </w:rPr>
              <w:t>1L↑</w:t>
            </w:r>
          </w:p>
        </w:tc>
        <w:tc>
          <w:tcPr>
            <w:tcW w:w="1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9016" w:type="dxa"/>
            <w:gridSpan w:val="11"/>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ascii="Times New Roman" w:hAnsi="Times New Roman" w:eastAsia="Times New Roman" w:cs="Times New Roman"/>
                <w:kern w:val="2"/>
                <w:sz w:val="21"/>
                <w:szCs w:val="21"/>
                <w:lang w:val="en-US" w:eastAsia="en-US" w:bidi="ar-SA"/>
              </w:rPr>
            </w:pPr>
            <w:r>
              <w:rPr>
                <w:rFonts w:ascii="Times New Roman" w:hAnsi="Times New Roman" w:eastAsia="Times New Roman" w:cs="Times New Roman"/>
                <w:spacing w:val="7"/>
                <w:kern w:val="2"/>
                <w:sz w:val="21"/>
                <w:szCs w:val="21"/>
                <w:lang w:val="en-US" w:eastAsia="en-US" w:bidi="ar-SA"/>
              </w:rPr>
              <w:t>注：+正效应、-负效应；3、2、1影响程度由大到小；L 长期影响、S 短期</w:t>
            </w:r>
            <w:r>
              <w:rPr>
                <w:rFonts w:ascii="Times New Roman" w:hAnsi="Times New Roman" w:eastAsia="Times New Roman" w:cs="Times New Roman"/>
                <w:spacing w:val="6"/>
                <w:kern w:val="2"/>
                <w:sz w:val="21"/>
                <w:szCs w:val="21"/>
                <w:lang w:val="en-US" w:eastAsia="en-US" w:bidi="ar-SA"/>
              </w:rPr>
              <w:t>影响；</w:t>
            </w:r>
            <w:r>
              <w:rPr>
                <w:rFonts w:ascii="Times New Roman" w:hAnsi="Times New Roman" w:eastAsia="Times New Roman" w:cs="Times New Roman"/>
                <w:spacing w:val="-73"/>
                <w:kern w:val="2"/>
                <w:sz w:val="21"/>
                <w:szCs w:val="21"/>
                <w:lang w:val="en-US" w:eastAsia="en-US" w:bidi="ar-SA"/>
              </w:rPr>
              <w:t xml:space="preserve"> </w:t>
            </w:r>
            <w:r>
              <w:rPr>
                <w:rFonts w:ascii="Times New Roman" w:hAnsi="Times New Roman" w:eastAsia="Times New Roman" w:cs="Times New Roman"/>
                <w:spacing w:val="6"/>
                <w:kern w:val="2"/>
                <w:sz w:val="21"/>
                <w:szCs w:val="21"/>
                <w:lang w:val="en-US" w:eastAsia="en-US" w:bidi="ar-SA"/>
              </w:rPr>
              <w:t>↑可逆影响、↓</w:t>
            </w:r>
            <w:r>
              <w:rPr>
                <w:rFonts w:ascii="Times New Roman" w:hAnsi="Times New Roman" w:eastAsia="Times New Roman" w:cs="Times New Roman"/>
                <w:kern w:val="2"/>
                <w:sz w:val="21"/>
                <w:szCs w:val="21"/>
                <w:lang w:val="en-US" w:eastAsia="en-US" w:bidi="ar-SA"/>
              </w:rPr>
              <w:t xml:space="preserve"> </w:t>
            </w:r>
            <w:r>
              <w:rPr>
                <w:rFonts w:ascii="Times New Roman" w:hAnsi="Times New Roman" w:eastAsia="Times New Roman" w:cs="Times New Roman"/>
                <w:spacing w:val="7"/>
                <w:kern w:val="2"/>
                <w:sz w:val="21"/>
                <w:szCs w:val="21"/>
                <w:lang w:val="en-US" w:eastAsia="en-US" w:bidi="ar-SA"/>
              </w:rPr>
              <w:t>不可逆影响</w:t>
            </w:r>
          </w:p>
        </w:tc>
      </w:tr>
    </w:tbl>
    <w:p>
      <w:pPr>
        <w:keepNext w:val="0"/>
        <w:keepLines w:val="0"/>
        <w:pageBreakBefore w:val="0"/>
        <w:widowControl w:val="0"/>
        <w:kinsoku/>
        <w:wordWrap/>
        <w:overflowPunct/>
        <w:topLinePunct w:val="0"/>
        <w:autoSpaceDE/>
        <w:autoSpaceDN/>
        <w:bidi w:val="0"/>
        <w:adjustRightInd/>
        <w:snapToGrid/>
        <w:spacing w:before="148" w:line="360" w:lineRule="auto"/>
        <w:ind w:left="0" w:leftChars="0" w:firstLine="0" w:firstLineChars="0"/>
        <w:jc w:val="both"/>
        <w:textAlignment w:val="auto"/>
        <w:outlineLvl w:val="9"/>
        <w:rPr>
          <w:rFonts w:ascii="楷体" w:hAnsi="楷体" w:eastAsia="楷体" w:cs="楷体"/>
          <w:snapToGrid/>
          <w:kern w:val="2"/>
          <w:sz w:val="28"/>
          <w:szCs w:val="28"/>
          <w:lang w:eastAsia="zh-CN"/>
        </w:rPr>
      </w:pPr>
      <w:r>
        <w:rPr>
          <w:rFonts w:ascii="Times New Roman" w:hAnsi="Times New Roman" w:eastAsia="Times New Roman" w:cs="Times New Roman"/>
          <w:snapToGrid/>
          <w:spacing w:val="-1"/>
          <w:kern w:val="2"/>
          <w:sz w:val="28"/>
          <w:szCs w:val="28"/>
          <w:lang w:eastAsia="zh-CN"/>
        </w:rPr>
        <w:t>2.3.2</w:t>
      </w:r>
      <w:r>
        <w:rPr>
          <w:rFonts w:ascii="楷体" w:hAnsi="楷体" w:eastAsia="楷体" w:cs="楷体"/>
          <w:snapToGrid/>
          <w:spacing w:val="-1"/>
          <w:kern w:val="2"/>
          <w:sz w:val="28"/>
          <w:szCs w:val="28"/>
          <w:lang w:eastAsia="zh-CN"/>
        </w:rPr>
        <w:t>评价因子的筛选</w:t>
      </w:r>
    </w:p>
    <w:p>
      <w:pPr>
        <w:widowControl w:val="0"/>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color w:val="000000"/>
          <w:kern w:val="2"/>
          <w:sz w:val="24"/>
          <w:szCs w:val="24"/>
          <w:lang w:val="en-US" w:eastAsia="zh-CN"/>
        </w:rPr>
      </w:pPr>
      <w:r>
        <w:rPr>
          <w:rFonts w:hint="eastAsia" w:ascii="Times New Roman" w:hAnsi="Times New Roman" w:eastAsia="宋体" w:cs="Times New Roman"/>
          <w:snapToGrid/>
          <w:color w:val="000000"/>
          <w:kern w:val="2"/>
          <w:sz w:val="24"/>
          <w:szCs w:val="24"/>
          <w:lang w:val="en-US" w:eastAsia="zh-CN"/>
        </w:rPr>
        <w:t>将项目建设对环境的危害相对较大、环境影响（不利影响）较突出的环境影响因子（污染因子）作为本次评价因子，具体见表2-2。</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napToGrid/>
          <w:color w:val="000000"/>
          <w:kern w:val="2"/>
          <w:sz w:val="24"/>
          <w:szCs w:val="24"/>
          <w:lang w:val="en-US" w:eastAsia="zh-CN"/>
        </w:rPr>
      </w:pPr>
      <w:r>
        <w:rPr>
          <w:rFonts w:hint="eastAsia" w:ascii="Times New Roman" w:hAnsi="Times New Roman" w:eastAsia="宋体" w:cs="Times New Roman"/>
          <w:b/>
          <w:bCs/>
          <w:snapToGrid/>
          <w:color w:val="000000"/>
          <w:kern w:val="2"/>
          <w:sz w:val="24"/>
          <w:szCs w:val="24"/>
          <w:lang w:val="en-US" w:eastAsia="zh-CN"/>
        </w:rPr>
        <w:t>表2-2          本次评价因子筛选表</w:t>
      </w:r>
    </w:p>
    <w:tbl>
      <w:tblPr>
        <w:tblStyle w:val="21"/>
        <w:tblW w:w="90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9"/>
        <w:gridCol w:w="877"/>
        <w:gridCol w:w="2977"/>
        <w:gridCol w:w="1657"/>
        <w:gridCol w:w="2009"/>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6"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环境要素</w:t>
            </w:r>
          </w:p>
        </w:tc>
        <w:tc>
          <w:tcPr>
            <w:tcW w:w="297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现状评价因子</w:t>
            </w:r>
          </w:p>
        </w:tc>
        <w:tc>
          <w:tcPr>
            <w:tcW w:w="36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预测评价因子</w:t>
            </w:r>
          </w:p>
        </w:tc>
        <w:tc>
          <w:tcPr>
            <w:tcW w:w="10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总量控制因子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6"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p>
        </w:tc>
        <w:tc>
          <w:tcPr>
            <w:tcW w:w="29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施工期</w:t>
            </w:r>
          </w:p>
        </w:tc>
        <w:tc>
          <w:tcPr>
            <w:tcW w:w="2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运营期</w:t>
            </w:r>
          </w:p>
        </w:tc>
        <w:tc>
          <w:tcPr>
            <w:tcW w:w="10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大气环境</w:t>
            </w:r>
          </w:p>
        </w:tc>
        <w:tc>
          <w:tcPr>
            <w:tcW w:w="2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SO</w:t>
            </w:r>
            <w:r>
              <w:rPr>
                <w:rFonts w:hint="eastAsia" w:ascii="Times New Roman" w:hAnsi="Times New Roman" w:eastAsia="宋体" w:cs="Times New Roman"/>
                <w:snapToGrid/>
                <w:color w:val="000000"/>
                <w:kern w:val="2"/>
                <w:sz w:val="21"/>
                <w:szCs w:val="21"/>
                <w:vertAlign w:val="subscript"/>
                <w:lang w:val="en-US" w:eastAsia="zh-CN"/>
              </w:rPr>
              <w:t>2</w:t>
            </w:r>
            <w:r>
              <w:rPr>
                <w:rFonts w:hint="eastAsia" w:ascii="Times New Roman" w:hAnsi="Times New Roman" w:eastAsia="宋体" w:cs="Times New Roman"/>
                <w:snapToGrid/>
                <w:color w:val="000000"/>
                <w:kern w:val="2"/>
                <w:sz w:val="21"/>
                <w:szCs w:val="21"/>
                <w:vertAlign w:val="baseline"/>
                <w:lang w:val="en-US" w:eastAsia="zh-CN"/>
              </w:rPr>
              <w:t>、NO</w:t>
            </w:r>
            <w:r>
              <w:rPr>
                <w:rFonts w:hint="eastAsia" w:ascii="Times New Roman" w:hAnsi="Times New Roman" w:eastAsia="宋体" w:cs="Times New Roman"/>
                <w:snapToGrid/>
                <w:color w:val="000000"/>
                <w:kern w:val="2"/>
                <w:sz w:val="21"/>
                <w:szCs w:val="21"/>
                <w:vertAlign w:val="subscript"/>
                <w:lang w:val="en-US" w:eastAsia="zh-CN"/>
              </w:rPr>
              <w:t>2</w:t>
            </w:r>
            <w:r>
              <w:rPr>
                <w:rFonts w:hint="eastAsia" w:ascii="Times New Roman" w:hAnsi="Times New Roman" w:eastAsia="宋体" w:cs="Times New Roman"/>
                <w:snapToGrid/>
                <w:color w:val="000000"/>
                <w:kern w:val="2"/>
                <w:sz w:val="21"/>
                <w:szCs w:val="21"/>
                <w:vertAlign w:val="baseline"/>
                <w:lang w:val="en-US" w:eastAsia="zh-CN"/>
              </w:rPr>
              <w:t>、PM</w:t>
            </w:r>
            <w:r>
              <w:rPr>
                <w:rFonts w:hint="eastAsia" w:ascii="Times New Roman" w:hAnsi="Times New Roman" w:eastAsia="宋体" w:cs="Times New Roman"/>
                <w:snapToGrid/>
                <w:color w:val="000000"/>
                <w:kern w:val="2"/>
                <w:sz w:val="21"/>
                <w:szCs w:val="21"/>
                <w:vertAlign w:val="subscript"/>
                <w:lang w:val="en-US" w:eastAsia="zh-CN"/>
              </w:rPr>
              <w:t>10</w:t>
            </w:r>
            <w:r>
              <w:rPr>
                <w:rFonts w:hint="eastAsia" w:ascii="Times New Roman" w:hAnsi="Times New Roman" w:eastAsia="宋体" w:cs="Times New Roman"/>
                <w:snapToGrid/>
                <w:color w:val="000000"/>
                <w:kern w:val="2"/>
                <w:sz w:val="21"/>
                <w:szCs w:val="21"/>
                <w:vertAlign w:val="baseline"/>
                <w:lang w:val="en-US" w:eastAsia="zh-CN"/>
              </w:rPr>
              <w:t>、PM</w:t>
            </w:r>
            <w:r>
              <w:rPr>
                <w:rFonts w:hint="eastAsia" w:ascii="Times New Roman" w:hAnsi="Times New Roman" w:eastAsia="宋体" w:cs="Times New Roman"/>
                <w:snapToGrid/>
                <w:color w:val="000000"/>
                <w:kern w:val="2"/>
                <w:sz w:val="21"/>
                <w:szCs w:val="21"/>
                <w:vertAlign w:val="subscript"/>
                <w:lang w:val="en-US" w:eastAsia="zh-CN"/>
              </w:rPr>
              <w:t>2.5</w:t>
            </w:r>
            <w:r>
              <w:rPr>
                <w:rFonts w:hint="eastAsia" w:ascii="Times New Roman" w:hAnsi="Times New Roman" w:eastAsia="宋体" w:cs="Times New Roman"/>
                <w:snapToGrid/>
                <w:color w:val="000000"/>
                <w:kern w:val="2"/>
                <w:sz w:val="21"/>
                <w:szCs w:val="21"/>
                <w:vertAlign w:val="baseline"/>
                <w:lang w:val="en-US" w:eastAsia="zh-CN"/>
              </w:rPr>
              <w:t>、CO、O</w:t>
            </w:r>
            <w:r>
              <w:rPr>
                <w:rFonts w:hint="eastAsia" w:ascii="Times New Roman" w:hAnsi="Times New Roman" w:eastAsia="宋体" w:cs="Times New Roman"/>
                <w:snapToGrid/>
                <w:color w:val="000000"/>
                <w:kern w:val="2"/>
                <w:sz w:val="21"/>
                <w:szCs w:val="21"/>
                <w:vertAlign w:val="subscript"/>
                <w:lang w:val="en-US" w:eastAsia="zh-CN"/>
              </w:rPr>
              <w:t>3</w:t>
            </w:r>
            <w:r>
              <w:rPr>
                <w:rFonts w:hint="eastAsia" w:ascii="Times New Roman" w:hAnsi="Times New Roman" w:eastAsia="宋体" w:cs="Times New Roman"/>
                <w:snapToGrid/>
                <w:color w:val="000000"/>
                <w:kern w:val="2"/>
                <w:sz w:val="21"/>
                <w:szCs w:val="21"/>
                <w:vertAlign w:val="baseline"/>
                <w:lang w:val="en-US" w:eastAsia="zh-CN"/>
              </w:rPr>
              <w:t>、H</w:t>
            </w:r>
            <w:r>
              <w:rPr>
                <w:rFonts w:hint="eastAsia" w:ascii="Times New Roman" w:hAnsi="Times New Roman" w:eastAsia="宋体" w:cs="Times New Roman"/>
                <w:snapToGrid/>
                <w:color w:val="000000"/>
                <w:kern w:val="2"/>
                <w:sz w:val="21"/>
                <w:szCs w:val="21"/>
                <w:vertAlign w:val="subscript"/>
                <w:lang w:val="en-US" w:eastAsia="zh-CN"/>
              </w:rPr>
              <w:t>2</w:t>
            </w:r>
            <w:r>
              <w:rPr>
                <w:rFonts w:hint="eastAsia" w:ascii="Times New Roman" w:hAnsi="Times New Roman" w:eastAsia="宋体" w:cs="Times New Roman"/>
                <w:snapToGrid/>
                <w:color w:val="000000"/>
                <w:kern w:val="2"/>
                <w:sz w:val="21"/>
                <w:szCs w:val="21"/>
                <w:vertAlign w:val="baseline"/>
                <w:lang w:val="en-US" w:eastAsia="zh-CN"/>
              </w:rPr>
              <w:t>S、NH</w:t>
            </w:r>
            <w:r>
              <w:rPr>
                <w:rFonts w:hint="eastAsia" w:ascii="Times New Roman" w:hAnsi="Times New Roman" w:eastAsia="宋体" w:cs="Times New Roman"/>
                <w:snapToGrid/>
                <w:color w:val="000000"/>
                <w:kern w:val="2"/>
                <w:sz w:val="21"/>
                <w:szCs w:val="21"/>
                <w:vertAlign w:val="subscript"/>
                <w:lang w:val="en-US" w:eastAsia="zh-CN"/>
              </w:rPr>
              <w:t>3</w:t>
            </w:r>
            <w:r>
              <w:rPr>
                <w:rFonts w:hint="eastAsia" w:ascii="Times New Roman" w:hAnsi="Times New Roman" w:eastAsia="宋体" w:cs="Times New Roman"/>
                <w:snapToGrid/>
                <w:color w:val="000000"/>
                <w:kern w:val="2"/>
                <w:sz w:val="21"/>
                <w:szCs w:val="21"/>
                <w:vertAlign w:val="baseline"/>
                <w:lang w:val="en-US" w:eastAsia="zh-CN"/>
              </w:rPr>
              <w:t>、臭气浓度</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NO</w:t>
            </w:r>
            <w:r>
              <w:rPr>
                <w:rFonts w:hint="eastAsia" w:ascii="Times New Roman" w:hAnsi="Times New Roman" w:eastAsia="宋体" w:cs="Times New Roman"/>
                <w:snapToGrid/>
                <w:color w:val="000000"/>
                <w:kern w:val="2"/>
                <w:sz w:val="21"/>
                <w:szCs w:val="21"/>
                <w:vertAlign w:val="subscript"/>
                <w:lang w:val="en-US" w:eastAsia="zh-CN"/>
              </w:rPr>
              <w:t>X</w:t>
            </w:r>
            <w:r>
              <w:rPr>
                <w:rFonts w:hint="eastAsia" w:ascii="Times New Roman" w:hAnsi="Times New Roman" w:eastAsia="宋体" w:cs="Times New Roman"/>
                <w:snapToGrid/>
                <w:color w:val="000000"/>
                <w:kern w:val="2"/>
                <w:sz w:val="21"/>
                <w:szCs w:val="21"/>
                <w:vertAlign w:val="baseline"/>
                <w:lang w:val="en-US" w:eastAsia="zh-CN"/>
              </w:rPr>
              <w:t>、CO、THC、PM</w:t>
            </w:r>
            <w:r>
              <w:rPr>
                <w:rFonts w:hint="eastAsia" w:ascii="Times New Roman" w:hAnsi="Times New Roman" w:eastAsia="宋体" w:cs="Times New Roman"/>
                <w:snapToGrid/>
                <w:color w:val="000000"/>
                <w:kern w:val="2"/>
                <w:sz w:val="21"/>
                <w:szCs w:val="21"/>
                <w:vertAlign w:val="subscript"/>
                <w:lang w:val="en-US" w:eastAsia="zh-CN"/>
              </w:rPr>
              <w:t>10</w:t>
            </w:r>
            <w:r>
              <w:rPr>
                <w:rFonts w:hint="eastAsia" w:ascii="Times New Roman" w:hAnsi="Times New Roman" w:eastAsia="宋体" w:cs="Times New Roman"/>
                <w:snapToGrid/>
                <w:color w:val="000000"/>
                <w:kern w:val="2"/>
                <w:sz w:val="21"/>
                <w:szCs w:val="21"/>
                <w:vertAlign w:val="baseline"/>
                <w:lang w:val="en-US" w:eastAsia="zh-CN"/>
              </w:rPr>
              <w:t>、TSP</w:t>
            </w:r>
          </w:p>
        </w:tc>
        <w:tc>
          <w:tcPr>
            <w:tcW w:w="2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H</w:t>
            </w:r>
            <w:r>
              <w:rPr>
                <w:rFonts w:hint="eastAsia" w:ascii="Times New Roman" w:hAnsi="Times New Roman" w:eastAsia="宋体" w:cs="Times New Roman"/>
                <w:snapToGrid/>
                <w:color w:val="000000"/>
                <w:kern w:val="2"/>
                <w:sz w:val="21"/>
                <w:szCs w:val="21"/>
                <w:vertAlign w:val="subscript"/>
                <w:lang w:val="en-US" w:eastAsia="zh-CN"/>
              </w:rPr>
              <w:t>2</w:t>
            </w:r>
            <w:r>
              <w:rPr>
                <w:rFonts w:hint="eastAsia" w:ascii="Times New Roman" w:hAnsi="Times New Roman" w:eastAsia="宋体" w:cs="Times New Roman"/>
                <w:snapToGrid/>
                <w:color w:val="000000"/>
                <w:kern w:val="2"/>
                <w:sz w:val="21"/>
                <w:szCs w:val="21"/>
                <w:vertAlign w:val="baseline"/>
                <w:lang w:val="en-US" w:eastAsia="zh-CN"/>
              </w:rPr>
              <w:t>S、NH</w:t>
            </w:r>
            <w:r>
              <w:rPr>
                <w:rFonts w:hint="eastAsia" w:ascii="Times New Roman" w:hAnsi="Times New Roman" w:eastAsia="宋体" w:cs="Times New Roman"/>
                <w:snapToGrid/>
                <w:color w:val="000000"/>
                <w:kern w:val="2"/>
                <w:sz w:val="21"/>
                <w:szCs w:val="21"/>
                <w:vertAlign w:val="subscript"/>
                <w:lang w:val="en-US" w:eastAsia="zh-CN"/>
              </w:rPr>
              <w:t>3</w:t>
            </w:r>
            <w:r>
              <w:rPr>
                <w:rFonts w:hint="eastAsia" w:ascii="Times New Roman" w:hAnsi="Times New Roman" w:eastAsia="宋体" w:cs="Times New Roman"/>
                <w:snapToGrid/>
                <w:color w:val="000000"/>
                <w:kern w:val="2"/>
                <w:sz w:val="21"/>
                <w:szCs w:val="21"/>
                <w:vertAlign w:val="baseline"/>
                <w:lang w:val="en-US" w:eastAsia="zh-CN"/>
              </w:rPr>
              <w:t>、臭气浓度、油烟</w:t>
            </w:r>
          </w:p>
        </w:tc>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水环境</w:t>
            </w:r>
          </w:p>
        </w:tc>
        <w:tc>
          <w:tcPr>
            <w:tcW w:w="8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地表水</w:t>
            </w:r>
          </w:p>
        </w:tc>
        <w:tc>
          <w:tcPr>
            <w:tcW w:w="2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pH、COD、BOD</w:t>
            </w:r>
            <w:r>
              <w:rPr>
                <w:rFonts w:hint="eastAsia" w:ascii="Times New Roman" w:hAnsi="Times New Roman" w:eastAsia="宋体" w:cs="Times New Roman"/>
                <w:snapToGrid/>
                <w:color w:val="000000"/>
                <w:kern w:val="2"/>
                <w:sz w:val="21"/>
                <w:szCs w:val="21"/>
                <w:vertAlign w:val="subscript"/>
                <w:lang w:val="en-US" w:eastAsia="zh-CN"/>
              </w:rPr>
              <w:t>5</w:t>
            </w:r>
            <w:r>
              <w:rPr>
                <w:rFonts w:hint="eastAsia" w:ascii="Times New Roman" w:hAnsi="Times New Roman" w:eastAsia="宋体" w:cs="Times New Roman"/>
                <w:snapToGrid/>
                <w:color w:val="000000"/>
                <w:kern w:val="2"/>
                <w:sz w:val="21"/>
                <w:szCs w:val="21"/>
                <w:vertAlign w:val="baseline"/>
                <w:lang w:val="en-US" w:eastAsia="zh-CN"/>
              </w:rPr>
              <w:t>、NH</w:t>
            </w:r>
            <w:r>
              <w:rPr>
                <w:rFonts w:hint="eastAsia" w:ascii="Times New Roman" w:hAnsi="Times New Roman" w:eastAsia="宋体" w:cs="Times New Roman"/>
                <w:snapToGrid/>
                <w:color w:val="000000"/>
                <w:kern w:val="2"/>
                <w:sz w:val="21"/>
                <w:szCs w:val="21"/>
                <w:vertAlign w:val="subscript"/>
                <w:lang w:val="en-US" w:eastAsia="zh-CN"/>
              </w:rPr>
              <w:t>3</w:t>
            </w:r>
            <w:r>
              <w:rPr>
                <w:rFonts w:hint="eastAsia" w:ascii="Times New Roman" w:hAnsi="Times New Roman" w:eastAsia="宋体" w:cs="Times New Roman"/>
                <w:snapToGrid/>
                <w:color w:val="000000"/>
                <w:kern w:val="2"/>
                <w:sz w:val="21"/>
                <w:szCs w:val="21"/>
                <w:vertAlign w:val="baseline"/>
                <w:lang w:val="en-US" w:eastAsia="zh-CN"/>
              </w:rPr>
              <w:t>-N、总磷</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COD、BOD</w:t>
            </w:r>
            <w:r>
              <w:rPr>
                <w:rFonts w:hint="eastAsia" w:ascii="Times New Roman" w:hAnsi="Times New Roman" w:eastAsia="宋体" w:cs="Times New Roman"/>
                <w:snapToGrid/>
                <w:color w:val="000000"/>
                <w:kern w:val="2"/>
                <w:sz w:val="21"/>
                <w:szCs w:val="21"/>
                <w:vertAlign w:val="subscript"/>
                <w:lang w:val="en-US" w:eastAsia="zh-CN"/>
              </w:rPr>
              <w:t>5</w:t>
            </w:r>
            <w:r>
              <w:rPr>
                <w:rFonts w:hint="eastAsia" w:ascii="Times New Roman" w:hAnsi="Times New Roman" w:eastAsia="宋体" w:cs="Times New Roman"/>
                <w:snapToGrid/>
                <w:color w:val="000000"/>
                <w:kern w:val="2"/>
                <w:sz w:val="21"/>
                <w:szCs w:val="21"/>
                <w:vertAlign w:val="baseline"/>
                <w:lang w:val="en-US" w:eastAsia="zh-CN"/>
              </w:rPr>
              <w:t>、SS</w:t>
            </w:r>
          </w:p>
        </w:tc>
        <w:tc>
          <w:tcPr>
            <w:tcW w:w="2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pH、COD、BOD</w:t>
            </w:r>
            <w:r>
              <w:rPr>
                <w:rFonts w:hint="eastAsia" w:ascii="Times New Roman" w:hAnsi="Times New Roman" w:eastAsia="宋体" w:cs="Times New Roman"/>
                <w:snapToGrid/>
                <w:color w:val="000000"/>
                <w:kern w:val="2"/>
                <w:sz w:val="21"/>
                <w:szCs w:val="21"/>
                <w:vertAlign w:val="subscript"/>
                <w:lang w:val="en-US" w:eastAsia="zh-CN"/>
              </w:rPr>
              <w:t>5</w:t>
            </w:r>
            <w:r>
              <w:rPr>
                <w:rFonts w:hint="eastAsia" w:ascii="Times New Roman" w:hAnsi="Times New Roman" w:eastAsia="宋体" w:cs="Times New Roman"/>
                <w:snapToGrid/>
                <w:color w:val="000000"/>
                <w:kern w:val="2"/>
                <w:sz w:val="21"/>
                <w:szCs w:val="21"/>
                <w:vertAlign w:val="baseline"/>
                <w:lang w:val="en-US" w:eastAsia="zh-CN"/>
              </w:rPr>
              <w:t>、SS、NH</w:t>
            </w:r>
            <w:r>
              <w:rPr>
                <w:rFonts w:hint="eastAsia" w:ascii="Times New Roman" w:hAnsi="Times New Roman" w:eastAsia="宋体" w:cs="Times New Roman"/>
                <w:snapToGrid/>
                <w:color w:val="000000"/>
                <w:kern w:val="2"/>
                <w:sz w:val="21"/>
                <w:szCs w:val="21"/>
                <w:vertAlign w:val="subscript"/>
                <w:lang w:val="en-US" w:eastAsia="zh-CN"/>
              </w:rPr>
              <w:t>3</w:t>
            </w:r>
            <w:r>
              <w:rPr>
                <w:rFonts w:hint="eastAsia" w:ascii="Times New Roman" w:hAnsi="Times New Roman" w:eastAsia="宋体" w:cs="Times New Roman"/>
                <w:snapToGrid/>
                <w:color w:val="000000"/>
                <w:kern w:val="2"/>
                <w:sz w:val="21"/>
                <w:szCs w:val="21"/>
                <w:vertAlign w:val="baseline"/>
                <w:lang w:val="en-US" w:eastAsia="zh-CN"/>
              </w:rPr>
              <w:t>-N、动植物油、粪大肠菌群、总磷、总氮</w:t>
            </w:r>
          </w:p>
        </w:tc>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Times New Roman" w:hAnsi="Times New Roman" w:eastAsia="Times New Roman" w:cs="Times New Roman"/>
                <w:color w:val="000000"/>
                <w:kern w:val="2"/>
                <w:sz w:val="21"/>
                <w:szCs w:val="21"/>
                <w:vertAlign w:val="baseline"/>
                <w:lang w:val="en-US" w:eastAsia="zh-CN" w:bidi="ar-SA"/>
              </w:rPr>
            </w:pPr>
            <w:r>
              <w:rPr>
                <w:rFonts w:ascii="Times New Roman" w:hAnsi="Times New Roman" w:eastAsia="Times New Roman" w:cs="Times New Roman"/>
                <w:kern w:val="2"/>
                <w:sz w:val="21"/>
                <w:szCs w:val="21"/>
                <w:lang w:val="en-US" w:eastAsia="en-US" w:bidi="ar-SA"/>
              </w:rPr>
              <w:t>COD、NH</w:t>
            </w:r>
            <w:r>
              <w:rPr>
                <w:rFonts w:ascii="Times New Roman" w:hAnsi="Times New Roman" w:eastAsia="Times New Roman" w:cs="Times New Roman"/>
                <w:kern w:val="2"/>
                <w:sz w:val="21"/>
                <w:szCs w:val="21"/>
                <w:vertAlign w:val="subscript"/>
                <w:lang w:val="en-US" w:eastAsia="en-US" w:bidi="ar-SA"/>
              </w:rPr>
              <w:t>3</w:t>
            </w:r>
            <w:r>
              <w:rPr>
                <w:rFonts w:ascii="Times New Roman" w:hAnsi="Times New Roman" w:eastAsia="Times New Roman" w:cs="Times New Roman"/>
                <w:kern w:val="2"/>
                <w:sz w:val="21"/>
                <w:szCs w:val="21"/>
                <w:lang w:val="en-US" w:eastAsia="en-US" w:bidi="ar-SA"/>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p>
        </w:tc>
        <w:tc>
          <w:tcPr>
            <w:tcW w:w="8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地下水</w:t>
            </w:r>
          </w:p>
        </w:tc>
        <w:tc>
          <w:tcPr>
            <w:tcW w:w="2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default" w:ascii="Times New Roman" w:hAnsi="Times New Roman" w:eastAsia="宋体" w:cs="Times New Roman"/>
                <w:snapToGrid/>
                <w:kern w:val="2"/>
                <w:sz w:val="21"/>
                <w:szCs w:val="21"/>
                <w:lang w:val="en-US" w:eastAsia="zh-CN"/>
              </w:rPr>
              <w:t>K</w:t>
            </w:r>
            <w:r>
              <w:rPr>
                <w:rFonts w:hint="default" w:ascii="Times New Roman" w:hAnsi="Times New Roman" w:eastAsia="宋体" w:cs="Times New Roman"/>
                <w:snapToGrid/>
                <w:kern w:val="2"/>
                <w:sz w:val="21"/>
                <w:szCs w:val="21"/>
                <w:vertAlign w:val="superscript"/>
                <w:lang w:val="en-US" w:eastAsia="zh-CN"/>
              </w:rPr>
              <w:t>+</w:t>
            </w: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 xml:space="preserve">Na </w:t>
            </w:r>
            <w:r>
              <w:rPr>
                <w:rFonts w:hint="default" w:ascii="Times New Roman" w:hAnsi="Times New Roman" w:eastAsia="宋体" w:cs="Times New Roman"/>
                <w:snapToGrid/>
                <w:kern w:val="2"/>
                <w:sz w:val="21"/>
                <w:szCs w:val="21"/>
                <w:vertAlign w:val="superscript"/>
                <w:lang w:val="en-US" w:eastAsia="zh-CN"/>
              </w:rPr>
              <w:t>+</w:t>
            </w: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 xml:space="preserve">Ca </w:t>
            </w:r>
            <w:r>
              <w:rPr>
                <w:rFonts w:hint="default" w:ascii="Times New Roman" w:hAnsi="Times New Roman" w:eastAsia="宋体" w:cs="Times New Roman"/>
                <w:snapToGrid/>
                <w:kern w:val="2"/>
                <w:sz w:val="21"/>
                <w:szCs w:val="21"/>
                <w:vertAlign w:val="superscript"/>
                <w:lang w:val="en-US" w:eastAsia="zh-CN"/>
              </w:rPr>
              <w:t>2+</w:t>
            </w: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 xml:space="preserve">Mg </w:t>
            </w:r>
            <w:r>
              <w:rPr>
                <w:rFonts w:hint="default" w:ascii="Times New Roman" w:hAnsi="Times New Roman" w:eastAsia="宋体" w:cs="Times New Roman"/>
                <w:snapToGrid/>
                <w:kern w:val="2"/>
                <w:sz w:val="21"/>
                <w:szCs w:val="21"/>
                <w:vertAlign w:val="superscript"/>
                <w:lang w:val="en-US" w:eastAsia="zh-CN"/>
              </w:rPr>
              <w:t>2+</w:t>
            </w: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CO</w:t>
            </w:r>
            <w:r>
              <w:rPr>
                <w:rFonts w:hint="default" w:ascii="Times New Roman" w:hAnsi="Times New Roman" w:eastAsia="宋体" w:cs="Times New Roman"/>
                <w:snapToGrid/>
                <w:kern w:val="2"/>
                <w:sz w:val="21"/>
                <w:szCs w:val="21"/>
                <w:vertAlign w:val="subscript"/>
                <w:lang w:val="en-US" w:eastAsia="zh-CN"/>
              </w:rPr>
              <w:t>3</w:t>
            </w:r>
            <w:r>
              <w:rPr>
                <w:rFonts w:hint="default" w:ascii="Times New Roman" w:hAnsi="Times New Roman" w:eastAsia="宋体" w:cs="Times New Roman"/>
                <w:snapToGrid/>
                <w:kern w:val="2"/>
                <w:sz w:val="21"/>
                <w:szCs w:val="21"/>
                <w:vertAlign w:val="superscript"/>
                <w:lang w:val="en-US" w:eastAsia="zh-CN"/>
              </w:rPr>
              <w:t>2-</w:t>
            </w: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HCO</w:t>
            </w:r>
            <w:r>
              <w:rPr>
                <w:rFonts w:hint="default" w:ascii="Times New Roman" w:hAnsi="Times New Roman" w:eastAsia="宋体" w:cs="Times New Roman"/>
                <w:snapToGrid/>
                <w:kern w:val="2"/>
                <w:sz w:val="21"/>
                <w:szCs w:val="21"/>
                <w:vertAlign w:val="subscript"/>
                <w:lang w:val="en-US" w:eastAsia="zh-CN"/>
              </w:rPr>
              <w:t>3</w:t>
            </w:r>
            <w:r>
              <w:rPr>
                <w:rFonts w:hint="eastAsia" w:ascii="Times New Roman" w:hAnsi="Times New Roman" w:eastAsia="宋体" w:cs="Times New Roman"/>
                <w:snapToGrid/>
                <w:kern w:val="2"/>
                <w:sz w:val="21"/>
                <w:szCs w:val="21"/>
                <w:vertAlign w:val="superscript"/>
                <w:lang w:val="en-US" w:eastAsia="zh-CN"/>
              </w:rPr>
              <w:t>-</w:t>
            </w: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Cl -</w:t>
            </w: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SO</w:t>
            </w:r>
            <w:r>
              <w:rPr>
                <w:rFonts w:hint="default" w:ascii="Times New Roman" w:hAnsi="Times New Roman" w:eastAsia="宋体" w:cs="Times New Roman"/>
                <w:snapToGrid/>
                <w:kern w:val="2"/>
                <w:sz w:val="21"/>
                <w:szCs w:val="21"/>
                <w:vertAlign w:val="subscript"/>
                <w:lang w:val="en-US" w:eastAsia="zh-CN"/>
              </w:rPr>
              <w:t>4</w:t>
            </w:r>
            <w:r>
              <w:rPr>
                <w:rFonts w:hint="default" w:ascii="Times New Roman" w:hAnsi="Times New Roman" w:eastAsia="宋体" w:cs="Times New Roman"/>
                <w:snapToGrid/>
                <w:kern w:val="2"/>
                <w:sz w:val="21"/>
                <w:szCs w:val="21"/>
                <w:vertAlign w:val="superscript"/>
                <w:lang w:val="en-US" w:eastAsia="zh-CN"/>
              </w:rPr>
              <w:t>2-</w:t>
            </w: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en-US" w:eastAsia="zh-CN"/>
              </w:rPr>
              <w:t>pH</w:t>
            </w:r>
            <w:r>
              <w:rPr>
                <w:rFonts w:hint="eastAsia" w:ascii="Times New Roman" w:hAnsi="Times New Roman" w:eastAsia="宋体" w:cs="Times New Roman"/>
                <w:snapToGrid/>
                <w:kern w:val="2"/>
                <w:sz w:val="21"/>
                <w:szCs w:val="21"/>
                <w:lang w:val="en-US" w:eastAsia="zh-CN"/>
              </w:rPr>
              <w:t>、氨氮、硝酸盐（以</w:t>
            </w:r>
            <w:r>
              <w:rPr>
                <w:rFonts w:hint="default" w:ascii="Times New Roman" w:hAnsi="Times New Roman" w:eastAsia="宋体" w:cs="Times New Roman"/>
                <w:snapToGrid/>
                <w:kern w:val="2"/>
                <w:sz w:val="21"/>
                <w:szCs w:val="21"/>
                <w:lang w:val="en-US" w:eastAsia="zh-CN"/>
              </w:rPr>
              <w:t>N</w:t>
            </w:r>
            <w:r>
              <w:rPr>
                <w:rFonts w:hint="eastAsia" w:ascii="Times New Roman" w:hAnsi="Times New Roman" w:eastAsia="宋体" w:cs="Times New Roman"/>
                <w:snapToGrid/>
                <w:kern w:val="2"/>
                <w:sz w:val="21"/>
                <w:szCs w:val="21"/>
                <w:lang w:val="en-US" w:eastAsia="zh-CN"/>
              </w:rPr>
              <w:t>计）、亚硝酸盐（以</w:t>
            </w:r>
            <w:r>
              <w:rPr>
                <w:rFonts w:hint="default" w:ascii="Times New Roman" w:hAnsi="Times New Roman" w:eastAsia="宋体" w:cs="Times New Roman"/>
                <w:snapToGrid/>
                <w:kern w:val="2"/>
                <w:sz w:val="21"/>
                <w:szCs w:val="21"/>
                <w:lang w:val="en-US" w:eastAsia="zh-CN"/>
              </w:rPr>
              <w:t>N</w:t>
            </w:r>
            <w:r>
              <w:rPr>
                <w:rFonts w:hint="eastAsia" w:ascii="Times New Roman" w:hAnsi="Times New Roman" w:eastAsia="宋体" w:cs="Times New Roman"/>
                <w:snapToGrid/>
                <w:kern w:val="2"/>
                <w:sz w:val="21"/>
                <w:szCs w:val="21"/>
                <w:lang w:val="en-US" w:eastAsia="zh-CN"/>
              </w:rPr>
              <w:t>计）、挥发性酚类、氰化物、砷、汞、铬（六价）、总硬度（以</w:t>
            </w:r>
            <w:r>
              <w:rPr>
                <w:rFonts w:hint="default" w:ascii="Times New Roman" w:hAnsi="Times New Roman" w:eastAsia="宋体" w:cs="Times New Roman"/>
                <w:snapToGrid/>
                <w:kern w:val="2"/>
                <w:sz w:val="21"/>
                <w:szCs w:val="21"/>
                <w:lang w:val="en-US" w:eastAsia="zh-CN"/>
              </w:rPr>
              <w:t>CaCO</w:t>
            </w:r>
            <w:r>
              <w:rPr>
                <w:rFonts w:hint="default" w:ascii="Times New Roman" w:hAnsi="Times New Roman" w:eastAsia="宋体" w:cs="Times New Roman"/>
                <w:snapToGrid/>
                <w:kern w:val="2"/>
                <w:sz w:val="21"/>
                <w:szCs w:val="21"/>
                <w:vertAlign w:val="subscript"/>
                <w:lang w:val="en-US" w:eastAsia="zh-CN"/>
              </w:rPr>
              <w:t>3</w:t>
            </w:r>
            <w:r>
              <w:rPr>
                <w:rFonts w:hint="eastAsia" w:ascii="Times New Roman" w:hAnsi="Times New Roman" w:eastAsia="宋体" w:cs="Times New Roman"/>
                <w:snapToGrid/>
                <w:kern w:val="2"/>
                <w:sz w:val="21"/>
                <w:szCs w:val="21"/>
                <w:lang w:val="en-US" w:eastAsia="zh-CN"/>
              </w:rPr>
              <w:t>计）、铅、氟化物、镉、铁、锰、溶解性总固体、硫酸盐、氯化物、总大肠菌群</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c>
          <w:tcPr>
            <w:tcW w:w="2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耗氧量、氨氮</w:t>
            </w:r>
          </w:p>
        </w:tc>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声环境</w:t>
            </w:r>
          </w:p>
        </w:tc>
        <w:tc>
          <w:tcPr>
            <w:tcW w:w="2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LeqdB（A）</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LeqdB（A）</w:t>
            </w:r>
          </w:p>
        </w:tc>
        <w:tc>
          <w:tcPr>
            <w:tcW w:w="2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LeqdB（A）</w:t>
            </w:r>
          </w:p>
        </w:tc>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固体废物</w:t>
            </w:r>
          </w:p>
        </w:tc>
        <w:tc>
          <w:tcPr>
            <w:tcW w:w="2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挖方、废弃的建筑材料、生活垃圾</w:t>
            </w:r>
          </w:p>
        </w:tc>
        <w:tc>
          <w:tcPr>
            <w:tcW w:w="2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粪便、肠胃内容物、栅渣、病死牛羊、不合格肉品、污水处理站废油脂及污泥、检疫废物、生活垃圾</w:t>
            </w:r>
          </w:p>
        </w:tc>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环境风险</w:t>
            </w:r>
          </w:p>
        </w:tc>
        <w:tc>
          <w:tcPr>
            <w:tcW w:w="2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c>
          <w:tcPr>
            <w:tcW w:w="2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highlight w:val="none"/>
                <w:vertAlign w:val="baseline"/>
                <w:lang w:val="en-US" w:eastAsia="zh-CN"/>
              </w:rPr>
              <w:t>次氯酸钠、废油脂</w:t>
            </w:r>
          </w:p>
        </w:tc>
        <w:tc>
          <w:tcPr>
            <w:tcW w:w="1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napToGrid/>
                <w:color w:val="000000"/>
                <w:kern w:val="2"/>
                <w:sz w:val="21"/>
                <w:szCs w:val="21"/>
                <w:vertAlign w:val="baseline"/>
                <w:lang w:val="en-US" w:eastAsia="zh-CN"/>
              </w:rPr>
            </w:pPr>
            <w:r>
              <w:rPr>
                <w:rFonts w:hint="eastAsia" w:ascii="Times New Roman" w:hAnsi="Times New Roman" w:eastAsia="宋体" w:cs="Times New Roman"/>
                <w:snapToGrid/>
                <w:color w:val="000000"/>
                <w:kern w:val="2"/>
                <w:sz w:val="21"/>
                <w:szCs w:val="21"/>
                <w:vertAlign w:val="baseline"/>
                <w:lang w:val="en-US" w:eastAsia="zh-CN"/>
              </w:rPr>
              <w:t>/</w:t>
            </w:r>
          </w:p>
        </w:tc>
      </w:tr>
    </w:tbl>
    <w:p>
      <w:pPr>
        <w:pStyle w:val="4"/>
        <w:bidi w:val="0"/>
        <w:rPr>
          <w:lang w:val="en-US" w:eastAsia="zh-CN"/>
        </w:rPr>
      </w:pPr>
      <w:bookmarkStart w:id="55" w:name="bookmark32"/>
      <w:bookmarkEnd w:id="55"/>
      <w:bookmarkStart w:id="56" w:name="_Toc11818"/>
      <w:bookmarkStart w:id="57" w:name="_Toc31068"/>
      <w:bookmarkStart w:id="58" w:name="_Toc16796"/>
      <w:bookmarkStart w:id="59" w:name="_Toc8011"/>
      <w:bookmarkStart w:id="60" w:name="_Toc4955"/>
      <w:r>
        <w:rPr>
          <w:lang w:val="en-US" w:eastAsia="zh-CN"/>
        </w:rPr>
        <w:t>2.4评价标准</w:t>
      </w:r>
      <w:bookmarkEnd w:id="56"/>
      <w:bookmarkEnd w:id="57"/>
      <w:bookmarkEnd w:id="58"/>
      <w:bookmarkEnd w:id="59"/>
      <w:bookmarkEnd w:id="60"/>
    </w:p>
    <w:p>
      <w:pPr>
        <w:keepNext/>
        <w:keepLines/>
        <w:widowControl w:val="0"/>
        <w:spacing w:line="360" w:lineRule="auto"/>
        <w:ind w:left="0" w:leftChars="0" w:firstLine="0" w:firstLineChars="0"/>
        <w:jc w:val="both"/>
        <w:outlineLvl w:val="9"/>
        <w:rPr>
          <w:rFonts w:hint="eastAsia" w:ascii="Times New Roman" w:hAnsi="Times New Roman" w:eastAsia="宋体" w:cs="Times New Roman"/>
          <w:b/>
          <w:kern w:val="2"/>
          <w:sz w:val="28"/>
          <w:szCs w:val="24"/>
          <w:lang w:val="en-US" w:eastAsia="zh-CN" w:bidi="ar-SA"/>
        </w:rPr>
      </w:pPr>
      <w:r>
        <w:rPr>
          <w:rFonts w:ascii="Times New Roman" w:hAnsi="Times New Roman" w:eastAsia="宋体" w:cs="Times New Roman"/>
          <w:b/>
          <w:kern w:val="2"/>
          <w:sz w:val="28"/>
          <w:szCs w:val="24"/>
          <w:lang w:val="en-US" w:eastAsia="zh-CN" w:bidi="ar-SA"/>
        </w:rPr>
        <w:t>2.4.1环境</w:t>
      </w:r>
      <w:r>
        <w:rPr>
          <w:rFonts w:hint="eastAsia" w:ascii="Times New Roman" w:hAnsi="Times New Roman" w:eastAsia="宋体" w:cs="Times New Roman"/>
          <w:b/>
          <w:kern w:val="2"/>
          <w:sz w:val="28"/>
          <w:szCs w:val="24"/>
          <w:lang w:val="en-US" w:eastAsia="zh-CN" w:bidi="ar-SA"/>
        </w:rPr>
        <w:t>质量标准</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w:t>
      </w:r>
      <w:r>
        <w:rPr>
          <w:rFonts w:ascii="Times New Roman" w:hAnsi="Times New Roman" w:eastAsia="宋体" w:cs="Times New Roman"/>
          <w:snapToGrid/>
          <w:kern w:val="2"/>
          <w:sz w:val="24"/>
          <w:szCs w:val="24"/>
          <w:lang w:eastAsia="zh-CN"/>
        </w:rPr>
        <w:t>1</w:t>
      </w:r>
      <w:r>
        <w:rPr>
          <w:rFonts w:hint="eastAsia" w:ascii="Times New Roman" w:hAnsi="Times New Roman" w:eastAsia="宋体" w:cs="Times New Roman"/>
          <w:snapToGrid/>
          <w:kern w:val="2"/>
          <w:sz w:val="24"/>
          <w:szCs w:val="24"/>
          <w:lang w:eastAsia="zh-CN"/>
        </w:rPr>
        <w:t>）环境空气质量标准</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u w:val="none"/>
          <w:lang w:eastAsia="zh-CN"/>
        </w:rPr>
      </w:pPr>
      <w:r>
        <w:rPr>
          <w:rFonts w:hint="eastAsia" w:ascii="Times New Roman" w:hAnsi="Times New Roman" w:eastAsia="宋体" w:cs="Times New Roman"/>
          <w:snapToGrid/>
          <w:kern w:val="2"/>
          <w:sz w:val="24"/>
          <w:szCs w:val="24"/>
          <w:lang w:eastAsia="zh-CN"/>
        </w:rPr>
        <w:t>项目选址区域环境空气功能区划为二类区，应执行</w:t>
      </w:r>
      <w:r>
        <w:rPr>
          <w:rFonts w:hint="eastAsia" w:ascii="Times New Roman" w:hAnsi="Times New Roman" w:eastAsia="宋体" w:cs="Times New Roman"/>
          <w:snapToGrid/>
          <w:kern w:val="2"/>
          <w:sz w:val="24"/>
          <w:szCs w:val="24"/>
          <w:u w:val="none"/>
          <w:lang w:eastAsia="zh-CN"/>
        </w:rPr>
        <w:t>《环境空气质量标准》（</w:t>
      </w:r>
      <w:r>
        <w:rPr>
          <w:rFonts w:ascii="Times New Roman" w:hAnsi="Times New Roman" w:eastAsia="宋体" w:cs="Times New Roman"/>
          <w:snapToGrid/>
          <w:kern w:val="2"/>
          <w:sz w:val="24"/>
          <w:szCs w:val="24"/>
          <w:u w:val="none"/>
          <w:lang w:eastAsia="zh-CN"/>
        </w:rPr>
        <w:t>GB3095-2012</w:t>
      </w:r>
      <w:r>
        <w:rPr>
          <w:rFonts w:hint="eastAsia" w:ascii="Times New Roman" w:hAnsi="Times New Roman" w:eastAsia="宋体" w:cs="Times New Roman"/>
          <w:snapToGrid/>
          <w:kern w:val="2"/>
          <w:sz w:val="24"/>
          <w:szCs w:val="24"/>
          <w:u w:val="none"/>
          <w:lang w:eastAsia="zh-CN"/>
        </w:rPr>
        <w:t>）</w:t>
      </w:r>
      <w:r>
        <w:rPr>
          <w:rFonts w:hint="eastAsia" w:ascii="Times New Roman" w:hAnsi="Times New Roman" w:eastAsia="宋体" w:cs="Times New Roman"/>
          <w:snapToGrid/>
          <w:kern w:val="2"/>
          <w:sz w:val="24"/>
          <w:szCs w:val="24"/>
          <w:highlight w:val="none"/>
          <w:u w:val="none"/>
          <w:lang w:eastAsia="zh-CN"/>
        </w:rPr>
        <w:t>及修改单</w:t>
      </w:r>
      <w:r>
        <w:rPr>
          <w:rFonts w:hint="eastAsia" w:ascii="Times New Roman" w:hAnsi="Times New Roman" w:eastAsia="宋体" w:cs="Times New Roman"/>
          <w:snapToGrid/>
          <w:kern w:val="2"/>
          <w:sz w:val="24"/>
          <w:szCs w:val="24"/>
          <w:u w:val="none"/>
          <w:lang w:eastAsia="zh-CN"/>
        </w:rPr>
        <w:t>中的二级标准；</w:t>
      </w:r>
      <w:r>
        <w:rPr>
          <w:rFonts w:ascii="Times New Roman" w:hAnsi="Times New Roman" w:eastAsia="Times New Roman" w:cs="Times New Roman"/>
          <w:snapToGrid/>
          <w:spacing w:val="-3"/>
          <w:kern w:val="2"/>
          <w:sz w:val="24"/>
          <w:szCs w:val="24"/>
          <w:lang w:eastAsia="zh-CN"/>
        </w:rPr>
        <w:t>H</w:t>
      </w:r>
      <w:r>
        <w:rPr>
          <w:rFonts w:ascii="Times New Roman" w:hAnsi="Times New Roman" w:eastAsia="Times New Roman" w:cs="Times New Roman"/>
          <w:snapToGrid/>
          <w:spacing w:val="-3"/>
          <w:kern w:val="2"/>
          <w:position w:val="-1"/>
          <w:sz w:val="15"/>
          <w:szCs w:val="15"/>
          <w:lang w:eastAsia="zh-CN"/>
        </w:rPr>
        <w:t>2</w:t>
      </w:r>
      <w:r>
        <w:rPr>
          <w:rFonts w:ascii="Times New Roman" w:hAnsi="Times New Roman" w:eastAsia="Times New Roman" w:cs="Times New Roman"/>
          <w:snapToGrid/>
          <w:spacing w:val="-3"/>
          <w:kern w:val="2"/>
          <w:sz w:val="24"/>
          <w:szCs w:val="24"/>
          <w:lang w:eastAsia="zh-CN"/>
        </w:rPr>
        <w:t>S</w:t>
      </w:r>
      <w:r>
        <w:rPr>
          <w:rFonts w:ascii="宋体" w:hAnsi="宋体" w:eastAsia="宋体" w:cs="宋体"/>
          <w:snapToGrid/>
          <w:spacing w:val="-3"/>
          <w:kern w:val="2"/>
          <w:sz w:val="24"/>
          <w:szCs w:val="24"/>
          <w:lang w:eastAsia="zh-CN"/>
        </w:rPr>
        <w:t>、</w:t>
      </w:r>
      <w:r>
        <w:rPr>
          <w:rFonts w:ascii="Times New Roman" w:hAnsi="Times New Roman" w:eastAsia="Times New Roman" w:cs="Times New Roman"/>
          <w:snapToGrid/>
          <w:spacing w:val="-3"/>
          <w:kern w:val="2"/>
          <w:sz w:val="24"/>
          <w:szCs w:val="24"/>
          <w:lang w:eastAsia="zh-CN"/>
        </w:rPr>
        <w:t>NH</w:t>
      </w:r>
      <w:r>
        <w:rPr>
          <w:rFonts w:ascii="Times New Roman" w:hAnsi="Times New Roman" w:eastAsia="Times New Roman" w:cs="Times New Roman"/>
          <w:snapToGrid/>
          <w:spacing w:val="-3"/>
          <w:kern w:val="2"/>
          <w:position w:val="-1"/>
          <w:sz w:val="15"/>
          <w:szCs w:val="15"/>
          <w:lang w:eastAsia="zh-CN"/>
        </w:rPr>
        <w:t>3</w:t>
      </w:r>
      <w:r>
        <w:rPr>
          <w:rFonts w:ascii="宋体" w:hAnsi="宋体" w:eastAsia="宋体" w:cs="宋体"/>
          <w:snapToGrid/>
          <w:spacing w:val="-3"/>
          <w:kern w:val="2"/>
          <w:sz w:val="24"/>
          <w:szCs w:val="24"/>
          <w:lang w:eastAsia="zh-CN"/>
        </w:rPr>
        <w:t>参照执行《环境影响评价技术导则</w:t>
      </w:r>
      <w:r>
        <w:rPr>
          <w:rFonts w:ascii="宋体" w:hAnsi="宋体" w:eastAsia="宋体" w:cs="宋体"/>
          <w:snapToGrid/>
          <w:spacing w:val="-1"/>
          <w:kern w:val="2"/>
          <w:sz w:val="24"/>
          <w:szCs w:val="24"/>
          <w:lang w:eastAsia="zh-CN"/>
        </w:rPr>
        <w:t>大气环境》（</w:t>
      </w:r>
      <w:r>
        <w:rPr>
          <w:rFonts w:ascii="Times New Roman" w:hAnsi="Times New Roman" w:eastAsia="Times New Roman" w:cs="Times New Roman"/>
          <w:snapToGrid/>
          <w:spacing w:val="-1"/>
          <w:kern w:val="2"/>
          <w:sz w:val="24"/>
          <w:szCs w:val="24"/>
          <w:lang w:eastAsia="zh-CN"/>
        </w:rPr>
        <w:t>HJ2.2-2018</w:t>
      </w:r>
      <w:r>
        <w:rPr>
          <w:rFonts w:ascii="宋体" w:hAnsi="宋体" w:eastAsia="宋体" w:cs="宋体"/>
          <w:snapToGrid/>
          <w:spacing w:val="-1"/>
          <w:kern w:val="2"/>
          <w:sz w:val="24"/>
          <w:szCs w:val="24"/>
          <w:lang w:eastAsia="zh-CN"/>
        </w:rPr>
        <w:t>）附录</w:t>
      </w:r>
      <w:r>
        <w:rPr>
          <w:rFonts w:ascii="Times New Roman" w:hAnsi="Times New Roman" w:eastAsia="Times New Roman" w:cs="Times New Roman"/>
          <w:snapToGrid/>
          <w:spacing w:val="-1"/>
          <w:kern w:val="2"/>
          <w:sz w:val="24"/>
          <w:szCs w:val="24"/>
          <w:lang w:eastAsia="zh-CN"/>
        </w:rPr>
        <w:t>D</w:t>
      </w:r>
      <w:r>
        <w:rPr>
          <w:rFonts w:ascii="宋体" w:hAnsi="宋体" w:eastAsia="宋体" w:cs="宋体"/>
          <w:snapToGrid/>
          <w:spacing w:val="-1"/>
          <w:kern w:val="2"/>
          <w:sz w:val="24"/>
          <w:szCs w:val="24"/>
          <w:lang w:eastAsia="zh-CN"/>
        </w:rPr>
        <w:t>其他污染物空气质量浓度参考限值</w:t>
      </w:r>
      <w:r>
        <w:rPr>
          <w:rFonts w:ascii="宋体" w:hAnsi="宋体" w:eastAsia="宋体" w:cs="宋体"/>
          <w:snapToGrid/>
          <w:spacing w:val="1"/>
          <w:kern w:val="2"/>
          <w:sz w:val="24"/>
          <w:szCs w:val="24"/>
          <w:lang w:eastAsia="zh-CN"/>
        </w:rPr>
        <w:t>。本项目评价区周围环境空气质量标准具体值见表</w:t>
      </w:r>
      <w:r>
        <w:rPr>
          <w:rFonts w:hint="default" w:ascii="Times New Roman" w:hAnsi="Times New Roman" w:eastAsia="宋体" w:cs="Times New Roman"/>
          <w:snapToGrid/>
          <w:spacing w:val="1"/>
          <w:kern w:val="2"/>
          <w:sz w:val="24"/>
          <w:szCs w:val="24"/>
          <w:lang w:eastAsia="zh-CN"/>
        </w:rPr>
        <w:t>2-3</w:t>
      </w:r>
      <w:r>
        <w:rPr>
          <w:rFonts w:hint="default" w:ascii="Times New Roman" w:hAnsi="Times New Roman" w:eastAsia="宋体" w:cs="Times New Roman"/>
          <w:snapToGrid/>
          <w:kern w:val="2"/>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napToGrid/>
          <w:kern w:val="2"/>
          <w:sz w:val="24"/>
          <w:szCs w:val="24"/>
          <w:lang w:eastAsia="zh-CN"/>
        </w:rPr>
      </w:pPr>
      <w:r>
        <w:rPr>
          <w:rFonts w:hint="default" w:ascii="Times New Roman" w:hAnsi="Times New Roman" w:eastAsia="宋体" w:cs="Times New Roman"/>
          <w:b w:val="0"/>
          <w:bCs w:val="0"/>
          <w:snapToGrid/>
          <w:spacing w:val="-1"/>
          <w:kern w:val="2"/>
          <w:sz w:val="24"/>
          <w:szCs w:val="24"/>
          <w:highlight w:val="none"/>
          <w:lang w:eastAsia="zh-CN"/>
          <w14:textOutline w14:w="4358" w14:cap="sq" w14:cmpd="sng">
            <w14:solidFill>
              <w14:srgbClr w14:val="000000"/>
            </w14:solidFill>
            <w14:prstDash w14:val="solid"/>
            <w14:bevel/>
          </w14:textOutline>
        </w:rPr>
        <w:t>表</w:t>
      </w:r>
      <w:r>
        <w:rPr>
          <w:rFonts w:hint="eastAsia" w:ascii="Times New Roman" w:hAnsi="Times New Roman" w:eastAsia="宋体" w:cs="Times New Roman"/>
          <w:b w:val="0"/>
          <w:bCs w:val="0"/>
          <w:snapToGrid/>
          <w:spacing w:val="0"/>
          <w:kern w:val="2"/>
          <w:sz w:val="24"/>
          <w:szCs w:val="24"/>
          <w:highlight w:val="none"/>
          <w:lang w:val="en-US" w:eastAsia="zh-CN"/>
        </w:rPr>
        <w:t>2-3</w:t>
      </w:r>
      <w:r>
        <w:rPr>
          <w:rFonts w:hint="default" w:ascii="Times New Roman" w:hAnsi="Times New Roman" w:eastAsia="Times New Roman" w:cs="Times New Roman"/>
          <w:b w:val="0"/>
          <w:bCs w:val="0"/>
          <w:snapToGrid/>
          <w:spacing w:val="0"/>
          <w:kern w:val="2"/>
          <w:sz w:val="24"/>
          <w:szCs w:val="24"/>
          <w:lang w:eastAsia="zh-CN"/>
        </w:rPr>
        <w:t xml:space="preserve"> </w:t>
      </w:r>
      <w:r>
        <w:rPr>
          <w:rFonts w:ascii="Times New Roman" w:hAnsi="Times New Roman" w:eastAsia="Times New Roman" w:cs="Times New Roman"/>
          <w:b w:val="0"/>
          <w:bCs w:val="0"/>
          <w:snapToGrid/>
          <w:spacing w:val="-1"/>
          <w:kern w:val="2"/>
          <w:sz w:val="24"/>
          <w:szCs w:val="24"/>
          <w:lang w:eastAsia="zh-CN"/>
        </w:rPr>
        <w:t xml:space="preserve">   </w:t>
      </w:r>
      <w:r>
        <w:rPr>
          <w:rFonts w:ascii="宋体" w:hAnsi="宋体" w:eastAsia="宋体" w:cs="宋体"/>
          <w:b w:val="0"/>
          <w:bCs w:val="0"/>
          <w:snapToGrid/>
          <w:spacing w:val="-1"/>
          <w:kern w:val="2"/>
          <w:sz w:val="24"/>
          <w:szCs w:val="24"/>
          <w:lang w:eastAsia="zh-CN"/>
          <w14:textOutline w14:w="4358" w14:cap="sq" w14:cmpd="sng">
            <w14:solidFill>
              <w14:srgbClr w14:val="000000"/>
            </w14:solidFill>
            <w14:prstDash w14:val="solid"/>
            <w14:bevel/>
          </w14:textOutline>
        </w:rPr>
        <w:t>环境空气</w:t>
      </w:r>
      <w:r>
        <w:rPr>
          <w:rFonts w:hint="eastAsia" w:ascii="宋体" w:hAnsi="宋体" w:eastAsia="宋体" w:cs="宋体"/>
          <w:b w:val="0"/>
          <w:bCs w:val="0"/>
          <w:snapToGrid/>
          <w:spacing w:val="-1"/>
          <w:kern w:val="2"/>
          <w:sz w:val="24"/>
          <w:szCs w:val="24"/>
          <w:lang w:eastAsia="zh-CN"/>
          <w14:textOutline w14:w="4358" w14:cap="sq" w14:cmpd="sng">
            <w14:solidFill>
              <w14:srgbClr w14:val="000000"/>
            </w14:solidFill>
            <w14:prstDash w14:val="solid"/>
            <w14:bevel/>
          </w14:textOutline>
        </w:rPr>
        <w:t>污染物浓度限值</w:t>
      </w:r>
    </w:p>
    <w:tbl>
      <w:tblPr>
        <w:tblStyle w:val="24"/>
        <w:tblW w:w="9128" w:type="dxa"/>
        <w:tblInd w:w="7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31"/>
        <w:gridCol w:w="2023"/>
        <w:gridCol w:w="1601"/>
        <w:gridCol w:w="35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污染物</w:t>
            </w:r>
            <w:r>
              <w:rPr>
                <w:rFonts w:hint="eastAsia" w:ascii="Times New Roman" w:hAnsi="Times New Roman" w:eastAsia="宋体" w:cs="Times New Roman"/>
                <w:snapToGrid/>
                <w:spacing w:val="6"/>
                <w:kern w:val="2"/>
                <w:sz w:val="21"/>
                <w:szCs w:val="21"/>
                <w:lang w:eastAsia="zh-CN"/>
              </w:rPr>
              <w:t>项目</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spacing w:val="6"/>
                <w:kern w:val="2"/>
                <w:sz w:val="21"/>
                <w:szCs w:val="21"/>
                <w:lang w:eastAsia="zh-CN"/>
              </w:rPr>
              <w:t>平均</w:t>
            </w:r>
            <w:r>
              <w:rPr>
                <w:rFonts w:hint="default" w:ascii="Times New Roman" w:hAnsi="Times New Roman" w:eastAsia="宋体" w:cs="Times New Roman"/>
                <w:snapToGrid/>
                <w:spacing w:val="6"/>
                <w:kern w:val="2"/>
                <w:sz w:val="21"/>
                <w:szCs w:val="21"/>
                <w:lang w:eastAsia="zh-CN"/>
              </w:rPr>
              <w:t>时间</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7"/>
                <w:kern w:val="2"/>
                <w:sz w:val="21"/>
                <w:szCs w:val="21"/>
                <w:lang w:eastAsia="zh-CN"/>
              </w:rPr>
              <w:t>浓度</w:t>
            </w:r>
            <w:r>
              <w:rPr>
                <w:rFonts w:hint="eastAsia" w:ascii="Times New Roman" w:hAnsi="Times New Roman" w:eastAsia="宋体" w:cs="Times New Roman"/>
                <w:snapToGrid/>
                <w:spacing w:val="7"/>
                <w:kern w:val="2"/>
                <w:sz w:val="21"/>
                <w:szCs w:val="21"/>
                <w:lang w:eastAsia="zh-CN"/>
              </w:rPr>
              <w:t>限值</w:t>
            </w:r>
          </w:p>
        </w:tc>
        <w:tc>
          <w:tcPr>
            <w:tcW w:w="35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7"/>
                <w:kern w:val="2"/>
                <w:sz w:val="21"/>
                <w:szCs w:val="21"/>
                <w:lang w:eastAsia="zh-CN"/>
              </w:rPr>
              <w:t>采用标准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SO</w:t>
            </w:r>
            <w:r>
              <w:rPr>
                <w:rFonts w:hint="default" w:ascii="Times New Roman" w:hAnsi="Times New Roman" w:eastAsia="Times New Roman" w:cs="Times New Roman"/>
                <w:spacing w:val="3"/>
                <w:kern w:val="2"/>
                <w:position w:val="-1"/>
                <w:sz w:val="21"/>
                <w:szCs w:val="21"/>
                <w:vertAlign w:val="subscript"/>
                <w:lang w:val="en-US" w:eastAsia="en-US" w:bidi="ar-SA"/>
              </w:rPr>
              <w:t>2</w:t>
            </w:r>
            <w:r>
              <w:rPr>
                <w:rFonts w:hint="eastAsia" w:ascii="Times New Roman" w:hAnsi="Times New Roman" w:eastAsia="宋体" w:cs="Times New Roman"/>
                <w:spacing w:val="2"/>
                <w:kern w:val="2"/>
                <w:sz w:val="21"/>
                <w:szCs w:val="21"/>
                <w:lang w:val="en-US" w:eastAsia="zh-CN" w:bidi="ar-SA"/>
              </w:rPr>
              <w:t>，</w:t>
            </w:r>
            <w:r>
              <w:rPr>
                <w:rFonts w:hint="default" w:ascii="Times New Roman" w:hAnsi="Times New Roman" w:eastAsia="Times New Roman" w:cs="Times New Roman"/>
                <w:spacing w:val="2"/>
                <w:kern w:val="2"/>
                <w:sz w:val="21"/>
                <w:szCs w:val="21"/>
                <w:lang w:val="en-US" w:eastAsia="en-US" w:bidi="ar-SA"/>
              </w:rPr>
              <w:t>μg/m</w:t>
            </w:r>
            <w:r>
              <w:rPr>
                <w:rFonts w:hint="default" w:ascii="Times New Roman" w:hAnsi="Times New Roman" w:eastAsia="宋体" w:cs="Times New Roman"/>
                <w:spacing w:val="4"/>
                <w:kern w:val="2"/>
                <w:sz w:val="21"/>
                <w:szCs w:val="21"/>
                <w:vertAlign w:val="superscript"/>
                <w:lang w:val="en-US" w:eastAsia="zh-CN" w:bidi="ar-SA"/>
              </w:rPr>
              <w:t>3</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年平均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60</w:t>
            </w:r>
          </w:p>
        </w:tc>
        <w:tc>
          <w:tcPr>
            <w:tcW w:w="35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kern w:val="2"/>
                <w:sz w:val="21"/>
                <w:szCs w:val="21"/>
                <w:lang w:val="en-US" w:eastAsia="en-US" w:bidi="ar-SA"/>
              </w:rPr>
              <w:t>《环境空气质量标准》（</w:t>
            </w:r>
            <w:r>
              <w:rPr>
                <w:rFonts w:hint="default" w:ascii="Times New Roman" w:hAnsi="Times New Roman" w:eastAsia="Times New Roman" w:cs="Times New Roman"/>
                <w:spacing w:val="-2"/>
                <w:kern w:val="2"/>
                <w:sz w:val="21"/>
                <w:szCs w:val="21"/>
                <w:lang w:val="en-US" w:eastAsia="en-US" w:bidi="ar-SA"/>
              </w:rPr>
              <w:t>GB3095-2012</w:t>
            </w:r>
            <w:r>
              <w:rPr>
                <w:rFonts w:hint="default" w:ascii="Times New Roman" w:hAnsi="Times New Roman" w:eastAsia="宋体" w:cs="Times New Roman"/>
                <w:spacing w:val="-2"/>
                <w:kern w:val="2"/>
                <w:sz w:val="21"/>
                <w:szCs w:val="21"/>
                <w:lang w:val="en-US" w:eastAsia="en-US" w:bidi="ar-SA"/>
              </w:rPr>
              <w:t>）</w:t>
            </w:r>
            <w:r>
              <w:rPr>
                <w:rFonts w:hint="default" w:ascii="Times New Roman" w:hAnsi="Times New Roman" w:eastAsia="宋体" w:cs="Times New Roman"/>
                <w:spacing w:val="16"/>
                <w:kern w:val="2"/>
                <w:sz w:val="21"/>
                <w:szCs w:val="21"/>
                <w:lang w:val="en-US" w:eastAsia="en-US" w:bidi="ar-SA"/>
              </w:rPr>
              <w:t xml:space="preserve"> </w:t>
            </w:r>
            <w:r>
              <w:rPr>
                <w:rFonts w:hint="default" w:ascii="Times New Roman" w:hAnsi="Times New Roman" w:eastAsia="宋体" w:cs="Times New Roman"/>
                <w:spacing w:val="1"/>
                <w:kern w:val="2"/>
                <w:sz w:val="21"/>
                <w:szCs w:val="21"/>
                <w:lang w:val="en-US" w:eastAsia="en-US" w:bidi="ar-SA"/>
              </w:rPr>
              <w:t>中的二级标准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24</w:t>
            </w:r>
            <w:r>
              <w:rPr>
                <w:rFonts w:hint="default" w:ascii="Times New Roman" w:hAnsi="Times New Roman" w:eastAsia="宋体" w:cs="Times New Roman"/>
                <w:spacing w:val="4"/>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150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1</w:t>
            </w:r>
            <w:r>
              <w:rPr>
                <w:rFonts w:hint="default" w:ascii="Times New Roman" w:hAnsi="Times New Roman" w:eastAsia="宋体" w:cs="Times New Roman"/>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1"/>
                <w:kern w:val="2"/>
                <w:sz w:val="21"/>
                <w:szCs w:val="21"/>
                <w:lang w:val="en-US" w:eastAsia="en-US" w:bidi="ar-SA"/>
              </w:rPr>
              <w:t>500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NO</w:t>
            </w:r>
            <w:r>
              <w:rPr>
                <w:rFonts w:hint="default" w:ascii="Times New Roman" w:hAnsi="Times New Roman" w:eastAsia="Times New Roman" w:cs="Times New Roman"/>
                <w:spacing w:val="4"/>
                <w:kern w:val="2"/>
                <w:position w:val="-2"/>
                <w:sz w:val="21"/>
                <w:szCs w:val="21"/>
                <w:vertAlign w:val="subscript"/>
                <w:lang w:val="en-US" w:eastAsia="en-US" w:bidi="ar-SA"/>
              </w:rPr>
              <w:t>2</w:t>
            </w:r>
            <w:r>
              <w:rPr>
                <w:rFonts w:hint="eastAsia" w:ascii="Times New Roman" w:hAnsi="Times New Roman" w:eastAsia="宋体" w:cs="Times New Roman"/>
                <w:spacing w:val="4"/>
                <w:kern w:val="2"/>
                <w:sz w:val="21"/>
                <w:szCs w:val="21"/>
                <w:lang w:val="en-US" w:eastAsia="zh-CN" w:bidi="ar-SA"/>
              </w:rPr>
              <w:t>，</w:t>
            </w:r>
            <w:r>
              <w:rPr>
                <w:rFonts w:hint="default" w:ascii="Times New Roman" w:hAnsi="Times New Roman" w:eastAsia="Times New Roman" w:cs="Times New Roman"/>
                <w:spacing w:val="4"/>
                <w:kern w:val="2"/>
                <w:sz w:val="21"/>
                <w:szCs w:val="21"/>
                <w:lang w:val="en-US" w:eastAsia="en-US" w:bidi="ar-SA"/>
              </w:rPr>
              <w:t>μg/m</w:t>
            </w:r>
            <w:r>
              <w:rPr>
                <w:rFonts w:hint="default" w:ascii="Times New Roman" w:hAnsi="Times New Roman" w:eastAsia="宋体" w:cs="Times New Roman"/>
                <w:spacing w:val="4"/>
                <w:kern w:val="2"/>
                <w:sz w:val="21"/>
                <w:szCs w:val="21"/>
                <w:vertAlign w:val="superscript"/>
                <w:lang w:val="en-US" w:eastAsia="zh-CN" w:bidi="ar-SA"/>
              </w:rPr>
              <w:t>3</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年平均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40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24</w:t>
            </w:r>
            <w:r>
              <w:rPr>
                <w:rFonts w:hint="default" w:ascii="Times New Roman" w:hAnsi="Times New Roman" w:eastAsia="宋体" w:cs="Times New Roman"/>
                <w:spacing w:val="4"/>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2"/>
                <w:kern w:val="2"/>
                <w:sz w:val="21"/>
                <w:szCs w:val="21"/>
                <w:lang w:val="en-US" w:eastAsia="en-US" w:bidi="ar-SA"/>
              </w:rPr>
              <w:t>80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1</w:t>
            </w:r>
            <w:r>
              <w:rPr>
                <w:rFonts w:hint="default" w:ascii="Times New Roman" w:hAnsi="Times New Roman" w:eastAsia="宋体" w:cs="Times New Roman"/>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200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eastAsia" w:ascii="Times New Roman" w:hAnsi="Times New Roman" w:eastAsia="宋体" w:cs="Times New Roman"/>
                <w:spacing w:val="7"/>
                <w:kern w:val="2"/>
                <w:sz w:val="21"/>
                <w:szCs w:val="21"/>
                <w:lang w:val="en-US" w:eastAsia="zh-CN" w:bidi="ar-SA"/>
              </w:rPr>
              <w:t>O</w:t>
            </w:r>
            <w:r>
              <w:rPr>
                <w:rFonts w:hint="eastAsia" w:ascii="Times New Roman" w:hAnsi="Times New Roman" w:eastAsia="宋体" w:cs="Times New Roman"/>
                <w:spacing w:val="7"/>
                <w:kern w:val="2"/>
                <w:sz w:val="21"/>
                <w:szCs w:val="21"/>
                <w:vertAlign w:val="subscript"/>
                <w:lang w:val="en-US" w:eastAsia="zh-CN" w:bidi="ar-SA"/>
              </w:rPr>
              <w:t>3</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Times New Roman" w:cs="Times New Roman"/>
                <w:kern w:val="2"/>
                <w:sz w:val="21"/>
                <w:szCs w:val="21"/>
                <w:lang w:val="en-US" w:eastAsia="en-US" w:bidi="ar-SA"/>
              </w:rPr>
              <w:t>μg/m</w:t>
            </w:r>
            <w:r>
              <w:rPr>
                <w:rFonts w:hint="default" w:ascii="Times New Roman" w:hAnsi="Times New Roman" w:eastAsia="宋体" w:cs="Times New Roman"/>
                <w:spacing w:val="4"/>
                <w:kern w:val="2"/>
                <w:sz w:val="21"/>
                <w:szCs w:val="21"/>
                <w:vertAlign w:val="superscript"/>
                <w:lang w:val="en-US" w:eastAsia="zh-CN" w:bidi="ar-SA"/>
              </w:rPr>
              <w:t>3</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spacing w:val="6"/>
                <w:kern w:val="2"/>
                <w:sz w:val="21"/>
                <w:szCs w:val="21"/>
                <w:lang w:eastAsia="zh-CN"/>
              </w:rPr>
              <w:t>日最大</w:t>
            </w:r>
            <w:r>
              <w:rPr>
                <w:rFonts w:hint="eastAsia" w:ascii="Times New Roman" w:hAnsi="Times New Roman" w:eastAsia="宋体" w:cs="Times New Roman"/>
                <w:snapToGrid/>
                <w:spacing w:val="6"/>
                <w:kern w:val="2"/>
                <w:sz w:val="21"/>
                <w:szCs w:val="21"/>
                <w:lang w:val="en-US" w:eastAsia="zh-CN"/>
              </w:rPr>
              <w:t>8小时</w:t>
            </w:r>
            <w:r>
              <w:rPr>
                <w:rFonts w:hint="default" w:ascii="Times New Roman" w:hAnsi="Times New Roman" w:eastAsia="宋体" w:cs="Times New Roman"/>
                <w:snapToGrid/>
                <w:spacing w:val="6"/>
                <w:kern w:val="2"/>
                <w:sz w:val="21"/>
                <w:szCs w:val="21"/>
                <w:lang w:eastAsia="zh-CN"/>
              </w:rPr>
              <w:t>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eastAsia" w:ascii="Times New Roman" w:hAnsi="Times New Roman" w:eastAsia="宋体" w:cs="Times New Roman"/>
                <w:spacing w:val="3"/>
                <w:kern w:val="2"/>
                <w:sz w:val="21"/>
                <w:szCs w:val="21"/>
                <w:lang w:val="en-US" w:eastAsia="zh-CN" w:bidi="ar-SA"/>
              </w:rPr>
              <w:t>16</w:t>
            </w:r>
            <w:r>
              <w:rPr>
                <w:rFonts w:hint="default" w:ascii="Times New Roman" w:hAnsi="Times New Roman" w:eastAsia="Times New Roman" w:cs="Times New Roman"/>
                <w:spacing w:val="3"/>
                <w:kern w:val="2"/>
                <w:sz w:val="21"/>
                <w:szCs w:val="21"/>
                <w:lang w:val="en-US" w:eastAsia="en-US" w:bidi="ar-SA"/>
              </w:rPr>
              <w:t>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eastAsia" w:ascii="Times New Roman" w:hAnsi="Times New Roman" w:eastAsia="宋体" w:cs="Times New Roman"/>
                <w:spacing w:val="4"/>
                <w:kern w:val="2"/>
                <w:sz w:val="21"/>
                <w:szCs w:val="21"/>
                <w:lang w:val="en-US" w:eastAsia="zh-CN" w:bidi="ar-SA"/>
              </w:rPr>
              <w:t>1</w:t>
            </w:r>
            <w:r>
              <w:rPr>
                <w:rFonts w:hint="default" w:ascii="Times New Roman" w:hAnsi="Times New Roman" w:eastAsia="宋体" w:cs="Times New Roman"/>
                <w:spacing w:val="4"/>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eastAsia" w:ascii="Times New Roman" w:hAnsi="Times New Roman" w:eastAsia="宋体" w:cs="Times New Roman"/>
                <w:spacing w:val="2"/>
                <w:kern w:val="2"/>
                <w:sz w:val="21"/>
                <w:szCs w:val="21"/>
                <w:lang w:val="en-US" w:eastAsia="zh-CN" w:bidi="ar-SA"/>
              </w:rPr>
              <w:t>2</w:t>
            </w:r>
            <w:r>
              <w:rPr>
                <w:rFonts w:hint="default" w:ascii="Times New Roman" w:hAnsi="Times New Roman" w:eastAsia="Times New Roman" w:cs="Times New Roman"/>
                <w:spacing w:val="2"/>
                <w:kern w:val="2"/>
                <w:sz w:val="21"/>
                <w:szCs w:val="21"/>
                <w:lang w:val="en-US" w:eastAsia="en-US" w:bidi="ar-SA"/>
              </w:rPr>
              <w:t>00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PM</w:t>
            </w:r>
            <w:r>
              <w:rPr>
                <w:rFonts w:hint="default" w:ascii="Times New Roman" w:hAnsi="Times New Roman" w:eastAsia="Times New Roman" w:cs="Times New Roman"/>
                <w:spacing w:val="1"/>
                <w:kern w:val="2"/>
                <w:position w:val="-2"/>
                <w:sz w:val="21"/>
                <w:szCs w:val="21"/>
                <w:vertAlign w:val="subscript"/>
                <w:lang w:val="en-US" w:eastAsia="en-US" w:bidi="ar-SA"/>
              </w:rPr>
              <w:t>10</w:t>
            </w:r>
            <w:r>
              <w:rPr>
                <w:rFonts w:hint="eastAsia" w:ascii="Times New Roman" w:hAnsi="Times New Roman" w:eastAsia="宋体" w:cs="Times New Roman"/>
                <w:spacing w:val="1"/>
                <w:kern w:val="2"/>
                <w:sz w:val="21"/>
                <w:szCs w:val="21"/>
                <w:lang w:val="en-US" w:eastAsia="zh-CN" w:bidi="ar-SA"/>
              </w:rPr>
              <w:t>，</w:t>
            </w:r>
            <w:r>
              <w:rPr>
                <w:rFonts w:hint="default" w:ascii="Times New Roman" w:hAnsi="Times New Roman" w:eastAsia="Times New Roman" w:cs="Times New Roman"/>
                <w:spacing w:val="1"/>
                <w:kern w:val="2"/>
                <w:sz w:val="21"/>
                <w:szCs w:val="21"/>
                <w:lang w:val="en-US" w:eastAsia="en-US" w:bidi="ar-SA"/>
              </w:rPr>
              <w:t>μg/m</w:t>
            </w:r>
            <w:r>
              <w:rPr>
                <w:rFonts w:hint="default" w:ascii="Times New Roman" w:hAnsi="Times New Roman" w:eastAsia="宋体" w:cs="Times New Roman"/>
                <w:spacing w:val="4"/>
                <w:kern w:val="2"/>
                <w:sz w:val="21"/>
                <w:szCs w:val="21"/>
                <w:vertAlign w:val="superscript"/>
                <w:lang w:val="en-US" w:eastAsia="zh-CN" w:bidi="ar-SA"/>
              </w:rPr>
              <w:t>3</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年平均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1"/>
                <w:kern w:val="2"/>
                <w:sz w:val="21"/>
                <w:szCs w:val="21"/>
                <w:lang w:val="en-US" w:eastAsia="en-US" w:bidi="ar-SA"/>
              </w:rPr>
              <w:t>70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24</w:t>
            </w:r>
            <w:r>
              <w:rPr>
                <w:rFonts w:hint="default" w:ascii="Times New Roman" w:hAnsi="Times New Roman" w:eastAsia="宋体" w:cs="Times New Roman"/>
                <w:spacing w:val="4"/>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150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PM</w:t>
            </w:r>
            <w:r>
              <w:rPr>
                <w:rFonts w:hint="default" w:ascii="Times New Roman" w:hAnsi="Times New Roman" w:eastAsia="Times New Roman" w:cs="Times New Roman"/>
                <w:spacing w:val="1"/>
                <w:kern w:val="2"/>
                <w:position w:val="-1"/>
                <w:sz w:val="21"/>
                <w:szCs w:val="21"/>
                <w:vertAlign w:val="subscript"/>
                <w:lang w:val="en-US" w:eastAsia="en-US" w:bidi="ar-SA"/>
              </w:rPr>
              <w:t>2.5</w:t>
            </w:r>
            <w:r>
              <w:rPr>
                <w:rFonts w:hint="eastAsia" w:ascii="Times New Roman" w:hAnsi="Times New Roman" w:eastAsia="宋体" w:cs="Times New Roman"/>
                <w:spacing w:val="1"/>
                <w:kern w:val="2"/>
                <w:sz w:val="21"/>
                <w:szCs w:val="21"/>
                <w:lang w:val="en-US" w:eastAsia="zh-CN" w:bidi="ar-SA"/>
              </w:rPr>
              <w:t>，</w:t>
            </w:r>
            <w:r>
              <w:rPr>
                <w:rFonts w:hint="default" w:ascii="Times New Roman" w:hAnsi="Times New Roman" w:eastAsia="Times New Roman" w:cs="Times New Roman"/>
                <w:spacing w:val="1"/>
                <w:kern w:val="2"/>
                <w:sz w:val="21"/>
                <w:szCs w:val="21"/>
                <w:lang w:val="en-US" w:eastAsia="en-US" w:bidi="ar-SA"/>
              </w:rPr>
              <w:t>μg/m</w:t>
            </w:r>
            <w:r>
              <w:rPr>
                <w:rFonts w:hint="eastAsia" w:ascii="Times New Roman" w:hAnsi="Times New Roman" w:eastAsia="宋体" w:cs="Times New Roman"/>
                <w:spacing w:val="1"/>
                <w:kern w:val="2"/>
                <w:sz w:val="21"/>
                <w:szCs w:val="21"/>
                <w:vertAlign w:val="superscript"/>
                <w:lang w:val="en-US" w:eastAsia="zh-CN" w:bidi="ar-SA"/>
              </w:rPr>
              <w:t>3</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年平均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35</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24</w:t>
            </w:r>
            <w:r>
              <w:rPr>
                <w:rFonts w:hint="default" w:ascii="Times New Roman" w:hAnsi="Times New Roman" w:eastAsia="宋体" w:cs="Times New Roman"/>
                <w:spacing w:val="4"/>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1"/>
                <w:kern w:val="2"/>
                <w:sz w:val="21"/>
                <w:szCs w:val="21"/>
                <w:lang w:val="en-US" w:eastAsia="en-US" w:bidi="ar-SA"/>
              </w:rPr>
              <w:t>75</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eastAsia" w:ascii="Times New Roman" w:hAnsi="Times New Roman" w:eastAsia="宋体" w:cs="Times New Roman"/>
                <w:spacing w:val="7"/>
                <w:kern w:val="2"/>
                <w:sz w:val="21"/>
                <w:szCs w:val="21"/>
                <w:highlight w:val="none"/>
                <w:lang w:val="en-US" w:eastAsia="zh-CN" w:bidi="ar-SA"/>
              </w:rPr>
              <w:t>CO</w:t>
            </w:r>
            <w:r>
              <w:rPr>
                <w:rFonts w:hint="eastAsia" w:ascii="Times New Roman" w:hAnsi="Times New Roman" w:eastAsia="宋体" w:cs="Times New Roman"/>
                <w:spacing w:val="2"/>
                <w:kern w:val="2"/>
                <w:sz w:val="21"/>
                <w:szCs w:val="21"/>
                <w:highlight w:val="none"/>
                <w:lang w:val="en-US" w:eastAsia="zh-CN" w:bidi="ar-SA"/>
              </w:rPr>
              <w:t>，m</w:t>
            </w:r>
            <w:r>
              <w:rPr>
                <w:rFonts w:hint="default" w:ascii="Times New Roman" w:hAnsi="Times New Roman" w:eastAsia="Times New Roman" w:cs="Times New Roman"/>
                <w:spacing w:val="2"/>
                <w:kern w:val="2"/>
                <w:sz w:val="21"/>
                <w:szCs w:val="21"/>
                <w:highlight w:val="none"/>
                <w:lang w:val="en-US" w:eastAsia="en-US" w:bidi="ar-SA"/>
              </w:rPr>
              <w:t>g/m</w:t>
            </w:r>
            <w:r>
              <w:rPr>
                <w:rFonts w:hint="eastAsia" w:ascii="Times New Roman" w:hAnsi="Times New Roman" w:eastAsia="宋体" w:cs="Times New Roman"/>
                <w:spacing w:val="2"/>
                <w:kern w:val="2"/>
                <w:sz w:val="21"/>
                <w:szCs w:val="21"/>
                <w:highlight w:val="none"/>
                <w:vertAlign w:val="superscript"/>
                <w:lang w:val="en-US" w:eastAsia="zh-CN" w:bidi="ar-SA"/>
              </w:rPr>
              <w:t>3</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24</w:t>
            </w:r>
            <w:r>
              <w:rPr>
                <w:rFonts w:hint="default" w:ascii="Times New Roman" w:hAnsi="Times New Roman" w:eastAsia="宋体" w:cs="Times New Roman"/>
                <w:spacing w:val="4"/>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3"/>
                <w:kern w:val="2"/>
                <w:sz w:val="21"/>
                <w:szCs w:val="21"/>
                <w:lang w:val="en-US" w:eastAsia="zh-CN" w:bidi="ar-SA"/>
              </w:rPr>
              <w:t>4</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1</w:t>
            </w:r>
            <w:r>
              <w:rPr>
                <w:rFonts w:hint="default" w:ascii="Times New Roman" w:hAnsi="Times New Roman" w:eastAsia="宋体" w:cs="Times New Roman"/>
                <w:kern w:val="2"/>
                <w:sz w:val="21"/>
                <w:szCs w:val="21"/>
                <w:lang w:val="en-US" w:eastAsia="en-US" w:bidi="ar-SA"/>
              </w:rPr>
              <w:t>小时平均</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3"/>
                <w:kern w:val="2"/>
                <w:sz w:val="21"/>
                <w:szCs w:val="21"/>
                <w:lang w:val="en-US" w:eastAsia="zh-CN" w:bidi="ar-SA"/>
              </w:rPr>
              <w:t>10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kern w:val="2"/>
                <w:sz w:val="21"/>
                <w:szCs w:val="21"/>
                <w:lang w:val="en-US" w:eastAsia="en-US" w:bidi="ar-SA"/>
              </w:rPr>
              <w:t>NH</w:t>
            </w:r>
            <w:r>
              <w:rPr>
                <w:rFonts w:hint="eastAsia" w:ascii="Times New Roman" w:hAnsi="Times New Roman" w:eastAsia="宋体" w:cs="Times New Roman"/>
                <w:kern w:val="2"/>
                <w:sz w:val="21"/>
                <w:szCs w:val="21"/>
                <w:vertAlign w:val="subscript"/>
                <w:lang w:val="en-US" w:eastAsia="zh-CN" w:bidi="ar-SA"/>
              </w:rPr>
              <w:t>3</w:t>
            </w:r>
            <w:r>
              <w:rPr>
                <w:rFonts w:hint="default" w:ascii="Times New Roman" w:hAnsi="Times New Roman" w:eastAsia="宋体" w:cs="Times New Roman"/>
                <w:spacing w:val="6"/>
                <w:kern w:val="2"/>
                <w:sz w:val="21"/>
                <w:szCs w:val="21"/>
                <w:lang w:val="en-US" w:eastAsia="en-US" w:bidi="ar-SA"/>
              </w:rPr>
              <w:t>，</w:t>
            </w:r>
            <w:r>
              <w:rPr>
                <w:rFonts w:hint="default" w:ascii="Times New Roman" w:hAnsi="Times New Roman" w:eastAsia="Times New Roman" w:cs="Times New Roman"/>
                <w:spacing w:val="2"/>
                <w:kern w:val="2"/>
                <w:sz w:val="21"/>
                <w:szCs w:val="21"/>
                <w:highlight w:val="none"/>
                <w:lang w:val="en-US" w:eastAsia="en-US" w:bidi="ar-SA"/>
              </w:rPr>
              <w:t>μ</w:t>
            </w:r>
            <w:r>
              <w:rPr>
                <w:rFonts w:hint="default" w:ascii="Times New Roman" w:hAnsi="Times New Roman" w:eastAsia="Times New Roman" w:cs="Times New Roman"/>
                <w:kern w:val="2"/>
                <w:sz w:val="21"/>
                <w:szCs w:val="21"/>
                <w:lang w:val="en-US" w:eastAsia="en-US" w:bidi="ar-SA"/>
              </w:rPr>
              <w:t>g</w:t>
            </w:r>
            <w:r>
              <w:rPr>
                <w:rFonts w:hint="default" w:ascii="Times New Roman" w:hAnsi="Times New Roman" w:eastAsia="Times New Roman" w:cs="Times New Roman"/>
                <w:spacing w:val="6"/>
                <w:kern w:val="2"/>
                <w:sz w:val="21"/>
                <w:szCs w:val="21"/>
                <w:lang w:val="en-US" w:eastAsia="en-US" w:bidi="ar-SA"/>
              </w:rPr>
              <w:t>/m</w:t>
            </w:r>
            <w:r>
              <w:rPr>
                <w:rFonts w:hint="eastAsia" w:ascii="Times New Roman" w:hAnsi="Times New Roman" w:eastAsia="宋体" w:cs="Times New Roman"/>
                <w:spacing w:val="6"/>
                <w:kern w:val="2"/>
                <w:sz w:val="21"/>
                <w:szCs w:val="21"/>
                <w:vertAlign w:val="superscript"/>
                <w:lang w:val="en-US" w:eastAsia="zh-CN" w:bidi="ar-SA"/>
              </w:rPr>
              <w:t>3</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5"/>
                <w:kern w:val="2"/>
                <w:sz w:val="21"/>
                <w:szCs w:val="21"/>
                <w:lang w:eastAsia="zh-CN"/>
              </w:rPr>
              <w:t>一次值</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1"/>
                <w:kern w:val="2"/>
                <w:sz w:val="21"/>
                <w:szCs w:val="21"/>
                <w:lang w:val="en-US" w:eastAsia="zh-CN" w:bidi="ar-SA"/>
              </w:rPr>
              <w:t>200</w:t>
            </w:r>
          </w:p>
        </w:tc>
        <w:tc>
          <w:tcPr>
            <w:tcW w:w="35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宋体" w:cs="Times New Roman"/>
                <w:spacing w:val="8"/>
                <w:kern w:val="2"/>
                <w:sz w:val="21"/>
                <w:szCs w:val="21"/>
                <w:lang w:val="en-US" w:eastAsia="en-US" w:bidi="ar-SA"/>
              </w:rPr>
              <w:t>《环境影响评价技术导则大气环境》</w:t>
            </w:r>
            <w:r>
              <w:rPr>
                <w:rFonts w:hint="default" w:ascii="Times New Roman" w:hAnsi="Times New Roman" w:eastAsia="宋体" w:cs="Times New Roman"/>
                <w:spacing w:val="2"/>
                <w:kern w:val="2"/>
                <w:sz w:val="21"/>
                <w:szCs w:val="21"/>
                <w:lang w:val="en-US" w:eastAsia="en-US" w:bidi="ar-SA"/>
              </w:rPr>
              <w:t xml:space="preserve"> </w:t>
            </w:r>
            <w:r>
              <w:rPr>
                <w:rFonts w:hint="default" w:ascii="Times New Roman" w:hAnsi="Times New Roman" w:eastAsia="宋体" w:cs="Times New Roman"/>
                <w:spacing w:val="5"/>
                <w:kern w:val="2"/>
                <w:sz w:val="21"/>
                <w:szCs w:val="21"/>
                <w:lang w:val="en-US" w:eastAsia="en-US" w:bidi="ar-SA"/>
              </w:rPr>
              <w:t>（</w:t>
            </w:r>
            <w:r>
              <w:rPr>
                <w:rFonts w:hint="default" w:ascii="Times New Roman" w:hAnsi="Times New Roman" w:eastAsia="Times New Roman" w:cs="Times New Roman"/>
                <w:kern w:val="2"/>
                <w:sz w:val="21"/>
                <w:szCs w:val="21"/>
                <w:lang w:val="en-US" w:eastAsia="en-US" w:bidi="ar-SA"/>
              </w:rPr>
              <w:t>HJ</w:t>
            </w:r>
            <w:r>
              <w:rPr>
                <w:rFonts w:hint="default" w:ascii="Times New Roman" w:hAnsi="Times New Roman" w:eastAsia="Times New Roman" w:cs="Times New Roman"/>
                <w:spacing w:val="5"/>
                <w:kern w:val="2"/>
                <w:sz w:val="21"/>
                <w:szCs w:val="21"/>
                <w:lang w:val="en-US" w:eastAsia="en-US" w:bidi="ar-SA"/>
              </w:rPr>
              <w:t>2.2-2018</w:t>
            </w:r>
            <w:r>
              <w:rPr>
                <w:rFonts w:hint="default" w:ascii="Times New Roman" w:hAnsi="Times New Roman" w:eastAsia="宋体" w:cs="Times New Roman"/>
                <w:spacing w:val="5"/>
                <w:kern w:val="2"/>
                <w:sz w:val="21"/>
                <w:szCs w:val="21"/>
                <w:lang w:val="en-US" w:eastAsia="en-US" w:bidi="ar-SA"/>
              </w:rPr>
              <w:t>）附录</w:t>
            </w:r>
            <w:r>
              <w:rPr>
                <w:rFonts w:hint="default" w:ascii="Times New Roman" w:hAnsi="Times New Roman" w:eastAsia="宋体" w:cs="Times New Roman"/>
                <w:spacing w:val="-40"/>
                <w:kern w:val="2"/>
                <w:sz w:val="21"/>
                <w:szCs w:val="21"/>
                <w:lang w:val="en-US" w:eastAsia="en-US" w:bidi="ar-SA"/>
              </w:rPr>
              <w:t xml:space="preserve"> </w:t>
            </w:r>
            <w:r>
              <w:rPr>
                <w:rFonts w:hint="default" w:ascii="Times New Roman" w:hAnsi="Times New Roman" w:eastAsia="Times New Roman" w:cs="Times New Roman"/>
                <w:spacing w:val="5"/>
                <w:kern w:val="2"/>
                <w:sz w:val="21"/>
                <w:szCs w:val="21"/>
                <w:lang w:val="en-US" w:eastAsia="en-US" w:bidi="ar-SA"/>
              </w:rPr>
              <w:t>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2"/>
                <w:kern w:val="2"/>
                <w:sz w:val="21"/>
                <w:szCs w:val="21"/>
                <w:lang w:val="en-US" w:eastAsia="en-US" w:bidi="ar-SA"/>
              </w:rPr>
              <w:t>H</w:t>
            </w:r>
            <w:r>
              <w:rPr>
                <w:rFonts w:hint="eastAsia" w:ascii="Times New Roman" w:hAnsi="Times New Roman" w:eastAsia="宋体" w:cs="Times New Roman"/>
                <w:spacing w:val="2"/>
                <w:kern w:val="2"/>
                <w:sz w:val="21"/>
                <w:szCs w:val="21"/>
                <w:vertAlign w:val="subscript"/>
                <w:lang w:val="en-US" w:eastAsia="zh-CN" w:bidi="ar-SA"/>
              </w:rPr>
              <w:t>2</w:t>
            </w:r>
            <w:r>
              <w:rPr>
                <w:rFonts w:hint="default" w:ascii="Times New Roman" w:hAnsi="Times New Roman" w:eastAsia="Times New Roman" w:cs="Times New Roman"/>
                <w:spacing w:val="2"/>
                <w:kern w:val="2"/>
                <w:sz w:val="21"/>
                <w:szCs w:val="21"/>
                <w:lang w:val="en-US" w:eastAsia="en-US" w:bidi="ar-SA"/>
              </w:rPr>
              <w:t>S</w:t>
            </w:r>
            <w:r>
              <w:rPr>
                <w:rFonts w:hint="default" w:ascii="Times New Roman" w:hAnsi="Times New Roman" w:eastAsia="宋体" w:cs="Times New Roman"/>
                <w:spacing w:val="2"/>
                <w:kern w:val="2"/>
                <w:sz w:val="21"/>
                <w:szCs w:val="21"/>
                <w:lang w:val="en-US" w:eastAsia="en-US" w:bidi="ar-SA"/>
              </w:rPr>
              <w:t>，</w:t>
            </w:r>
            <w:r>
              <w:rPr>
                <w:rFonts w:hint="default" w:ascii="Times New Roman" w:hAnsi="Times New Roman" w:eastAsia="Times New Roman" w:cs="Times New Roman"/>
                <w:spacing w:val="2"/>
                <w:kern w:val="2"/>
                <w:sz w:val="21"/>
                <w:szCs w:val="21"/>
                <w:highlight w:val="none"/>
                <w:lang w:val="en-US" w:eastAsia="en-US" w:bidi="ar-SA"/>
              </w:rPr>
              <w:t>μ</w:t>
            </w:r>
            <w:r>
              <w:rPr>
                <w:rFonts w:hint="default" w:ascii="Times New Roman" w:hAnsi="Times New Roman" w:eastAsia="Times New Roman" w:cs="Times New Roman"/>
                <w:kern w:val="2"/>
                <w:sz w:val="21"/>
                <w:szCs w:val="21"/>
                <w:lang w:val="en-US" w:eastAsia="en-US" w:bidi="ar-SA"/>
              </w:rPr>
              <w:t>g</w:t>
            </w:r>
            <w:r>
              <w:rPr>
                <w:rFonts w:hint="default" w:ascii="Times New Roman" w:hAnsi="Times New Roman" w:eastAsia="Times New Roman" w:cs="Times New Roman"/>
                <w:spacing w:val="2"/>
                <w:kern w:val="2"/>
                <w:sz w:val="21"/>
                <w:szCs w:val="21"/>
                <w:lang w:val="en-US" w:eastAsia="en-US" w:bidi="ar-SA"/>
              </w:rPr>
              <w:t>/m</w:t>
            </w:r>
            <w:r>
              <w:rPr>
                <w:rFonts w:hint="eastAsia" w:ascii="Times New Roman" w:hAnsi="Times New Roman" w:eastAsia="宋体" w:cs="Times New Roman"/>
                <w:spacing w:val="2"/>
                <w:kern w:val="2"/>
                <w:sz w:val="21"/>
                <w:szCs w:val="21"/>
                <w:vertAlign w:val="superscript"/>
                <w:lang w:val="en-US" w:eastAsia="zh-CN" w:bidi="ar-SA"/>
              </w:rPr>
              <w:t>3</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5"/>
                <w:kern w:val="2"/>
                <w:sz w:val="21"/>
                <w:szCs w:val="21"/>
                <w:lang w:eastAsia="zh-CN"/>
              </w:rPr>
              <w:t>一次值</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2"/>
                <w:kern w:val="2"/>
                <w:sz w:val="21"/>
                <w:szCs w:val="21"/>
                <w:lang w:val="en-US" w:eastAsia="zh-CN" w:bidi="ar-SA"/>
              </w:rPr>
              <w:t>10</w:t>
            </w:r>
          </w:p>
        </w:tc>
        <w:tc>
          <w:tcPr>
            <w:tcW w:w="3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pacing w:val="2"/>
                <w:kern w:val="2"/>
                <w:sz w:val="21"/>
                <w:szCs w:val="21"/>
                <w:lang w:val="en-US" w:eastAsia="zh-CN" w:bidi="ar-SA"/>
              </w:rPr>
            </w:pPr>
            <w:r>
              <w:rPr>
                <w:rFonts w:hint="eastAsia" w:ascii="Times New Roman" w:hAnsi="Times New Roman" w:eastAsia="宋体" w:cs="Times New Roman"/>
                <w:spacing w:val="2"/>
                <w:kern w:val="2"/>
                <w:sz w:val="21"/>
                <w:szCs w:val="21"/>
                <w:lang w:val="en-US" w:eastAsia="zh-CN" w:bidi="ar-SA"/>
              </w:rPr>
              <w:t>臭气浓度</w:t>
            </w:r>
          </w:p>
        </w:tc>
        <w:tc>
          <w:tcPr>
            <w:tcW w:w="2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spacing w:val="5"/>
                <w:kern w:val="2"/>
                <w:sz w:val="21"/>
                <w:szCs w:val="21"/>
                <w:lang w:eastAsia="zh-CN"/>
              </w:rPr>
            </w:pPr>
            <w:r>
              <w:rPr>
                <w:rFonts w:hint="default" w:ascii="Times New Roman" w:hAnsi="Times New Roman" w:eastAsia="宋体" w:cs="Times New Roman"/>
                <w:snapToGrid/>
                <w:spacing w:val="5"/>
                <w:kern w:val="2"/>
                <w:sz w:val="21"/>
                <w:szCs w:val="21"/>
                <w:lang w:eastAsia="zh-CN"/>
              </w:rPr>
              <w:t>一次值</w:t>
            </w:r>
          </w:p>
        </w:tc>
        <w:tc>
          <w:tcPr>
            <w:tcW w:w="1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eastAsia" w:ascii="Times New Roman" w:hAnsi="Times New Roman" w:eastAsia="宋体" w:cs="Times New Roman"/>
                <w:spacing w:val="2"/>
                <w:kern w:val="2"/>
                <w:sz w:val="21"/>
                <w:szCs w:val="21"/>
                <w:lang w:val="en-US" w:eastAsia="zh-CN" w:bidi="ar-SA"/>
              </w:rPr>
              <w:t>20（无量纲）</w:t>
            </w:r>
          </w:p>
        </w:tc>
        <w:tc>
          <w:tcPr>
            <w:tcW w:w="35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《工业企业设计卫生标准》</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（TJ36-79</w:t>
            </w:r>
            <w:r>
              <w:rPr>
                <w:rFonts w:hint="eastAsia" w:ascii="Times New Roman" w:hAnsi="Times New Roman" w:eastAsia="宋体" w:cs="Times New Roman"/>
                <w:snapToGrid/>
                <w:kern w:val="2"/>
                <w:sz w:val="21"/>
                <w:szCs w:val="21"/>
                <w:lang w:eastAsia="zh-CN"/>
              </w:rPr>
              <w:t>）</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w:t>
      </w:r>
      <w:r>
        <w:rPr>
          <w:rFonts w:ascii="Times New Roman" w:hAnsi="Times New Roman" w:eastAsia="宋体" w:cs="Times New Roman"/>
          <w:snapToGrid/>
          <w:kern w:val="2"/>
          <w:sz w:val="24"/>
          <w:szCs w:val="24"/>
          <w:lang w:eastAsia="zh-CN"/>
        </w:rPr>
        <w:t>2</w:t>
      </w:r>
      <w:r>
        <w:rPr>
          <w:rFonts w:hint="eastAsia" w:ascii="Times New Roman" w:hAnsi="Times New Roman" w:eastAsia="宋体" w:cs="Times New Roman"/>
          <w:snapToGrid/>
          <w:kern w:val="2"/>
          <w:sz w:val="24"/>
          <w:szCs w:val="24"/>
          <w:lang w:eastAsia="zh-CN"/>
        </w:rPr>
        <w:t>）地表水质量标准</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u w:val="none"/>
          <w:lang w:eastAsia="zh-CN"/>
        </w:rPr>
      </w:pPr>
      <w:r>
        <w:rPr>
          <w:rFonts w:hint="eastAsia" w:ascii="Times New Roman" w:hAnsi="Times New Roman" w:eastAsia="宋体" w:cs="Times New Roman"/>
          <w:snapToGrid/>
          <w:kern w:val="2"/>
          <w:sz w:val="24"/>
          <w:szCs w:val="24"/>
          <w:u w:val="none"/>
          <w:lang w:eastAsia="zh-CN"/>
        </w:rPr>
        <w:t>本项目所在区域地表水体主要为灰河和</w:t>
      </w:r>
      <w:r>
        <w:rPr>
          <w:rFonts w:hint="eastAsia" w:ascii="Times New Roman" w:hAnsi="Times New Roman" w:eastAsia="宋体" w:cs="Times New Roman"/>
          <w:snapToGrid/>
          <w:kern w:val="2"/>
          <w:sz w:val="24"/>
          <w:szCs w:val="24"/>
          <w:highlight w:val="none"/>
          <w:u w:val="none"/>
          <w:lang w:eastAsia="zh-CN"/>
        </w:rPr>
        <w:t>沙河</w:t>
      </w:r>
      <w:r>
        <w:rPr>
          <w:rFonts w:hint="eastAsia" w:ascii="Times New Roman" w:hAnsi="Times New Roman" w:eastAsia="宋体" w:cs="Times New Roman"/>
          <w:snapToGrid/>
          <w:kern w:val="2"/>
          <w:sz w:val="24"/>
          <w:szCs w:val="24"/>
          <w:u w:val="none"/>
          <w:lang w:eastAsia="zh-CN"/>
        </w:rPr>
        <w:t>，其中灰河为沙河支流，根据河南省生态环境厅关于印发《“十四五”及2021年地表水环境质量目标的函》（豫环函〔2021〕154号），灰河水寨乡屈庄断面“十四五”目标为Ⅳ类，</w:t>
      </w:r>
      <w:r>
        <w:rPr>
          <w:rFonts w:hint="eastAsia" w:ascii="Times New Roman" w:hAnsi="Times New Roman" w:eastAsia="宋体" w:cs="Times New Roman"/>
          <w:snapToGrid/>
          <w:kern w:val="2"/>
          <w:sz w:val="24"/>
          <w:szCs w:val="24"/>
          <w:highlight w:val="none"/>
          <w:u w:val="none"/>
          <w:lang w:eastAsia="zh-CN"/>
        </w:rPr>
        <w:t>沙河舞阳马湾断面目标为</w:t>
      </w:r>
      <w:r>
        <w:rPr>
          <w:rFonts w:hint="eastAsia" w:ascii="宋体" w:hAnsi="宋体" w:eastAsia="宋体" w:cs="宋体"/>
          <w:snapToGrid/>
          <w:kern w:val="2"/>
          <w:sz w:val="24"/>
          <w:szCs w:val="24"/>
          <w:highlight w:val="none"/>
          <w:u w:val="none"/>
          <w:lang w:eastAsia="zh-CN"/>
        </w:rPr>
        <w:t>Ⅲ</w:t>
      </w:r>
      <w:r>
        <w:rPr>
          <w:rFonts w:hint="eastAsia" w:ascii="Times New Roman" w:hAnsi="Times New Roman" w:eastAsia="宋体" w:cs="Times New Roman"/>
          <w:snapToGrid/>
          <w:kern w:val="2"/>
          <w:sz w:val="24"/>
          <w:szCs w:val="24"/>
          <w:highlight w:val="none"/>
          <w:u w:val="none"/>
          <w:lang w:eastAsia="zh-CN"/>
        </w:rPr>
        <w:t>类。</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hAnsi="Times New Roman" w:eastAsia="宋体" w:cs="Times New Roman"/>
          <w:snapToGrid/>
          <w:kern w:val="2"/>
          <w:sz w:val="2"/>
          <w:szCs w:val="24"/>
          <w:lang w:eastAsia="zh-CN"/>
        </w:rPr>
      </w:pPr>
      <w:r>
        <w:rPr>
          <w:rFonts w:ascii="宋体" w:hAnsi="宋体" w:eastAsia="宋体" w:cs="宋体"/>
          <w:snapToGrid/>
          <w:spacing w:val="-1"/>
          <w:kern w:val="2"/>
          <w:sz w:val="24"/>
          <w:szCs w:val="24"/>
          <w:lang w:eastAsia="zh-CN"/>
          <w14:textOutline w14:w="4358" w14:cap="sq" w14:cmpd="sng">
            <w14:solidFill>
              <w14:srgbClr w14:val="000000"/>
            </w14:solidFill>
            <w14:prstDash w14:val="solid"/>
            <w14:bevel/>
          </w14:textOutline>
        </w:rPr>
        <w:t>表</w:t>
      </w:r>
      <w:r>
        <w:rPr>
          <w:rFonts w:hint="eastAsia" w:ascii="Times New Roman" w:hAnsi="Times New Roman" w:eastAsia="宋体" w:cs="Times New Roman"/>
          <w:b/>
          <w:bCs/>
          <w:snapToGrid/>
          <w:spacing w:val="-1"/>
          <w:kern w:val="2"/>
          <w:sz w:val="24"/>
          <w:szCs w:val="24"/>
          <w:lang w:val="en-US" w:eastAsia="zh-CN"/>
        </w:rPr>
        <w:t>2-4</w:t>
      </w:r>
      <w:r>
        <w:rPr>
          <w:rFonts w:ascii="Times New Roman" w:hAnsi="Times New Roman" w:eastAsia="Times New Roman" w:cs="Times New Roman"/>
          <w:b/>
          <w:bCs/>
          <w:snapToGrid/>
          <w:spacing w:val="-1"/>
          <w:kern w:val="2"/>
          <w:sz w:val="24"/>
          <w:szCs w:val="24"/>
          <w:lang w:eastAsia="zh-CN"/>
        </w:rPr>
        <w:t xml:space="preserve">    </w:t>
      </w:r>
      <w:r>
        <w:rPr>
          <w:rFonts w:ascii="宋体" w:hAnsi="宋体" w:eastAsia="宋体" w:cs="宋体"/>
          <w:snapToGrid/>
          <w:spacing w:val="-1"/>
          <w:kern w:val="2"/>
          <w:sz w:val="24"/>
          <w:szCs w:val="24"/>
          <w:lang w:eastAsia="zh-CN"/>
          <w14:textOutline w14:w="4358" w14:cap="sq" w14:cmpd="sng">
            <w14:solidFill>
              <w14:srgbClr w14:val="000000"/>
            </w14:solidFill>
            <w14:prstDash w14:val="solid"/>
            <w14:bevel/>
          </w14:textOutline>
        </w:rPr>
        <w:t>地表水环境质量标准</w:t>
      </w:r>
      <w:r>
        <w:rPr>
          <w:rFonts w:hint="eastAsia" w:ascii="宋体" w:hAnsi="宋体" w:eastAsia="宋体" w:cs="宋体"/>
          <w:snapToGrid/>
          <w:spacing w:val="-1"/>
          <w:kern w:val="2"/>
          <w:sz w:val="24"/>
          <w:szCs w:val="24"/>
          <w:lang w:eastAsia="zh-CN"/>
          <w14:textOutline w14:w="4358" w14:cap="sq" w14:cmpd="sng">
            <w14:solidFill>
              <w14:srgbClr w14:val="000000"/>
            </w14:solidFill>
            <w14:prstDash w14:val="solid"/>
            <w14:bevel/>
          </w14:textOutline>
        </w:rPr>
        <w:t>限值</w:t>
      </w:r>
    </w:p>
    <w:tbl>
      <w:tblPr>
        <w:tblStyle w:val="24"/>
        <w:tblW w:w="8996"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28"/>
        <w:gridCol w:w="3641"/>
        <w:gridCol w:w="2270"/>
        <w:gridCol w:w="205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5"/>
                <w:kern w:val="2"/>
                <w:sz w:val="21"/>
                <w:szCs w:val="21"/>
                <w:lang w:eastAsia="zh-CN"/>
              </w:rPr>
              <w:t>序号</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项目名称</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spacing w:val="6"/>
                <w:kern w:val="2"/>
                <w:sz w:val="21"/>
                <w:szCs w:val="21"/>
                <w:lang w:eastAsia="zh-CN"/>
              </w:rPr>
            </w:pPr>
            <w:r>
              <w:rPr>
                <w:rFonts w:hint="default" w:ascii="Times New Roman" w:hAnsi="Times New Roman" w:eastAsia="宋体" w:cs="Times New Roman"/>
                <w:snapToGrid/>
                <w:spacing w:val="7"/>
                <w:kern w:val="2"/>
                <w:sz w:val="21"/>
                <w:szCs w:val="21"/>
                <w:lang w:eastAsia="zh-CN"/>
              </w:rPr>
              <w:t>Ⅲ类</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Ⅳ类</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1</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pH</w:t>
            </w:r>
            <w:r>
              <w:rPr>
                <w:rFonts w:hint="default" w:ascii="Times New Roman" w:hAnsi="Times New Roman" w:eastAsia="宋体" w:cs="Times New Roman"/>
                <w:spacing w:val="9"/>
                <w:kern w:val="2"/>
                <w:sz w:val="21"/>
                <w:szCs w:val="21"/>
                <w:lang w:val="en-US" w:eastAsia="en-US" w:bidi="ar-SA"/>
              </w:rPr>
              <w:t>（无量纲）</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1"/>
                <w:kern w:val="2"/>
                <w:sz w:val="21"/>
                <w:szCs w:val="21"/>
                <w:lang w:val="en-US" w:eastAsia="en-US" w:bidi="ar-SA"/>
              </w:rPr>
              <w:t>6~9</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1"/>
                <w:kern w:val="2"/>
                <w:sz w:val="21"/>
                <w:szCs w:val="21"/>
                <w:lang w:val="en-US" w:eastAsia="en-US" w:bidi="ar-SA"/>
              </w:rPr>
              <w:t>6~9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2</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溶解氧（</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7"/>
                <w:kern w:val="2"/>
                <w:sz w:val="21"/>
                <w:szCs w:val="21"/>
                <w:lang w:val="en-US" w:eastAsia="en-US" w:bidi="ar-SA"/>
              </w:rPr>
              <w:t>/L</w:t>
            </w:r>
            <w:r>
              <w:rPr>
                <w:rFonts w:hint="default" w:ascii="Times New Roman" w:hAnsi="Times New Roman" w:eastAsia="宋体" w:cs="Times New Roman"/>
                <w:spacing w:val="7"/>
                <w:kern w:val="2"/>
                <w:sz w:val="21"/>
                <w:szCs w:val="21"/>
                <w:lang w:val="en-US" w:eastAsia="en-US" w:bidi="ar-SA"/>
              </w:rPr>
              <w:t>）</w:t>
            </w:r>
            <w:r>
              <w:rPr>
                <w:rFonts w:hint="default" w:ascii="Times New Roman" w:hAnsi="Times New Roman" w:eastAsia="Times New Roman" w:cs="Times New Roman"/>
                <w:spacing w:val="3"/>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5</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3</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化学需氧量（</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7"/>
                <w:kern w:val="2"/>
                <w:sz w:val="21"/>
                <w:szCs w:val="21"/>
                <w:lang w:val="en-US" w:eastAsia="en-US" w:bidi="ar-SA"/>
              </w:rPr>
              <w:t>/L</w:t>
            </w:r>
            <w:r>
              <w:rPr>
                <w:rFonts w:hint="default" w:ascii="Times New Roman" w:hAnsi="Times New Roman" w:eastAsia="宋体" w:cs="Times New Roman"/>
                <w:spacing w:val="7"/>
                <w:kern w:val="2"/>
                <w:sz w:val="21"/>
                <w:szCs w:val="21"/>
                <w:lang w:val="en-US" w:eastAsia="en-US" w:bidi="ar-SA"/>
              </w:rPr>
              <w:t>）</w:t>
            </w:r>
            <w:r>
              <w:rPr>
                <w:rFonts w:hint="default" w:ascii="Times New Roman" w:hAnsi="Times New Roman" w:eastAsia="Times New Roman" w:cs="Times New Roman"/>
                <w:spacing w:val="4"/>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eastAsia="宋体" w:cs="Times New Roman"/>
                <w:spacing w:val="7"/>
                <w:kern w:val="2"/>
                <w:sz w:val="21"/>
                <w:szCs w:val="21"/>
                <w:lang w:val="en-US" w:eastAsia="zh-CN" w:bidi="ar-SA"/>
              </w:rPr>
              <w:t>20</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1"/>
                <w:kern w:val="2"/>
                <w:sz w:val="21"/>
                <w:szCs w:val="21"/>
                <w:lang w:val="en-US" w:eastAsia="en-US" w:bidi="ar-SA"/>
              </w:rPr>
              <w:t>4</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生化需氧量（</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7"/>
                <w:kern w:val="2"/>
                <w:sz w:val="21"/>
                <w:szCs w:val="21"/>
                <w:lang w:val="en-US" w:eastAsia="en-US" w:bidi="ar-SA"/>
              </w:rPr>
              <w:t>/L</w:t>
            </w:r>
            <w:r>
              <w:rPr>
                <w:rFonts w:hint="default" w:ascii="Times New Roman" w:hAnsi="Times New Roman" w:eastAsia="宋体" w:cs="Times New Roman"/>
                <w:spacing w:val="7"/>
                <w:kern w:val="2"/>
                <w:sz w:val="21"/>
                <w:szCs w:val="21"/>
                <w:lang w:val="en-US" w:eastAsia="en-US" w:bidi="ar-SA"/>
              </w:rPr>
              <w:t>）</w:t>
            </w:r>
            <w:r>
              <w:rPr>
                <w:rFonts w:hint="default" w:ascii="Times New Roman" w:hAnsi="Times New Roman" w:eastAsia="Times New Roman" w:cs="Times New Roman"/>
                <w:spacing w:val="3"/>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pacing w:val="7"/>
                <w:kern w:val="2"/>
                <w:sz w:val="21"/>
                <w:szCs w:val="21"/>
                <w:lang w:val="en-US" w:eastAsia="zh-CN" w:bidi="ar-SA"/>
              </w:rPr>
            </w:pPr>
            <w:r>
              <w:rPr>
                <w:rFonts w:hint="eastAsia" w:ascii="Times New Roman" w:hAnsi="Times New Roman" w:eastAsia="宋体" w:cs="Times New Roman"/>
                <w:spacing w:val="7"/>
                <w:kern w:val="2"/>
                <w:sz w:val="21"/>
                <w:szCs w:val="21"/>
                <w:lang w:val="en-US" w:eastAsia="zh-CN" w:bidi="ar-SA"/>
              </w:rPr>
              <w:t>4</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5</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挥发酚（</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7"/>
                <w:kern w:val="2"/>
                <w:sz w:val="21"/>
                <w:szCs w:val="21"/>
                <w:lang w:val="en-US" w:eastAsia="en-US" w:bidi="ar-SA"/>
              </w:rPr>
              <w:t>/L</w:t>
            </w:r>
            <w:r>
              <w:rPr>
                <w:rFonts w:hint="default" w:ascii="Times New Roman" w:hAnsi="Times New Roman" w:eastAsia="宋体" w:cs="Times New Roman"/>
                <w:spacing w:val="7"/>
                <w:kern w:val="2"/>
                <w:sz w:val="21"/>
                <w:szCs w:val="21"/>
                <w:lang w:val="en-US" w:eastAsia="en-US" w:bidi="ar-SA"/>
              </w:rPr>
              <w:t>）</w:t>
            </w:r>
            <w:r>
              <w:rPr>
                <w:rFonts w:hint="default" w:ascii="Times New Roman" w:hAnsi="Times New Roman" w:eastAsia="Times New Roman" w:cs="Times New Roman"/>
                <w:spacing w:val="4"/>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eastAsia="宋体" w:cs="Times New Roman"/>
                <w:spacing w:val="7"/>
                <w:kern w:val="2"/>
                <w:sz w:val="21"/>
                <w:szCs w:val="21"/>
                <w:lang w:val="en-US" w:eastAsia="zh-CN" w:bidi="ar-SA"/>
              </w:rPr>
              <w:t>0.005</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0.01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6</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硫化物（</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7"/>
                <w:kern w:val="2"/>
                <w:sz w:val="21"/>
                <w:szCs w:val="21"/>
                <w:lang w:val="en-US" w:eastAsia="en-US" w:bidi="ar-SA"/>
              </w:rPr>
              <w:t>/L</w:t>
            </w:r>
            <w:r>
              <w:rPr>
                <w:rFonts w:hint="default" w:ascii="Times New Roman" w:hAnsi="Times New Roman" w:eastAsia="宋体" w:cs="Times New Roman"/>
                <w:spacing w:val="7"/>
                <w:kern w:val="2"/>
                <w:sz w:val="21"/>
                <w:szCs w:val="21"/>
                <w:lang w:val="en-US" w:eastAsia="en-US" w:bidi="ar-SA"/>
              </w:rPr>
              <w:t>）</w:t>
            </w:r>
            <w:r>
              <w:rPr>
                <w:rFonts w:hint="default" w:ascii="Times New Roman" w:hAnsi="Times New Roman" w:eastAsia="Times New Roman" w:cs="Times New Roman"/>
                <w:spacing w:val="3"/>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eastAsia="宋体" w:cs="Times New Roman"/>
                <w:spacing w:val="7"/>
                <w:kern w:val="2"/>
                <w:sz w:val="21"/>
                <w:szCs w:val="21"/>
                <w:lang w:val="en-US" w:eastAsia="zh-CN" w:bidi="ar-SA"/>
              </w:rPr>
              <w:t>0.2</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7</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6"/>
                <w:kern w:val="2"/>
                <w:sz w:val="21"/>
                <w:szCs w:val="21"/>
                <w:lang w:val="en-US" w:eastAsia="en-US" w:bidi="ar-SA"/>
              </w:rPr>
              <w:t>氨氮（</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6"/>
                <w:kern w:val="2"/>
                <w:sz w:val="21"/>
                <w:szCs w:val="21"/>
                <w:lang w:val="en-US" w:eastAsia="en-US" w:bidi="ar-SA"/>
              </w:rPr>
              <w:t>/L</w:t>
            </w:r>
            <w:r>
              <w:rPr>
                <w:rFonts w:hint="default" w:ascii="Times New Roman" w:hAnsi="Times New Roman" w:eastAsia="宋体" w:cs="Times New Roman"/>
                <w:spacing w:val="6"/>
                <w:kern w:val="2"/>
                <w:sz w:val="21"/>
                <w:szCs w:val="21"/>
                <w:lang w:val="en-US" w:eastAsia="en-US" w:bidi="ar-SA"/>
              </w:rPr>
              <w:t>）</w:t>
            </w:r>
            <w:r>
              <w:rPr>
                <w:rFonts w:hint="default" w:ascii="Times New Roman" w:hAnsi="Times New Roman" w:eastAsia="Times New Roman" w:cs="Times New Roman"/>
                <w:spacing w:val="3"/>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1.0</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8</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石油类（</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7"/>
                <w:kern w:val="2"/>
                <w:sz w:val="21"/>
                <w:szCs w:val="21"/>
                <w:lang w:val="en-US" w:eastAsia="en-US" w:bidi="ar-SA"/>
              </w:rPr>
              <w:t>/L</w:t>
            </w:r>
            <w:r>
              <w:rPr>
                <w:rFonts w:hint="default" w:ascii="Times New Roman" w:hAnsi="Times New Roman" w:eastAsia="宋体" w:cs="Times New Roman"/>
                <w:spacing w:val="7"/>
                <w:kern w:val="2"/>
                <w:sz w:val="21"/>
                <w:szCs w:val="21"/>
                <w:lang w:val="en-US" w:eastAsia="en-US" w:bidi="ar-SA"/>
              </w:rPr>
              <w:t>）</w:t>
            </w:r>
            <w:r>
              <w:rPr>
                <w:rFonts w:hint="default" w:ascii="Times New Roman" w:hAnsi="Times New Roman" w:eastAsia="Times New Roman" w:cs="Times New Roman"/>
                <w:spacing w:val="3"/>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eastAsia="宋体" w:cs="Times New Roman"/>
                <w:spacing w:val="7"/>
                <w:kern w:val="2"/>
                <w:sz w:val="21"/>
                <w:szCs w:val="21"/>
                <w:lang w:val="en-US" w:eastAsia="zh-CN" w:bidi="ar-SA"/>
              </w:rPr>
              <w:t>0.05</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1"/>
                <w:szCs w:val="21"/>
                <w:lang w:val="en-US" w:eastAsia="en-US" w:bidi="ar-SA"/>
              </w:rPr>
              <w:t>9</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氟化物（</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7"/>
                <w:kern w:val="2"/>
                <w:sz w:val="21"/>
                <w:szCs w:val="21"/>
                <w:lang w:val="en-US" w:eastAsia="en-US" w:bidi="ar-SA"/>
              </w:rPr>
              <w:t>/L</w:t>
            </w:r>
            <w:r>
              <w:rPr>
                <w:rFonts w:hint="default" w:ascii="Times New Roman" w:hAnsi="Times New Roman" w:eastAsia="宋体" w:cs="Times New Roman"/>
                <w:spacing w:val="7"/>
                <w:kern w:val="2"/>
                <w:sz w:val="21"/>
                <w:szCs w:val="21"/>
                <w:lang w:val="en-US" w:eastAsia="en-US" w:bidi="ar-SA"/>
              </w:rPr>
              <w:t>）</w:t>
            </w:r>
            <w:r>
              <w:rPr>
                <w:rFonts w:hint="default" w:ascii="Times New Roman" w:hAnsi="Times New Roman" w:eastAsia="Times New Roman" w:cs="Times New Roman"/>
                <w:spacing w:val="3"/>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eastAsia="宋体" w:cs="Times New Roman"/>
                <w:spacing w:val="7"/>
                <w:kern w:val="2"/>
                <w:sz w:val="21"/>
                <w:szCs w:val="21"/>
                <w:lang w:val="en-US" w:eastAsia="zh-CN" w:bidi="ar-SA"/>
              </w:rPr>
              <w:t>1.0</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3"/>
                <w:kern w:val="2"/>
                <w:sz w:val="21"/>
                <w:szCs w:val="21"/>
                <w:lang w:val="en-US" w:eastAsia="en-US" w:bidi="ar-SA"/>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8"/>
                <w:kern w:val="2"/>
                <w:sz w:val="21"/>
                <w:szCs w:val="21"/>
                <w:lang w:val="en-US" w:eastAsia="en-US" w:bidi="ar-SA"/>
              </w:rPr>
              <w:t>10</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6"/>
                <w:kern w:val="2"/>
                <w:sz w:val="21"/>
                <w:szCs w:val="21"/>
                <w:lang w:val="en-US" w:eastAsia="en-US" w:bidi="ar-SA"/>
              </w:rPr>
              <w:t>高锰酸盐指数</w:t>
            </w:r>
            <w:r>
              <w:rPr>
                <w:rFonts w:hint="default" w:ascii="Times New Roman" w:hAnsi="Times New Roman" w:eastAsia="Times New Roman" w:cs="Times New Roman"/>
                <w:spacing w:val="6"/>
                <w:kern w:val="2"/>
                <w:sz w:val="21"/>
                <w:szCs w:val="21"/>
                <w:lang w:val="en-US" w:eastAsia="en-US" w:bidi="ar-SA"/>
              </w:rPr>
              <w:t>(</w:t>
            </w:r>
            <w:r>
              <w:rPr>
                <w:rFonts w:hint="default" w:ascii="Times New Roman" w:hAnsi="Times New Roman" w:eastAsia="Times New Roman" w:cs="Times New Roman"/>
                <w:kern w:val="2"/>
                <w:sz w:val="21"/>
                <w:szCs w:val="21"/>
                <w:lang w:val="en-US" w:eastAsia="en-US" w:bidi="ar-SA"/>
              </w:rPr>
              <w:t>mg</w:t>
            </w:r>
            <w:r>
              <w:rPr>
                <w:rFonts w:hint="default" w:ascii="Times New Roman" w:hAnsi="Times New Roman" w:eastAsia="Times New Roman" w:cs="Times New Roman"/>
                <w:spacing w:val="6"/>
                <w:kern w:val="2"/>
                <w:sz w:val="21"/>
                <w:szCs w:val="21"/>
                <w:lang w:val="en-US" w:eastAsia="en-US" w:bidi="ar-SA"/>
              </w:rPr>
              <w:t>/L</w:t>
            </w:r>
            <w:r>
              <w:rPr>
                <w:rFonts w:hint="default" w:ascii="Times New Roman" w:hAnsi="Times New Roman" w:eastAsia="宋体" w:cs="Times New Roman"/>
                <w:spacing w:val="6"/>
                <w:kern w:val="2"/>
                <w:sz w:val="21"/>
                <w:szCs w:val="21"/>
                <w:lang w:val="en-US" w:eastAsia="en-US" w:bidi="ar-SA"/>
              </w:rPr>
              <w:t>）</w:t>
            </w:r>
            <w:r>
              <w:rPr>
                <w:rFonts w:hint="default" w:ascii="Times New Roman" w:hAnsi="Times New Roman" w:eastAsia="Times New Roman" w:cs="Times New Roman"/>
                <w:spacing w:val="4"/>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6</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10"/>
                <w:kern w:val="2"/>
                <w:sz w:val="21"/>
                <w:szCs w:val="21"/>
                <w:lang w:val="en-US" w:eastAsia="en-US" w:bidi="ar-SA"/>
              </w:rPr>
              <w:t>11</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6"/>
                <w:kern w:val="2"/>
                <w:sz w:val="21"/>
                <w:szCs w:val="21"/>
                <w:lang w:val="en-US" w:eastAsia="en-US" w:bidi="ar-SA"/>
              </w:rPr>
              <w:t>粪大肠菌群（个</w:t>
            </w:r>
            <w:r>
              <w:rPr>
                <w:rFonts w:hint="default" w:ascii="Times New Roman" w:hAnsi="Times New Roman" w:eastAsia="Times New Roman" w:cs="Times New Roman"/>
                <w:spacing w:val="6"/>
                <w:kern w:val="2"/>
                <w:sz w:val="21"/>
                <w:szCs w:val="21"/>
                <w:lang w:val="en-US" w:eastAsia="en-US" w:bidi="ar-SA"/>
              </w:rPr>
              <w:t>/L</w:t>
            </w:r>
            <w:r>
              <w:rPr>
                <w:rFonts w:hint="default" w:ascii="Times New Roman" w:hAnsi="Times New Roman" w:eastAsia="宋体" w:cs="Times New Roman"/>
                <w:spacing w:val="6"/>
                <w:kern w:val="2"/>
                <w:sz w:val="21"/>
                <w:szCs w:val="21"/>
                <w:lang w:val="en-US" w:eastAsia="en-US" w:bidi="ar-SA"/>
              </w:rPr>
              <w:t>）</w:t>
            </w:r>
            <w:r>
              <w:rPr>
                <w:rFonts w:hint="default" w:ascii="Times New Roman" w:hAnsi="Times New Roman" w:eastAsia="Times New Roman" w:cs="Times New Roman"/>
                <w:spacing w:val="4"/>
                <w:kern w:val="2"/>
                <w:sz w:val="21"/>
                <w:szCs w:val="21"/>
                <w:lang w:val="en-US" w:eastAsia="en-US" w:bidi="ar-SA"/>
              </w:rPr>
              <w:t>≤</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10000</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20000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0"/>
                <w:kern w:val="2"/>
                <w:sz w:val="21"/>
                <w:szCs w:val="21"/>
                <w:lang w:val="en-US" w:eastAsia="zh-CN" w:bidi="ar-SA"/>
              </w:rPr>
            </w:pPr>
            <w:r>
              <w:rPr>
                <w:rFonts w:hint="eastAsia" w:ascii="Times New Roman" w:hAnsi="Times New Roman" w:eastAsia="宋体" w:cs="Times New Roman"/>
                <w:spacing w:val="-10"/>
                <w:kern w:val="2"/>
                <w:sz w:val="21"/>
                <w:szCs w:val="21"/>
                <w:lang w:val="en-US" w:eastAsia="zh-CN" w:bidi="ar-SA"/>
              </w:rPr>
              <w:t>12</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总磷</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0.2</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4"/>
                <w:kern w:val="2"/>
                <w:sz w:val="21"/>
                <w:szCs w:val="21"/>
                <w:lang w:val="en-US" w:eastAsia="zh-CN" w:bidi="ar-SA"/>
              </w:rPr>
            </w:pPr>
            <w:r>
              <w:rPr>
                <w:rFonts w:hint="eastAsia" w:ascii="Times New Roman" w:hAnsi="Times New Roman" w:eastAsia="宋体" w:cs="Times New Roman"/>
                <w:spacing w:val="4"/>
                <w:kern w:val="2"/>
                <w:sz w:val="21"/>
                <w:szCs w:val="21"/>
                <w:lang w:val="en-US" w:eastAsia="zh-CN" w:bidi="ar-SA"/>
              </w:rPr>
              <w:t>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0"/>
                <w:kern w:val="2"/>
                <w:sz w:val="21"/>
                <w:szCs w:val="21"/>
                <w:lang w:val="en-US" w:eastAsia="zh-CN" w:bidi="ar-SA"/>
              </w:rPr>
            </w:pPr>
            <w:r>
              <w:rPr>
                <w:rFonts w:hint="eastAsia" w:ascii="Times New Roman" w:hAnsi="Times New Roman" w:eastAsia="宋体" w:cs="Times New Roman"/>
                <w:spacing w:val="-10"/>
                <w:kern w:val="2"/>
                <w:sz w:val="21"/>
                <w:szCs w:val="21"/>
                <w:lang w:val="en-US" w:eastAsia="zh-CN" w:bidi="ar-SA"/>
              </w:rPr>
              <w:t>13</w:t>
            </w:r>
          </w:p>
        </w:tc>
        <w:tc>
          <w:tcPr>
            <w:tcW w:w="3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kern w:val="2"/>
                <w:sz w:val="21"/>
                <w:szCs w:val="21"/>
                <w:lang w:val="en-US" w:eastAsia="en-US" w:bidi="ar-SA"/>
              </w:rPr>
            </w:pPr>
            <w:r>
              <w:rPr>
                <w:rFonts w:hint="eastAsia" w:ascii="Times New Roman" w:hAnsi="Times New Roman" w:eastAsia="宋体" w:cs="Times New Roman"/>
                <w:spacing w:val="6"/>
                <w:kern w:val="2"/>
                <w:sz w:val="21"/>
                <w:szCs w:val="21"/>
                <w:lang w:val="en-US" w:eastAsia="zh-CN" w:bidi="ar-SA"/>
              </w:rPr>
              <w:t>总氮</w:t>
            </w:r>
          </w:p>
        </w:tc>
        <w:tc>
          <w:tcPr>
            <w:tcW w:w="2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kern w:val="2"/>
                <w:sz w:val="21"/>
                <w:szCs w:val="21"/>
                <w:lang w:val="en-US" w:eastAsia="zh-CN" w:bidi="ar-SA"/>
              </w:rPr>
            </w:pPr>
            <w:r>
              <w:rPr>
                <w:rFonts w:hint="eastAsia" w:ascii="Times New Roman" w:hAnsi="Times New Roman" w:eastAsia="宋体" w:cs="Times New Roman"/>
                <w:spacing w:val="6"/>
                <w:kern w:val="2"/>
                <w:sz w:val="21"/>
                <w:szCs w:val="21"/>
                <w:lang w:val="en-US" w:eastAsia="zh-CN" w:bidi="ar-SA"/>
              </w:rPr>
              <w:t>1.0</w:t>
            </w:r>
          </w:p>
        </w:tc>
        <w:tc>
          <w:tcPr>
            <w:tcW w:w="20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4"/>
                <w:kern w:val="2"/>
                <w:sz w:val="21"/>
                <w:szCs w:val="21"/>
                <w:lang w:val="en-US" w:eastAsia="zh-CN" w:bidi="ar-SA"/>
              </w:rPr>
            </w:pPr>
            <w:r>
              <w:rPr>
                <w:rFonts w:hint="eastAsia" w:ascii="Times New Roman" w:hAnsi="Times New Roman" w:eastAsia="宋体" w:cs="Times New Roman"/>
                <w:spacing w:val="4"/>
                <w:kern w:val="2"/>
                <w:sz w:val="21"/>
                <w:szCs w:val="21"/>
                <w:lang w:val="en-US" w:eastAsia="zh-CN" w:bidi="ar-SA"/>
              </w:rPr>
              <w:t>1.5</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（3）地下水质量标准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项目所在区域地下水环境功能区确定为Ⅲ类，执行（GB/T14848-2017）《地下水质量标准》中的Ⅲ类标准，水质标准见表</w:t>
      </w:r>
      <w:r>
        <w:rPr>
          <w:rFonts w:hint="default" w:ascii="Times New Roman" w:hAnsi="Times New Roman" w:cs="Times New Roman"/>
          <w:sz w:val="24"/>
          <w:szCs w:val="24"/>
          <w:lang w:val="en-US" w:eastAsia="zh-CN"/>
        </w:rPr>
        <w:t>2-5</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napToGrid/>
          <w:spacing w:val="-2"/>
          <w:kern w:val="2"/>
          <w:sz w:val="24"/>
          <w:szCs w:val="24"/>
          <w:lang w:eastAsia="zh-CN"/>
        </w:rPr>
      </w:pPr>
      <w:r>
        <w:rPr>
          <w:rFonts w:hint="default" w:ascii="Times New Roman" w:hAnsi="Times New Roman" w:eastAsia="宋体" w:cs="Times New Roman"/>
          <w:b/>
          <w:bCs/>
          <w:snapToGrid/>
          <w:spacing w:val="-2"/>
          <w:kern w:val="2"/>
          <w:sz w:val="24"/>
          <w:szCs w:val="24"/>
          <w:lang w:val="en-US" w:eastAsia="zh-CN"/>
        </w:rPr>
        <w:t xml:space="preserve">表2-5 </w:t>
      </w:r>
      <w:r>
        <w:rPr>
          <w:rFonts w:hint="eastAsia" w:ascii="Times New Roman" w:hAnsi="Times New Roman" w:eastAsia="宋体" w:cs="Times New Roman"/>
          <w:b/>
          <w:bCs/>
          <w:snapToGrid/>
          <w:spacing w:val="-2"/>
          <w:kern w:val="2"/>
          <w:sz w:val="24"/>
          <w:szCs w:val="24"/>
          <w:lang w:val="en-US" w:eastAsia="zh-CN"/>
        </w:rPr>
        <w:t xml:space="preserve">   </w:t>
      </w:r>
      <w:r>
        <w:rPr>
          <w:rFonts w:hint="default" w:ascii="Times New Roman" w:hAnsi="Times New Roman" w:eastAsia="宋体" w:cs="Times New Roman"/>
          <w:b/>
          <w:bCs/>
          <w:snapToGrid/>
          <w:spacing w:val="-2"/>
          <w:kern w:val="2"/>
          <w:sz w:val="24"/>
          <w:szCs w:val="24"/>
          <w:lang w:val="en-US" w:eastAsia="zh-CN"/>
        </w:rPr>
        <w:t>地下水环境质量标准</w:t>
      </w:r>
      <w:r>
        <w:rPr>
          <w:rFonts w:hint="eastAsia" w:ascii="Times New Roman" w:hAnsi="Times New Roman" w:eastAsia="宋体" w:cs="Times New Roman"/>
          <w:b/>
          <w:bCs/>
          <w:snapToGrid/>
          <w:spacing w:val="-2"/>
          <w:kern w:val="2"/>
          <w:sz w:val="24"/>
          <w:szCs w:val="24"/>
          <w:lang w:val="en-US" w:eastAsia="zh-CN"/>
        </w:rPr>
        <w:t>限值</w:t>
      </w:r>
    </w:p>
    <w:tbl>
      <w:tblPr>
        <w:tblStyle w:val="24"/>
        <w:tblW w:w="912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00"/>
        <w:gridCol w:w="2671"/>
        <w:gridCol w:w="1121"/>
        <w:gridCol w:w="1121"/>
        <w:gridCol w:w="836"/>
        <w:gridCol w:w="1414"/>
        <w:gridCol w:w="11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spacing w:val="5"/>
                <w:kern w:val="2"/>
                <w:sz w:val="20"/>
                <w:szCs w:val="20"/>
                <w:lang w:eastAsia="zh-CN"/>
              </w:rPr>
            </w:pPr>
            <w:r>
              <w:rPr>
                <w:rFonts w:hint="default" w:ascii="Times New Roman" w:hAnsi="Times New Roman" w:eastAsia="宋体" w:cs="Times New Roman"/>
                <w:snapToGrid/>
                <w:kern w:val="2"/>
                <w:sz w:val="24"/>
                <w:szCs w:val="24"/>
                <w:lang w:eastAsia="zh-CN"/>
              </w:rPr>
              <w:drawing>
                <wp:anchor distT="0" distB="0" distL="0" distR="0" simplePos="0" relativeHeight="251707392" behindDoc="1" locked="0" layoutInCell="1" allowOverlap="1">
                  <wp:simplePos x="0" y="0"/>
                  <wp:positionH relativeFrom="column">
                    <wp:posOffset>485775</wp:posOffset>
                  </wp:positionH>
                  <wp:positionV relativeFrom="paragraph">
                    <wp:posOffset>38735</wp:posOffset>
                  </wp:positionV>
                  <wp:extent cx="1687195" cy="275590"/>
                  <wp:effectExtent l="0" t="0" r="8255" b="10160"/>
                  <wp:wrapNone/>
                  <wp:docPr id="1" name="IM 32"/>
                  <wp:cNvGraphicFramePr/>
                  <a:graphic xmlns:a="http://schemas.openxmlformats.org/drawingml/2006/main">
                    <a:graphicData uri="http://schemas.openxmlformats.org/drawingml/2006/picture">
                      <pic:pic xmlns:pic="http://schemas.openxmlformats.org/drawingml/2006/picture">
                        <pic:nvPicPr>
                          <pic:cNvPr id="1" name="IM 32"/>
                          <pic:cNvPicPr/>
                        </pic:nvPicPr>
                        <pic:blipFill>
                          <a:blip r:embed="rId28"/>
                          <a:stretch>
                            <a:fillRect/>
                          </a:stretch>
                        </pic:blipFill>
                        <pic:spPr>
                          <a:xfrm>
                            <a:off x="0" y="0"/>
                            <a:ext cx="1687398" cy="275463"/>
                          </a:xfrm>
                          <a:prstGeom prst="rect">
                            <a:avLst/>
                          </a:prstGeom>
                        </pic:spPr>
                      </pic:pic>
                    </a:graphicData>
                  </a:graphic>
                </wp:anchor>
              </w:drawing>
            </w:r>
            <w:r>
              <w:rPr>
                <w:rFonts w:hint="default" w:ascii="Times New Roman" w:hAnsi="Times New Roman" w:eastAsia="宋体" w:cs="Times New Roman"/>
                <w:snapToGrid/>
                <w:kern w:val="2"/>
                <w:sz w:val="20"/>
                <w:szCs w:val="20"/>
                <w:lang w:eastAsia="zh-CN"/>
              </w:rPr>
              <w:t>项目</w:t>
            </w:r>
            <w:r>
              <w:rPr>
                <w:rFonts w:hint="default" w:ascii="Times New Roman" w:hAnsi="Times New Roman" w:eastAsia="宋体" w:cs="Times New Roman"/>
                <w:snapToGrid/>
                <w:spacing w:val="5"/>
                <w:kern w:val="2"/>
                <w:sz w:val="20"/>
                <w:szCs w:val="20"/>
                <w:lang w:eastAsia="zh-CN"/>
              </w:rPr>
              <w:t>序号</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right"/>
              <w:textAlignment w:val="auto"/>
              <w:rPr>
                <w:rFonts w:hint="default" w:ascii="Times New Roman" w:hAnsi="Times New Roman" w:eastAsia="宋体" w:cs="Times New Roman"/>
                <w:snapToGrid/>
                <w:spacing w:val="4"/>
                <w:kern w:val="2"/>
                <w:sz w:val="20"/>
                <w:szCs w:val="20"/>
                <w:lang w:eastAsia="zh-CN"/>
              </w:rPr>
            </w:pPr>
            <w:r>
              <w:rPr>
                <w:rFonts w:hint="default" w:ascii="Times New Roman" w:hAnsi="Times New Roman" w:eastAsia="宋体" w:cs="Times New Roman"/>
                <w:snapToGrid/>
                <w:spacing w:val="6"/>
                <w:kern w:val="2"/>
                <w:sz w:val="20"/>
                <w:szCs w:val="20"/>
                <w:lang w:eastAsia="zh-CN"/>
              </w:rPr>
              <w:t>标准值</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snapToGrid/>
                <w:spacing w:val="4"/>
                <w:kern w:val="2"/>
                <w:sz w:val="20"/>
                <w:szCs w:val="20"/>
                <w:lang w:eastAsia="zh-CN"/>
              </w:rPr>
            </w:pPr>
            <w:r>
              <w:rPr>
                <w:rFonts w:hint="default" w:ascii="Times New Roman" w:hAnsi="Times New Roman" w:eastAsia="宋体" w:cs="Times New Roman"/>
                <w:snapToGrid/>
                <w:spacing w:val="4"/>
                <w:kern w:val="2"/>
                <w:sz w:val="20"/>
                <w:szCs w:val="20"/>
                <w:lang w:eastAsia="zh-CN"/>
              </w:rPr>
              <w:t>类别</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4"/>
                <w:lang w:eastAsia="zh-CN"/>
              </w:rPr>
            </w:pPr>
            <w:r>
              <w:rPr>
                <w:rFonts w:hint="default" w:ascii="Times New Roman" w:hAnsi="Times New Roman" w:eastAsia="宋体" w:cs="Times New Roman"/>
                <w:snapToGrid/>
                <w:kern w:val="2"/>
                <w:sz w:val="21"/>
                <w:szCs w:val="24"/>
                <w:lang w:eastAsia="zh-CN"/>
              </w:rPr>
              <w:t>Ⅰ类</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4"/>
                <w:lang w:eastAsia="zh-CN"/>
              </w:rPr>
            </w:pPr>
            <w:r>
              <w:rPr>
                <w:rFonts w:hint="default" w:ascii="Times New Roman" w:hAnsi="Times New Roman" w:eastAsia="宋体" w:cs="Times New Roman"/>
                <w:snapToGrid/>
                <w:kern w:val="2"/>
                <w:sz w:val="21"/>
                <w:szCs w:val="24"/>
                <w:lang w:eastAsia="zh-CN"/>
              </w:rPr>
              <w:t>Ⅱ类</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napToGrid/>
                <w:kern w:val="2"/>
                <w:sz w:val="21"/>
                <w:szCs w:val="24"/>
                <w:lang w:eastAsia="zh-CN"/>
              </w:rPr>
            </w:pPr>
            <w:r>
              <w:rPr>
                <w:rFonts w:hint="default" w:ascii="Times New Roman" w:hAnsi="Times New Roman" w:eastAsia="宋体" w:cs="Times New Roman"/>
                <w:b/>
                <w:bCs/>
                <w:snapToGrid/>
                <w:kern w:val="2"/>
                <w:sz w:val="21"/>
                <w:szCs w:val="24"/>
                <w:lang w:eastAsia="zh-CN"/>
              </w:rPr>
              <w:t>Ⅲ类</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4"/>
                <w:lang w:eastAsia="zh-CN"/>
              </w:rPr>
            </w:pPr>
            <w:r>
              <w:rPr>
                <w:rFonts w:hint="default" w:ascii="Times New Roman" w:hAnsi="Times New Roman" w:eastAsia="宋体" w:cs="Times New Roman"/>
                <w:snapToGrid/>
                <w:kern w:val="2"/>
                <w:sz w:val="21"/>
                <w:szCs w:val="24"/>
                <w:lang w:eastAsia="zh-CN"/>
              </w:rPr>
              <w:t>Ⅳ类</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1"/>
                <w:szCs w:val="24"/>
                <w:lang w:eastAsia="zh-CN"/>
              </w:rPr>
            </w:pPr>
            <w:r>
              <w:rPr>
                <w:rFonts w:hint="default" w:ascii="Times New Roman" w:hAnsi="Times New Roman" w:eastAsia="宋体" w:cs="Times New Roman"/>
                <w:snapToGrid/>
                <w:kern w:val="2"/>
                <w:sz w:val="21"/>
                <w:szCs w:val="24"/>
                <w:lang w:eastAsia="zh-CN"/>
              </w:rPr>
              <w:t>Ⅴ类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1</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 xml:space="preserve">色 </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宋体" w:cs="Times New Roman"/>
                <w:spacing w:val="6"/>
                <w:kern w:val="2"/>
                <w:sz w:val="20"/>
                <w:szCs w:val="20"/>
                <w:lang w:val="en-US" w:eastAsia="en-US" w:bidi="ar-SA"/>
              </w:rPr>
              <w:t>铂钴色度单位</w:t>
            </w:r>
            <w:r>
              <w:rPr>
                <w:rFonts w:hint="default" w:ascii="Times New Roman" w:hAnsi="Times New Roman" w:eastAsia="Times New Roman" w:cs="Times New Roman"/>
                <w:spacing w:val="6"/>
                <w:kern w:val="2"/>
                <w:sz w:val="20"/>
                <w:szCs w:val="20"/>
                <w:lang w:val="en-US" w:eastAsia="en-US" w:bidi="ar-SA"/>
              </w:rPr>
              <w:t>)</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≤5</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≤5</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≤15</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≤25</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2</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spacing w:val="3"/>
                <w:kern w:val="2"/>
                <w:sz w:val="20"/>
                <w:szCs w:val="20"/>
                <w:lang w:eastAsia="zh-CN"/>
              </w:rPr>
              <w:t>嗅和味</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kern w:val="2"/>
                <w:sz w:val="20"/>
                <w:szCs w:val="20"/>
                <w:lang w:eastAsia="zh-CN"/>
              </w:rPr>
              <w:t>无</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kern w:val="2"/>
                <w:sz w:val="20"/>
                <w:szCs w:val="20"/>
                <w:lang w:eastAsia="zh-CN"/>
              </w:rPr>
              <w:t>无</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napToGrid/>
                <w:kern w:val="2"/>
                <w:sz w:val="20"/>
                <w:szCs w:val="20"/>
                <w:lang w:eastAsia="zh-CN"/>
              </w:rPr>
            </w:pPr>
            <w:r>
              <w:rPr>
                <w:rFonts w:hint="default" w:ascii="Times New Roman" w:hAnsi="Times New Roman" w:eastAsia="宋体" w:cs="Times New Roman"/>
                <w:b/>
                <w:bCs/>
                <w:snapToGrid/>
                <w:kern w:val="2"/>
                <w:sz w:val="20"/>
                <w:szCs w:val="20"/>
                <w:lang w:eastAsia="zh-CN"/>
              </w:rPr>
              <w:t>无</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kern w:val="2"/>
                <w:sz w:val="20"/>
                <w:szCs w:val="20"/>
                <w:lang w:eastAsia="zh-CN"/>
              </w:rPr>
              <w:t>无</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kern w:val="2"/>
                <w:sz w:val="20"/>
                <w:szCs w:val="20"/>
                <w:lang w:eastAsia="zh-CN"/>
              </w:rPr>
              <w:t>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3</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8"/>
                <w:kern w:val="2"/>
                <w:sz w:val="20"/>
                <w:szCs w:val="20"/>
                <w:lang w:val="en-US" w:eastAsia="en-US" w:bidi="ar-SA"/>
              </w:rPr>
              <w:t xml:space="preserve">浑浊度 </w:t>
            </w:r>
            <w:r>
              <w:rPr>
                <w:rFonts w:hint="default" w:ascii="Times New Roman" w:hAnsi="Times New Roman" w:eastAsia="Times New Roman" w:cs="Times New Roman"/>
                <w:spacing w:val="8"/>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NTU</w:t>
            </w:r>
            <w:r>
              <w:rPr>
                <w:rFonts w:hint="default" w:ascii="Times New Roman" w:hAnsi="Times New Roman" w:eastAsia="Times New Roman" w:cs="Times New Roman"/>
                <w:spacing w:val="8"/>
                <w:kern w:val="2"/>
                <w:sz w:val="20"/>
                <w:szCs w:val="20"/>
                <w:lang w:val="en-US" w:eastAsia="en-US" w:bidi="ar-SA"/>
              </w:rPr>
              <w:t>*</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≤3</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≤3</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3"/>
                <w:kern w:val="2"/>
                <w:sz w:val="20"/>
                <w:szCs w:val="20"/>
                <w:lang w:val="en-US" w:eastAsia="en-US" w:bidi="ar-SA"/>
              </w:rPr>
              <w:t>≤3</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4</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spacing w:val="4"/>
                <w:kern w:val="2"/>
                <w:sz w:val="20"/>
                <w:szCs w:val="20"/>
                <w:lang w:eastAsia="zh-CN"/>
              </w:rPr>
              <w:t>肉眼可见物</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kern w:val="2"/>
                <w:sz w:val="20"/>
                <w:szCs w:val="20"/>
                <w:lang w:eastAsia="zh-CN"/>
              </w:rPr>
              <w:t>无</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kern w:val="2"/>
                <w:sz w:val="20"/>
                <w:szCs w:val="20"/>
                <w:lang w:eastAsia="zh-CN"/>
              </w:rPr>
              <w:t>无</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napToGrid/>
                <w:kern w:val="2"/>
                <w:sz w:val="20"/>
                <w:szCs w:val="20"/>
                <w:lang w:eastAsia="zh-CN"/>
              </w:rPr>
            </w:pPr>
            <w:r>
              <w:rPr>
                <w:rFonts w:hint="default" w:ascii="Times New Roman" w:hAnsi="Times New Roman" w:eastAsia="宋体" w:cs="Times New Roman"/>
                <w:b/>
                <w:bCs/>
                <w:snapToGrid/>
                <w:kern w:val="2"/>
                <w:sz w:val="20"/>
                <w:szCs w:val="20"/>
                <w:lang w:eastAsia="zh-CN"/>
              </w:rPr>
              <w:t>无</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kern w:val="2"/>
                <w:sz w:val="20"/>
                <w:szCs w:val="20"/>
                <w:lang w:eastAsia="zh-CN"/>
              </w:rPr>
              <w:t>无</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kern w:val="2"/>
                <w:sz w:val="20"/>
                <w:szCs w:val="20"/>
                <w:lang w:eastAsia="zh-CN"/>
              </w:rPr>
              <w:t>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5</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pH</w:t>
            </w:r>
            <w:r>
              <w:rPr>
                <w:rFonts w:hint="default" w:ascii="Times New Roman" w:hAnsi="Times New Roman" w:eastAsia="宋体" w:cs="Times New Roman"/>
                <w:spacing w:val="10"/>
                <w:kern w:val="2"/>
                <w:sz w:val="20"/>
                <w:szCs w:val="20"/>
                <w:lang w:val="en-US" w:eastAsia="en-US" w:bidi="ar-SA"/>
              </w:rPr>
              <w:t>（无量纲）</w:t>
            </w:r>
          </w:p>
        </w:tc>
        <w:tc>
          <w:tcPr>
            <w:tcW w:w="30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6.5≤</w:t>
            </w:r>
            <w:r>
              <w:rPr>
                <w:rFonts w:hint="default" w:ascii="Times New Roman" w:hAnsi="Times New Roman" w:eastAsia="Times New Roman" w:cs="Times New Roman"/>
                <w:b/>
                <w:bCs/>
                <w:kern w:val="2"/>
                <w:sz w:val="20"/>
                <w:szCs w:val="20"/>
                <w:lang w:val="en-US" w:eastAsia="en-US" w:bidi="ar-SA"/>
              </w:rPr>
              <w:t>pH</w:t>
            </w:r>
            <w:r>
              <w:rPr>
                <w:rFonts w:hint="default" w:ascii="Times New Roman" w:hAnsi="Times New Roman" w:eastAsia="Times New Roman" w:cs="Times New Roman"/>
                <w:b/>
                <w:bCs/>
                <w:spacing w:val="4"/>
                <w:kern w:val="2"/>
                <w:sz w:val="20"/>
                <w:szCs w:val="20"/>
                <w:lang w:val="en-US" w:eastAsia="en-US" w:bidi="ar-SA"/>
              </w:rPr>
              <w:t>≤8.5</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5.5≤pH</w:t>
            </w:r>
            <w:r>
              <w:rPr>
                <w:rFonts w:hint="default" w:ascii="Times New Roman" w:hAnsi="Times New Roman" w:eastAsia="宋体" w:cs="Times New Roman"/>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6.5</w:t>
            </w:r>
            <w:r>
              <w:rPr>
                <w:rFonts w:hint="default" w:ascii="Times New Roman" w:hAnsi="Times New Roman" w:eastAsia="宋体" w:cs="Times New Roman"/>
                <w:kern w:val="2"/>
                <w:sz w:val="20"/>
                <w:szCs w:val="20"/>
                <w:lang w:val="en-US" w:eastAsia="en-US" w:bidi="ar-SA"/>
              </w:rPr>
              <w:t xml:space="preserve">， </w:t>
            </w:r>
            <w:r>
              <w:rPr>
                <w:rFonts w:hint="default" w:ascii="Times New Roman" w:hAnsi="Times New Roman" w:eastAsia="Times New Roman" w:cs="Times New Roman"/>
                <w:spacing w:val="5"/>
                <w:kern w:val="2"/>
                <w:sz w:val="20"/>
                <w:szCs w:val="20"/>
                <w:lang w:val="en-US" w:eastAsia="en-US" w:bidi="ar-SA"/>
              </w:rPr>
              <w:t>8.5</w:t>
            </w:r>
            <w:r>
              <w:rPr>
                <w:rFonts w:hint="default" w:ascii="Times New Roman" w:hAnsi="Times New Roman" w:eastAsia="宋体" w:cs="Times New Roman"/>
                <w:spacing w:val="5"/>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pH</w:t>
            </w:r>
            <w:r>
              <w:rPr>
                <w:rFonts w:hint="default" w:ascii="Times New Roman" w:hAnsi="Times New Roman" w:eastAsia="Times New Roman" w:cs="Times New Roman"/>
                <w:spacing w:val="5"/>
                <w:kern w:val="2"/>
                <w:sz w:val="20"/>
                <w:szCs w:val="20"/>
                <w:lang w:val="en-US" w:eastAsia="en-US" w:bidi="ar-SA"/>
              </w:rPr>
              <w:t>≤9</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pH</w:t>
            </w:r>
            <w:r>
              <w:rPr>
                <w:rFonts w:hint="default" w:ascii="Times New Roman" w:hAnsi="Times New Roman" w:eastAsia="宋体" w:cs="Times New Roman"/>
                <w:spacing w:val="-1"/>
                <w:kern w:val="2"/>
                <w:sz w:val="20"/>
                <w:szCs w:val="20"/>
                <w:lang w:val="en-US" w:eastAsia="en-US" w:bidi="ar-SA"/>
              </w:rPr>
              <w:t>＜</w:t>
            </w:r>
            <w:r>
              <w:rPr>
                <w:rFonts w:hint="default" w:ascii="Times New Roman" w:hAnsi="Times New Roman" w:eastAsia="Times New Roman" w:cs="Times New Roman"/>
                <w:spacing w:val="-1"/>
                <w:kern w:val="2"/>
                <w:sz w:val="20"/>
                <w:szCs w:val="20"/>
                <w:lang w:val="en-US" w:eastAsia="en-US" w:bidi="ar-SA"/>
              </w:rPr>
              <w:t>5.5</w:t>
            </w:r>
            <w:r>
              <w:rPr>
                <w:rFonts w:hint="default" w:ascii="Times New Roman" w:hAnsi="Times New Roman" w:eastAsia="宋体" w:cs="Times New Roman"/>
                <w:spacing w:val="-1"/>
                <w:kern w:val="2"/>
                <w:sz w:val="20"/>
                <w:szCs w:val="20"/>
                <w:lang w:val="en-US" w:eastAsia="en-US" w:bidi="ar-SA"/>
              </w:rPr>
              <w:t>，</w:t>
            </w:r>
            <w:r>
              <w:rPr>
                <w:rFonts w:hint="default" w:ascii="Times New Roman" w:hAnsi="Times New Roman" w:eastAsia="宋体" w:cs="Times New Roman"/>
                <w:kern w:val="2"/>
                <w:sz w:val="20"/>
                <w:szCs w:val="20"/>
                <w:lang w:val="en-US" w:eastAsia="en-US" w:bidi="ar-SA"/>
              </w:rPr>
              <w:t xml:space="preserve"> </w:t>
            </w:r>
            <w:r>
              <w:rPr>
                <w:rFonts w:hint="default" w:ascii="Times New Roman" w:hAnsi="Times New Roman" w:eastAsia="Times New Roman" w:cs="Times New Roman"/>
                <w:kern w:val="2"/>
                <w:sz w:val="20"/>
                <w:szCs w:val="20"/>
                <w:lang w:val="en-US" w:eastAsia="en-US" w:bidi="ar-SA"/>
              </w:rPr>
              <w:t>pH</w:t>
            </w:r>
            <w:r>
              <w:rPr>
                <w:rFonts w:hint="default" w:ascii="Times New Roman" w:hAnsi="Times New Roman" w:eastAsia="Times New Roman" w:cs="Times New Roman"/>
                <w:spacing w:val="7"/>
                <w:kern w:val="2"/>
                <w:sz w:val="20"/>
                <w:szCs w:val="20"/>
                <w:lang w:val="en-US" w:eastAsia="en-US" w:bidi="ar-SA"/>
              </w:rPr>
              <w:t xml:space="preserve"> &gt;9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6</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7"/>
                <w:kern w:val="2"/>
                <w:sz w:val="20"/>
                <w:szCs w:val="20"/>
                <w:lang w:val="en-US" w:eastAsia="en-US" w:bidi="ar-SA"/>
              </w:rPr>
              <w:t>总硬度</w:t>
            </w:r>
            <w:r>
              <w:rPr>
                <w:rFonts w:hint="default" w:ascii="Times New Roman" w:hAnsi="Times New Roman" w:eastAsia="Times New Roman" w:cs="Times New Roman"/>
                <w:spacing w:val="7"/>
                <w:kern w:val="2"/>
                <w:sz w:val="20"/>
                <w:szCs w:val="20"/>
                <w:lang w:val="en-US" w:eastAsia="en-US" w:bidi="ar-SA"/>
              </w:rPr>
              <w:t>(</w:t>
            </w:r>
            <w:r>
              <w:rPr>
                <w:rFonts w:hint="default" w:ascii="Times New Roman" w:hAnsi="Times New Roman" w:eastAsia="宋体" w:cs="Times New Roman"/>
                <w:spacing w:val="7"/>
                <w:kern w:val="2"/>
                <w:sz w:val="20"/>
                <w:szCs w:val="20"/>
                <w:lang w:val="en-US" w:eastAsia="en-US" w:bidi="ar-SA"/>
              </w:rPr>
              <w:t>以</w:t>
            </w:r>
            <w:r>
              <w:rPr>
                <w:rFonts w:hint="default" w:ascii="Times New Roman" w:hAnsi="Times New Roman" w:eastAsia="宋体" w:cs="Times New Roman"/>
                <w:spacing w:val="-38"/>
                <w:kern w:val="2"/>
                <w:sz w:val="20"/>
                <w:szCs w:val="20"/>
                <w:lang w:val="en-US" w:eastAsia="en-US" w:bidi="ar-SA"/>
              </w:rPr>
              <w:t xml:space="preserve"> </w:t>
            </w:r>
            <w:r>
              <w:rPr>
                <w:rFonts w:hint="default" w:ascii="Times New Roman" w:hAnsi="Times New Roman" w:eastAsia="Times New Roman" w:cs="Times New Roman"/>
                <w:kern w:val="2"/>
                <w:sz w:val="20"/>
                <w:szCs w:val="20"/>
                <w:lang w:val="en-US" w:eastAsia="en-US" w:bidi="ar-SA"/>
              </w:rPr>
              <w:t>CaCO</w:t>
            </w:r>
            <w:r>
              <w:rPr>
                <w:rFonts w:hint="default" w:ascii="Times New Roman" w:hAnsi="Times New Roman" w:eastAsia="Times New Roman" w:cs="Times New Roman"/>
                <w:spacing w:val="7"/>
                <w:kern w:val="2"/>
                <w:sz w:val="20"/>
                <w:szCs w:val="20"/>
                <w:vertAlign w:val="subscript"/>
                <w:lang w:val="en-US" w:eastAsia="en-US" w:bidi="ar-SA"/>
              </w:rPr>
              <w:t>3</w:t>
            </w:r>
            <w:r>
              <w:rPr>
                <w:rFonts w:hint="default" w:ascii="Times New Roman" w:hAnsi="Times New Roman" w:eastAsia="Times New Roman" w:cs="Times New Roman"/>
                <w:spacing w:val="7"/>
                <w:kern w:val="2"/>
                <w:sz w:val="20"/>
                <w:szCs w:val="20"/>
                <w:lang w:val="en-US" w:eastAsia="en-US" w:bidi="ar-SA"/>
              </w:rPr>
              <w:t xml:space="preserve"> </w:t>
            </w:r>
            <w:r>
              <w:rPr>
                <w:rFonts w:hint="default" w:ascii="Times New Roman" w:hAnsi="Times New Roman" w:eastAsia="宋体" w:cs="Times New Roman"/>
                <w:spacing w:val="7"/>
                <w:kern w:val="2"/>
                <w:sz w:val="20"/>
                <w:szCs w:val="20"/>
                <w:lang w:val="en-US" w:eastAsia="en-US" w:bidi="ar-SA"/>
              </w:rPr>
              <w:t>计</w:t>
            </w:r>
            <w:r>
              <w:rPr>
                <w:rFonts w:hint="default" w:ascii="Times New Roman" w:hAnsi="Times New Roman" w:eastAsia="Times New Roman" w:cs="Times New Roman"/>
                <w:spacing w:val="7"/>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7"/>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≤150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≤300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≤450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≤650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&gt;650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7</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7"/>
                <w:kern w:val="2"/>
                <w:sz w:val="20"/>
                <w:szCs w:val="20"/>
                <w:lang w:val="en-US" w:eastAsia="en-US" w:bidi="ar-SA"/>
              </w:rPr>
              <w:t>溶解性总固体</w:t>
            </w:r>
            <w:r>
              <w:rPr>
                <w:rFonts w:hint="default" w:ascii="Times New Roman" w:hAnsi="Times New Roman" w:eastAsia="Times New Roman" w:cs="Times New Roman"/>
                <w:spacing w:val="7"/>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7"/>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≤300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≤500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≤1000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≤2000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&gt;2000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8</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7"/>
                <w:kern w:val="2"/>
                <w:sz w:val="20"/>
                <w:szCs w:val="20"/>
                <w:lang w:val="en-US" w:eastAsia="en-US" w:bidi="ar-SA"/>
              </w:rPr>
              <w:t>硫酸盐</w:t>
            </w:r>
            <w:r>
              <w:rPr>
                <w:rFonts w:hint="default" w:ascii="Times New Roman" w:hAnsi="Times New Roman" w:eastAsia="Times New Roman" w:cs="Times New Roman"/>
                <w:spacing w:val="7"/>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7"/>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≤50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≤150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≤250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≤350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&gt;350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kern w:val="2"/>
                <w:sz w:val="20"/>
                <w:szCs w:val="20"/>
                <w:lang w:val="en-US" w:eastAsia="en-US" w:bidi="ar-SA"/>
              </w:rPr>
              <w:t>9</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氯化物</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≤50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≤150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≤250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≤350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&gt;350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8"/>
                <w:kern w:val="2"/>
                <w:sz w:val="20"/>
                <w:szCs w:val="20"/>
                <w:lang w:val="en-US" w:eastAsia="en-US" w:bidi="ar-SA"/>
              </w:rPr>
              <w:t>10</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铁</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Fe</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≤0.</w:t>
            </w:r>
            <w:r>
              <w:rPr>
                <w:rFonts w:hint="default" w:ascii="Times New Roman" w:hAnsi="Times New Roman" w:eastAsia="Times New Roman" w:cs="Times New Roman"/>
                <w:spacing w:val="-24"/>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≤0.2</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3"/>
                <w:kern w:val="2"/>
                <w:sz w:val="20"/>
                <w:szCs w:val="20"/>
                <w:lang w:val="en-US" w:eastAsia="en-US" w:bidi="ar-SA"/>
              </w:rPr>
              <w:t>≤0.3</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≤2.0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0"/>
                <w:kern w:val="2"/>
                <w:sz w:val="20"/>
                <w:szCs w:val="20"/>
                <w:lang w:val="en-US" w:eastAsia="en-US" w:bidi="ar-SA"/>
              </w:rPr>
              <w:t>11</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锰</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Mn</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≤0.05</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≤0.05</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2"/>
                <w:kern w:val="2"/>
                <w:sz w:val="20"/>
                <w:szCs w:val="20"/>
                <w:lang w:val="en-US" w:eastAsia="en-US" w:bidi="ar-SA"/>
              </w:rPr>
              <w:t>≤0.</w:t>
            </w:r>
            <w:r>
              <w:rPr>
                <w:rFonts w:hint="default" w:ascii="Times New Roman" w:hAnsi="Times New Roman" w:eastAsia="Times New Roman" w:cs="Times New Roman"/>
                <w:b/>
                <w:bCs/>
                <w:spacing w:val="-24"/>
                <w:kern w:val="2"/>
                <w:sz w:val="20"/>
                <w:szCs w:val="20"/>
                <w:lang w:val="en-US" w:eastAsia="en-US" w:bidi="ar-SA"/>
              </w:rPr>
              <w:t xml:space="preserve"> </w:t>
            </w:r>
            <w:r>
              <w:rPr>
                <w:rFonts w:hint="default" w:ascii="Times New Roman" w:hAnsi="Times New Roman" w:eastAsia="Times New Roman" w:cs="Times New Roman"/>
                <w:b/>
                <w:bCs/>
                <w:spacing w:val="2"/>
                <w:kern w:val="2"/>
                <w:sz w:val="20"/>
                <w:szCs w:val="20"/>
                <w:lang w:val="en-US" w:eastAsia="en-US" w:bidi="ar-SA"/>
              </w:rPr>
              <w:t>1</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≤1.5</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8"/>
                <w:kern w:val="2"/>
                <w:sz w:val="20"/>
                <w:szCs w:val="20"/>
                <w:lang w:val="en-US" w:eastAsia="en-US" w:bidi="ar-SA"/>
              </w:rPr>
              <w:t>12</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铜</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Cu</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≤0.01</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≤0.05</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3"/>
                <w:kern w:val="2"/>
                <w:sz w:val="20"/>
                <w:szCs w:val="20"/>
                <w:lang w:val="en-US" w:eastAsia="en-US" w:bidi="ar-SA"/>
              </w:rPr>
              <w:t>≤1.0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≤1.5</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8"/>
                <w:kern w:val="2"/>
                <w:sz w:val="20"/>
                <w:szCs w:val="20"/>
                <w:lang w:val="en-US" w:eastAsia="en-US" w:bidi="ar-SA"/>
              </w:rPr>
              <w:t>13</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锌</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Zn</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≤0.05</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≤0.5</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3"/>
                <w:kern w:val="2"/>
                <w:sz w:val="20"/>
                <w:szCs w:val="20"/>
                <w:lang w:val="en-US" w:eastAsia="en-US" w:bidi="ar-SA"/>
              </w:rPr>
              <w:t>≤1.0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≤5.0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9"/>
                <w:kern w:val="2"/>
                <w:sz w:val="20"/>
                <w:szCs w:val="20"/>
                <w:lang w:val="en-US" w:eastAsia="en-US" w:bidi="ar-SA"/>
              </w:rPr>
              <w:t>14</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7"/>
                <w:kern w:val="2"/>
                <w:sz w:val="20"/>
                <w:szCs w:val="20"/>
                <w:lang w:val="en-US" w:eastAsia="en-US" w:bidi="ar-SA"/>
              </w:rPr>
              <w:t>挥发性酚类</w:t>
            </w:r>
            <w:r>
              <w:rPr>
                <w:rFonts w:hint="default" w:ascii="Times New Roman" w:hAnsi="Times New Roman" w:eastAsia="Times New Roman" w:cs="Times New Roman"/>
                <w:spacing w:val="7"/>
                <w:kern w:val="2"/>
                <w:sz w:val="20"/>
                <w:szCs w:val="20"/>
                <w:lang w:val="en-US" w:eastAsia="en-US" w:bidi="ar-SA"/>
              </w:rPr>
              <w:t>(</w:t>
            </w:r>
            <w:r>
              <w:rPr>
                <w:rFonts w:hint="default" w:ascii="Times New Roman" w:hAnsi="Times New Roman" w:eastAsia="宋体" w:cs="Times New Roman"/>
                <w:spacing w:val="7"/>
                <w:kern w:val="2"/>
                <w:sz w:val="20"/>
                <w:szCs w:val="20"/>
                <w:lang w:val="en-US" w:eastAsia="en-US" w:bidi="ar-SA"/>
              </w:rPr>
              <w:t>以苯酚</w:t>
            </w:r>
            <w:r>
              <w:rPr>
                <w:rFonts w:hint="default" w:ascii="Times New Roman" w:hAnsi="Times New Roman" w:eastAsia="Times New Roman" w:cs="Times New Roman"/>
                <w:spacing w:val="7"/>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7"/>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≤0.001</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≤0.001</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≤0.002</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≤0.0l</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9"/>
                <w:kern w:val="2"/>
                <w:sz w:val="20"/>
                <w:szCs w:val="20"/>
                <w:lang w:val="en-US" w:eastAsia="en-US" w:bidi="ar-SA"/>
              </w:rPr>
              <w:t>15</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硝酸盐</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宋体" w:cs="Times New Roman"/>
                <w:spacing w:val="6"/>
                <w:kern w:val="2"/>
                <w:sz w:val="20"/>
                <w:szCs w:val="20"/>
                <w:lang w:val="en-US" w:eastAsia="en-US" w:bidi="ar-SA"/>
              </w:rPr>
              <w:t>以</w:t>
            </w:r>
            <w:r>
              <w:rPr>
                <w:rFonts w:hint="default" w:ascii="Times New Roman" w:hAnsi="Times New Roman" w:eastAsia="宋体" w:cs="Times New Roman"/>
                <w:spacing w:val="-38"/>
                <w:kern w:val="2"/>
                <w:sz w:val="20"/>
                <w:szCs w:val="20"/>
                <w:lang w:val="en-US" w:eastAsia="en-US" w:bidi="ar-SA"/>
              </w:rPr>
              <w:t xml:space="preserve"> </w:t>
            </w:r>
            <w:r>
              <w:rPr>
                <w:rFonts w:hint="default" w:ascii="Times New Roman" w:hAnsi="Times New Roman" w:eastAsia="Times New Roman" w:cs="Times New Roman"/>
                <w:spacing w:val="6"/>
                <w:kern w:val="2"/>
                <w:sz w:val="20"/>
                <w:szCs w:val="20"/>
                <w:lang w:val="en-US" w:eastAsia="en-US" w:bidi="ar-SA"/>
              </w:rPr>
              <w:t xml:space="preserve">N </w:t>
            </w:r>
            <w:r>
              <w:rPr>
                <w:rFonts w:hint="default" w:ascii="Times New Roman" w:hAnsi="Times New Roman" w:eastAsia="宋体" w:cs="Times New Roman"/>
                <w:spacing w:val="6"/>
                <w:kern w:val="2"/>
                <w:sz w:val="20"/>
                <w:szCs w:val="20"/>
                <w:lang w:val="en-US" w:eastAsia="en-US" w:bidi="ar-SA"/>
              </w:rPr>
              <w:t>计〕</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≤2.0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≤5.0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≤20.0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≤30.0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9"/>
                <w:kern w:val="2"/>
                <w:sz w:val="20"/>
                <w:szCs w:val="20"/>
                <w:lang w:val="en-US" w:eastAsia="en-US" w:bidi="ar-SA"/>
              </w:rPr>
              <w:t>16</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亚硝酸盐</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宋体" w:cs="Times New Roman"/>
                <w:spacing w:val="6"/>
                <w:kern w:val="2"/>
                <w:sz w:val="20"/>
                <w:szCs w:val="20"/>
                <w:lang w:val="en-US" w:eastAsia="en-US" w:bidi="ar-SA"/>
              </w:rPr>
              <w:t>以</w:t>
            </w:r>
            <w:r>
              <w:rPr>
                <w:rFonts w:hint="default" w:ascii="Times New Roman" w:hAnsi="Times New Roman" w:eastAsia="宋体" w:cs="Times New Roman"/>
                <w:spacing w:val="-43"/>
                <w:kern w:val="2"/>
                <w:sz w:val="20"/>
                <w:szCs w:val="20"/>
                <w:lang w:val="en-US" w:eastAsia="en-US" w:bidi="ar-SA"/>
              </w:rPr>
              <w:t xml:space="preserve"> </w:t>
            </w:r>
            <w:r>
              <w:rPr>
                <w:rFonts w:hint="default" w:ascii="Times New Roman" w:hAnsi="Times New Roman" w:eastAsia="Times New Roman" w:cs="Times New Roman"/>
                <w:spacing w:val="6"/>
                <w:kern w:val="2"/>
                <w:sz w:val="20"/>
                <w:szCs w:val="20"/>
                <w:lang w:val="en-US" w:eastAsia="en-US" w:bidi="ar-SA"/>
              </w:rPr>
              <w:t xml:space="preserve">N </w:t>
            </w:r>
            <w:r>
              <w:rPr>
                <w:rFonts w:hint="default" w:ascii="Times New Roman" w:hAnsi="Times New Roman" w:eastAsia="宋体" w:cs="Times New Roman"/>
                <w:spacing w:val="6"/>
                <w:kern w:val="2"/>
                <w:sz w:val="20"/>
                <w:szCs w:val="20"/>
                <w:lang w:val="en-US" w:eastAsia="en-US" w:bidi="ar-SA"/>
              </w:rPr>
              <w:t>计</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≤0.01</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≤0.10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≤1.00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≤4.80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&gt;4.80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9"/>
                <w:kern w:val="2"/>
                <w:sz w:val="20"/>
                <w:szCs w:val="20"/>
                <w:lang w:val="en-US" w:eastAsia="en-US" w:bidi="ar-SA"/>
              </w:rPr>
              <w:t>17</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7"/>
                <w:kern w:val="2"/>
                <w:sz w:val="20"/>
                <w:szCs w:val="20"/>
                <w:lang w:val="en-US" w:eastAsia="en-US" w:bidi="ar-SA"/>
              </w:rPr>
              <w:t>氨氮</w:t>
            </w:r>
            <w:r>
              <w:rPr>
                <w:rFonts w:hint="default" w:ascii="Times New Roman" w:hAnsi="Times New Roman" w:eastAsia="Times New Roman" w:cs="Times New Roman"/>
                <w:spacing w:val="7"/>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NH</w:t>
            </w:r>
            <w:r>
              <w:rPr>
                <w:rFonts w:hint="default" w:ascii="Times New Roman" w:hAnsi="Times New Roman" w:eastAsia="Times New Roman" w:cs="Times New Roman"/>
                <w:spacing w:val="7"/>
                <w:kern w:val="2"/>
                <w:sz w:val="20"/>
                <w:szCs w:val="20"/>
                <w:lang w:val="en-US" w:eastAsia="en-US" w:bidi="ar-SA"/>
              </w:rPr>
              <w:t>4)(</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7"/>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≤0.02</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≤0.10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≤0.50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≤1.50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9"/>
                <w:kern w:val="2"/>
                <w:sz w:val="20"/>
                <w:szCs w:val="20"/>
                <w:lang w:val="en-US" w:eastAsia="en-US" w:bidi="ar-SA"/>
              </w:rPr>
              <w:t>18</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氟化物</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≤1.0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≤1.0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3"/>
                <w:kern w:val="2"/>
                <w:sz w:val="20"/>
                <w:szCs w:val="20"/>
                <w:lang w:val="en-US" w:eastAsia="en-US" w:bidi="ar-SA"/>
              </w:rPr>
              <w:t>≤1.0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≤2.0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8"/>
                <w:kern w:val="2"/>
                <w:sz w:val="20"/>
                <w:szCs w:val="20"/>
                <w:lang w:val="en-US" w:eastAsia="en-US" w:bidi="ar-SA"/>
              </w:rPr>
              <w:t>19</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7"/>
                <w:kern w:val="2"/>
                <w:sz w:val="20"/>
                <w:szCs w:val="20"/>
                <w:lang w:val="en-US" w:eastAsia="en-US" w:bidi="ar-SA"/>
              </w:rPr>
              <w:t>氰化物</w:t>
            </w:r>
            <w:r>
              <w:rPr>
                <w:rFonts w:hint="default" w:ascii="Times New Roman" w:hAnsi="Times New Roman" w:eastAsia="Times New Roman" w:cs="Times New Roman"/>
                <w:spacing w:val="7"/>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7"/>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≤0.001</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≤0.01</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≤0.05</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≤0.</w:t>
            </w:r>
            <w:r>
              <w:rPr>
                <w:rFonts w:hint="default" w:ascii="Times New Roman" w:hAnsi="Times New Roman" w:eastAsia="Times New Roman" w:cs="Times New Roman"/>
                <w:spacing w:val="-24"/>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&gt;0.</w:t>
            </w:r>
            <w:r>
              <w:rPr>
                <w:rFonts w:hint="default" w:ascii="Times New Roman" w:hAnsi="Times New Roman" w:eastAsia="Times New Roman" w:cs="Times New Roman"/>
                <w:spacing w:val="-25"/>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20</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汞</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Hg</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≤0.0001</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≤0.0001</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≤0.001</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≤0.002</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&gt;0.002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21</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砷</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As</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≤0.001</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≤0.001</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≤0.01</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≤0.05</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22</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镉</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Cd</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≤0.0001</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≤0.001</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≤0.005</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≤0.01</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&gt;0.</w:t>
            </w:r>
            <w:r>
              <w:rPr>
                <w:rFonts w:hint="default" w:ascii="Times New Roman" w:hAnsi="Times New Roman" w:eastAsia="Times New Roman" w:cs="Times New Roman"/>
                <w:spacing w:val="-25"/>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23</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铬</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宋体" w:cs="Times New Roman"/>
                <w:spacing w:val="6"/>
                <w:kern w:val="2"/>
                <w:sz w:val="20"/>
                <w:szCs w:val="20"/>
                <w:lang w:val="en-US" w:eastAsia="en-US" w:bidi="ar-SA"/>
              </w:rPr>
              <w:t>六价</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Cr</w:t>
            </w:r>
            <w:r>
              <w:rPr>
                <w:rFonts w:hint="default" w:ascii="Times New Roman" w:hAnsi="Times New Roman" w:eastAsia="Times New Roman" w:cs="Times New Roman"/>
                <w:spacing w:val="6"/>
                <w:kern w:val="2"/>
                <w:sz w:val="20"/>
                <w:szCs w:val="20"/>
                <w:vertAlign w:val="superscript"/>
                <w:lang w:val="en-US" w:eastAsia="en-US" w:bidi="ar-SA"/>
              </w:rPr>
              <w:t>6+</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r>
              <w:rPr>
                <w:rFonts w:hint="default" w:ascii="Times New Roman" w:hAnsi="Times New Roman" w:eastAsia="宋体" w:cs="Times New Roman"/>
                <w:spacing w:val="6"/>
                <w:kern w:val="2"/>
                <w:sz w:val="20"/>
                <w:szCs w:val="20"/>
                <w:lang w:val="en-US" w:eastAsia="en-US" w:bidi="ar-SA"/>
              </w:rPr>
              <w:t>〕</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≤0.005</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≤0.01</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≤0.05</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≤0.</w:t>
            </w:r>
            <w:r>
              <w:rPr>
                <w:rFonts w:hint="default" w:ascii="Times New Roman" w:hAnsi="Times New Roman" w:eastAsia="Times New Roman" w:cs="Times New Roman"/>
                <w:spacing w:val="-24"/>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&gt;0.</w:t>
            </w:r>
            <w:r>
              <w:rPr>
                <w:rFonts w:hint="default" w:ascii="Times New Roman" w:hAnsi="Times New Roman" w:eastAsia="Times New Roman" w:cs="Times New Roman"/>
                <w:spacing w:val="-25"/>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24</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铅</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Pb</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≤0.005</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≤0.005</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≤0.01</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≤0.</w:t>
            </w:r>
            <w:r>
              <w:rPr>
                <w:rFonts w:hint="default" w:ascii="Times New Roman" w:hAnsi="Times New Roman" w:eastAsia="Times New Roman" w:cs="Times New Roman"/>
                <w:spacing w:val="-24"/>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&gt;0.</w:t>
            </w:r>
            <w:r>
              <w:rPr>
                <w:rFonts w:hint="default" w:ascii="Times New Roman" w:hAnsi="Times New Roman" w:eastAsia="Times New Roman" w:cs="Times New Roman"/>
                <w:spacing w:val="-25"/>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25</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8"/>
                <w:kern w:val="2"/>
                <w:sz w:val="20"/>
                <w:szCs w:val="20"/>
                <w:lang w:val="en-US" w:eastAsia="en-US" w:bidi="ar-SA"/>
              </w:rPr>
              <w:t>镍（</w:t>
            </w:r>
            <w:r>
              <w:rPr>
                <w:rFonts w:hint="default" w:ascii="Times New Roman" w:hAnsi="Times New Roman" w:eastAsia="Times New Roman" w:cs="Times New Roman"/>
                <w:kern w:val="2"/>
                <w:sz w:val="20"/>
                <w:szCs w:val="20"/>
                <w:lang w:val="en-US" w:eastAsia="en-US" w:bidi="ar-SA"/>
              </w:rPr>
              <w:t>Ni</w:t>
            </w:r>
            <w:r>
              <w:rPr>
                <w:rFonts w:hint="default" w:ascii="Times New Roman" w:hAnsi="Times New Roman" w:eastAsia="宋体" w:cs="Times New Roman"/>
                <w:spacing w:val="8"/>
                <w:kern w:val="2"/>
                <w:sz w:val="20"/>
                <w:szCs w:val="20"/>
                <w:lang w:val="en-US" w:eastAsia="en-US" w:bidi="ar-SA"/>
              </w:rPr>
              <w:t>）</w:t>
            </w:r>
            <w:r>
              <w:rPr>
                <w:rFonts w:hint="default" w:ascii="Times New Roman" w:hAnsi="Times New Roman" w:eastAsia="Times New Roman" w:cs="Times New Roman"/>
                <w:spacing w:val="8"/>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8"/>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≤0.002</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≤0.002</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≤0.02</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≤0.</w:t>
            </w:r>
            <w:r>
              <w:rPr>
                <w:rFonts w:hint="default" w:ascii="Times New Roman" w:hAnsi="Times New Roman" w:eastAsia="Times New Roman" w:cs="Times New Roman"/>
                <w:spacing w:val="-24"/>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&gt;0.</w:t>
            </w:r>
            <w:r>
              <w:rPr>
                <w:rFonts w:hint="default" w:ascii="Times New Roman" w:hAnsi="Times New Roman" w:eastAsia="Times New Roman" w:cs="Times New Roman"/>
                <w:spacing w:val="-25"/>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1"/>
                <w:kern w:val="2"/>
                <w:sz w:val="20"/>
                <w:szCs w:val="20"/>
                <w:lang w:val="en-US" w:eastAsia="en-US" w:bidi="ar-SA"/>
              </w:rPr>
              <w:t>26</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8"/>
                <w:kern w:val="2"/>
                <w:sz w:val="20"/>
                <w:szCs w:val="20"/>
                <w:lang w:val="en-US" w:eastAsia="en-US" w:bidi="ar-SA"/>
              </w:rPr>
              <w:t>钴（</w:t>
            </w:r>
            <w:r>
              <w:rPr>
                <w:rFonts w:hint="default" w:ascii="Times New Roman" w:hAnsi="Times New Roman" w:eastAsia="Times New Roman" w:cs="Times New Roman"/>
                <w:kern w:val="2"/>
                <w:sz w:val="20"/>
                <w:szCs w:val="20"/>
                <w:lang w:val="en-US" w:eastAsia="en-US" w:bidi="ar-SA"/>
              </w:rPr>
              <w:t>Co</w:t>
            </w:r>
            <w:r>
              <w:rPr>
                <w:rFonts w:hint="default" w:ascii="Times New Roman" w:hAnsi="Times New Roman" w:eastAsia="宋体" w:cs="Times New Roman"/>
                <w:spacing w:val="8"/>
                <w:kern w:val="2"/>
                <w:sz w:val="20"/>
                <w:szCs w:val="20"/>
                <w:lang w:val="en-US" w:eastAsia="en-US" w:bidi="ar-SA"/>
              </w:rPr>
              <w:t>）</w:t>
            </w:r>
            <w:r>
              <w:rPr>
                <w:rFonts w:hint="default" w:ascii="Times New Roman" w:hAnsi="Times New Roman" w:eastAsia="Times New Roman" w:cs="Times New Roman"/>
                <w:spacing w:val="8"/>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8"/>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≤0.005</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≤0.005</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3"/>
                <w:kern w:val="2"/>
                <w:sz w:val="20"/>
                <w:szCs w:val="20"/>
                <w:lang w:val="en-US" w:eastAsia="en-US" w:bidi="ar-SA"/>
              </w:rPr>
              <w:t>≤0.05</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≤0.</w:t>
            </w:r>
            <w:r>
              <w:rPr>
                <w:rFonts w:hint="default" w:ascii="Times New Roman" w:hAnsi="Times New Roman" w:eastAsia="Times New Roman" w:cs="Times New Roman"/>
                <w:spacing w:val="-24"/>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&gt;0.</w:t>
            </w:r>
            <w:r>
              <w:rPr>
                <w:rFonts w:hint="default" w:ascii="Times New Roman" w:hAnsi="Times New Roman" w:eastAsia="Times New Roman" w:cs="Times New Roman"/>
                <w:spacing w:val="-25"/>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27</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宋体" w:cs="Times New Roman"/>
                <w:spacing w:val="5"/>
                <w:kern w:val="2"/>
                <w:sz w:val="20"/>
                <w:szCs w:val="20"/>
                <w:lang w:val="en-US" w:eastAsia="en-US" w:bidi="ar-SA"/>
              </w:rPr>
              <w:t>总大肠菌群</w:t>
            </w:r>
            <w:r>
              <w:rPr>
                <w:rFonts w:hint="default" w:ascii="Times New Roman" w:hAnsi="Times New Roman" w:eastAsia="Times New Roman" w:cs="Times New Roman"/>
                <w:spacing w:val="5"/>
                <w:kern w:val="2"/>
                <w:sz w:val="20"/>
                <w:szCs w:val="20"/>
                <w:lang w:val="en-US" w:eastAsia="en-US" w:bidi="ar-SA"/>
              </w:rPr>
              <w:t>(</w:t>
            </w:r>
            <w:r>
              <w:rPr>
                <w:rFonts w:hint="default" w:ascii="Times New Roman" w:hAnsi="Times New Roman" w:eastAsia="宋体" w:cs="Times New Roman"/>
                <w:spacing w:val="5"/>
                <w:kern w:val="2"/>
                <w:sz w:val="20"/>
                <w:szCs w:val="20"/>
                <w:lang w:val="en-US" w:eastAsia="en-US" w:bidi="ar-SA"/>
              </w:rPr>
              <w:t>个</w:t>
            </w:r>
            <w:r>
              <w:rPr>
                <w:rFonts w:hint="default" w:ascii="Times New Roman" w:hAnsi="Times New Roman" w:eastAsia="Times New Roman" w:cs="Times New Roman"/>
                <w:spacing w:val="5"/>
                <w:kern w:val="2"/>
                <w:sz w:val="20"/>
                <w:szCs w:val="20"/>
                <w:lang w:val="en-US" w:eastAsia="en-US" w:bidi="ar-SA"/>
              </w:rPr>
              <w:t>/L)</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≤3.0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≤3.0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3"/>
                <w:kern w:val="2"/>
                <w:sz w:val="20"/>
                <w:szCs w:val="20"/>
                <w:lang w:val="en-US" w:eastAsia="en-US" w:bidi="ar-SA"/>
              </w:rPr>
              <w:t>≤3.0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≤100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&gt;100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28</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0"/>
                <w:szCs w:val="20"/>
                <w:lang w:val="en-US" w:eastAsia="en-US" w:bidi="ar-SA"/>
              </w:rPr>
            </w:pPr>
            <w:r>
              <w:rPr>
                <w:rFonts w:hint="default" w:ascii="Times New Roman" w:hAnsi="Times New Roman" w:eastAsia="宋体" w:cs="Times New Roman"/>
                <w:spacing w:val="9"/>
                <w:kern w:val="2"/>
                <w:sz w:val="20"/>
                <w:szCs w:val="20"/>
                <w:lang w:val="en-US" w:eastAsia="en-US" w:bidi="ar-SA"/>
              </w:rPr>
              <w:t>菌落总数</w:t>
            </w:r>
            <w:r>
              <w:rPr>
                <w:rFonts w:hint="default" w:ascii="Times New Roman" w:hAnsi="Times New Roman" w:eastAsia="Times New Roman" w:cs="Times New Roman"/>
                <w:spacing w:val="9"/>
                <w:kern w:val="2"/>
                <w:sz w:val="20"/>
                <w:szCs w:val="20"/>
                <w:lang w:val="en-US" w:eastAsia="en-US" w:bidi="ar-SA"/>
              </w:rPr>
              <w:t>/</w:t>
            </w:r>
            <w:r>
              <w:rPr>
                <w:rFonts w:hint="default" w:ascii="Times New Roman" w:hAnsi="Times New Roman" w:eastAsia="宋体" w:cs="Times New Roman"/>
                <w:spacing w:val="9"/>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CFU</w:t>
            </w:r>
            <w:r>
              <w:rPr>
                <w:rFonts w:hint="default" w:ascii="Times New Roman" w:hAnsi="Times New Roman" w:eastAsia="Times New Roman" w:cs="Times New Roman"/>
                <w:spacing w:val="9"/>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mL</w:t>
            </w:r>
            <w:r>
              <w:rPr>
                <w:rFonts w:hint="default" w:ascii="Times New Roman" w:hAnsi="Times New Roman" w:eastAsia="宋体" w:cs="Times New Roman"/>
                <w:spacing w:val="9"/>
                <w:kern w:val="2"/>
                <w:sz w:val="20"/>
                <w:szCs w:val="20"/>
                <w:lang w:val="en-US" w:eastAsia="en-US" w:bidi="ar-SA"/>
              </w:rPr>
              <w:t>）</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≤100</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≤100</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4"/>
                <w:kern w:val="2"/>
                <w:sz w:val="20"/>
                <w:szCs w:val="20"/>
                <w:lang w:val="en-US" w:eastAsia="en-US" w:bidi="ar-SA"/>
              </w:rPr>
              <w:t>≤100</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≤1000</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4"/>
                <w:kern w:val="2"/>
                <w:sz w:val="20"/>
                <w:szCs w:val="20"/>
                <w:lang w:val="en-US" w:eastAsia="en-US" w:bidi="ar-SA"/>
              </w:rPr>
              <w:t>&gt;1000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29</w:t>
            </w:r>
          </w:p>
        </w:tc>
        <w:tc>
          <w:tcPr>
            <w:tcW w:w="2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0"/>
                <w:szCs w:val="20"/>
                <w:lang w:val="en-US" w:eastAsia="en-US" w:bidi="ar-SA"/>
              </w:rPr>
            </w:pPr>
            <w:r>
              <w:rPr>
                <w:rFonts w:hint="default" w:ascii="Times New Roman" w:hAnsi="Times New Roman" w:eastAsia="宋体" w:cs="Times New Roman"/>
                <w:spacing w:val="6"/>
                <w:kern w:val="2"/>
                <w:sz w:val="20"/>
                <w:szCs w:val="20"/>
                <w:lang w:val="en-US" w:eastAsia="en-US" w:bidi="ar-SA"/>
              </w:rPr>
              <w:t>阴离子表面活性剂</w:t>
            </w:r>
            <w:r>
              <w:rPr>
                <w:rFonts w:hint="default" w:ascii="Times New Roman" w:hAnsi="Times New Roman" w:eastAsia="Times New Roman" w:cs="Times New Roman"/>
                <w:spacing w:val="6"/>
                <w:kern w:val="2"/>
                <w:sz w:val="20"/>
                <w:szCs w:val="20"/>
                <w:lang w:val="en-US" w:eastAsia="en-US" w:bidi="ar-SA"/>
              </w:rPr>
              <w:t>/</w:t>
            </w:r>
            <w:r>
              <w:rPr>
                <w:rFonts w:hint="default" w:ascii="Times New Roman" w:hAnsi="Times New Roman" w:eastAsia="宋体" w:cs="Times New Roman"/>
                <w:spacing w:val="6"/>
                <w:kern w:val="2"/>
                <w:sz w:val="20"/>
                <w:szCs w:val="20"/>
                <w:lang w:val="en-US" w:eastAsia="en-US" w:bidi="ar-SA"/>
              </w:rPr>
              <w:t>（</w:t>
            </w:r>
            <w:r>
              <w:rPr>
                <w:rFonts w:hint="default" w:ascii="Times New Roman" w:hAnsi="Times New Roman" w:eastAsia="Times New Roman" w:cs="Times New Roman"/>
                <w:kern w:val="2"/>
                <w:sz w:val="20"/>
                <w:szCs w:val="20"/>
                <w:lang w:val="en-US" w:eastAsia="en-US" w:bidi="ar-SA"/>
              </w:rPr>
              <w:t>mg</w:t>
            </w:r>
            <w:r>
              <w:rPr>
                <w:rFonts w:hint="default" w:ascii="Times New Roman" w:hAnsi="Times New Roman" w:eastAsia="Times New Roman" w:cs="Times New Roman"/>
                <w:spacing w:val="6"/>
                <w:kern w:val="2"/>
                <w:sz w:val="20"/>
                <w:szCs w:val="20"/>
                <w:lang w:val="en-US" w:eastAsia="en-US" w:bidi="ar-SA"/>
              </w:rPr>
              <w:t>/L</w:t>
            </w:r>
            <w:r>
              <w:rPr>
                <w:rFonts w:hint="default" w:ascii="Times New Roman" w:hAnsi="Times New Roman" w:eastAsia="宋体" w:cs="Times New Roman"/>
                <w:spacing w:val="6"/>
                <w:kern w:val="2"/>
                <w:sz w:val="20"/>
                <w:szCs w:val="20"/>
                <w:lang w:val="en-US" w:eastAsia="en-US" w:bidi="ar-SA"/>
              </w:rPr>
              <w:t>）</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kern w:val="2"/>
                <w:sz w:val="20"/>
                <w:szCs w:val="20"/>
                <w:lang w:eastAsia="zh-CN"/>
              </w:rPr>
            </w:pPr>
            <w:r>
              <w:rPr>
                <w:rFonts w:hint="default" w:ascii="Times New Roman" w:hAnsi="Times New Roman" w:eastAsia="宋体" w:cs="Times New Roman"/>
                <w:snapToGrid/>
                <w:spacing w:val="6"/>
                <w:kern w:val="2"/>
                <w:sz w:val="20"/>
                <w:szCs w:val="20"/>
                <w:lang w:eastAsia="zh-CN"/>
              </w:rPr>
              <w:t>不得检出</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2"/>
                <w:kern w:val="2"/>
                <w:sz w:val="20"/>
                <w:szCs w:val="20"/>
                <w:lang w:val="en-US" w:eastAsia="en-US" w:bidi="ar-SA"/>
              </w:rPr>
              <w:t>≤0.</w:t>
            </w:r>
            <w:r>
              <w:rPr>
                <w:rFonts w:hint="default" w:ascii="Times New Roman" w:hAnsi="Times New Roman" w:eastAsia="Times New Roman" w:cs="Times New Roman"/>
                <w:spacing w:val="-24"/>
                <w:kern w:val="2"/>
                <w:sz w:val="20"/>
                <w:szCs w:val="20"/>
                <w:lang w:val="en-US" w:eastAsia="en-US" w:bidi="ar-SA"/>
              </w:rPr>
              <w:t xml:space="preserve"> </w:t>
            </w:r>
            <w:r>
              <w:rPr>
                <w:rFonts w:hint="default" w:ascii="Times New Roman" w:hAnsi="Times New Roman" w:eastAsia="Times New Roman" w:cs="Times New Roman"/>
                <w:spacing w:val="2"/>
                <w:kern w:val="2"/>
                <w:sz w:val="20"/>
                <w:szCs w:val="20"/>
                <w:lang w:val="en-US" w:eastAsia="en-US" w:bidi="ar-SA"/>
              </w:rPr>
              <w:t>1</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kern w:val="2"/>
                <w:sz w:val="20"/>
                <w:szCs w:val="20"/>
                <w:lang w:val="en-US" w:eastAsia="en-US" w:bidi="ar-SA"/>
              </w:rPr>
            </w:pPr>
            <w:r>
              <w:rPr>
                <w:rFonts w:hint="default" w:ascii="Times New Roman" w:hAnsi="Times New Roman" w:eastAsia="Times New Roman" w:cs="Times New Roman"/>
                <w:b/>
                <w:bCs/>
                <w:spacing w:val="3"/>
                <w:kern w:val="2"/>
                <w:sz w:val="20"/>
                <w:szCs w:val="20"/>
                <w:lang w:val="en-US" w:eastAsia="en-US" w:bidi="ar-SA"/>
              </w:rPr>
              <w:t>≤0.3</w:t>
            </w:r>
          </w:p>
        </w:tc>
        <w:tc>
          <w:tcPr>
            <w:tcW w:w="14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≤0.3</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kern w:val="2"/>
                <w:sz w:val="20"/>
                <w:szCs w:val="20"/>
                <w:lang w:val="en-US" w:eastAsia="en-US" w:bidi="ar-SA"/>
              </w:rPr>
            </w:pPr>
            <w:r>
              <w:rPr>
                <w:rFonts w:hint="default" w:ascii="Times New Roman" w:hAnsi="Times New Roman" w:eastAsia="Times New Roman" w:cs="Times New Roman"/>
                <w:spacing w:val="3"/>
                <w:kern w:val="2"/>
                <w:sz w:val="20"/>
                <w:szCs w:val="20"/>
                <w:lang w:val="en-US" w:eastAsia="en-US" w:bidi="ar-SA"/>
              </w:rPr>
              <w:t>&gt;0.3</w:t>
            </w:r>
          </w:p>
        </w:tc>
      </w:tr>
    </w:tbl>
    <w:p>
      <w:pPr>
        <w:keepNext w:val="0"/>
        <w:keepLines w:val="0"/>
        <w:pageBreakBefore w:val="0"/>
        <w:widowControl/>
        <w:kinsoku/>
        <w:wordWrap/>
        <w:overflowPunct/>
        <w:topLinePunct w:val="0"/>
        <w:autoSpaceDE/>
        <w:autoSpaceDN/>
        <w:bidi w:val="0"/>
        <w:adjustRightInd/>
        <w:snapToGrid/>
        <w:spacing w:before="0" w:beforeLines="50"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）声功能区划</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本项目位于</w:t>
      </w:r>
      <w:r>
        <w:rPr>
          <w:rFonts w:hint="eastAsia" w:ascii="Times New Roman" w:hAnsi="Times New Roman" w:eastAsia="宋体" w:cs="Times New Roman"/>
          <w:snapToGrid/>
          <w:kern w:val="2"/>
          <w:sz w:val="24"/>
          <w:szCs w:val="24"/>
          <w:lang w:val="en-US" w:eastAsia="zh-CN"/>
        </w:rPr>
        <w:t>叶县马庄乡张庄村（厂区西侧临近的昆阳大道为叶县的城市主干路）</w:t>
      </w:r>
      <w:r>
        <w:rPr>
          <w:rFonts w:hint="eastAsia" w:ascii="Times New Roman" w:hAnsi="Times New Roman" w:eastAsia="宋体" w:cs="Times New Roman"/>
          <w:snapToGrid/>
          <w:kern w:val="2"/>
          <w:sz w:val="24"/>
          <w:szCs w:val="24"/>
          <w:lang w:eastAsia="zh-CN"/>
        </w:rPr>
        <w:t>，项目区声环境执行《声环境质量标准》（</w:t>
      </w:r>
      <w:r>
        <w:rPr>
          <w:rFonts w:ascii="Times New Roman" w:hAnsi="Times New Roman" w:eastAsia="宋体" w:cs="Times New Roman"/>
          <w:snapToGrid/>
          <w:kern w:val="2"/>
          <w:sz w:val="24"/>
          <w:szCs w:val="24"/>
          <w:lang w:eastAsia="zh-CN"/>
        </w:rPr>
        <w:t>GB3096-2008</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highlight w:val="none"/>
          <w:lang w:val="en-US" w:eastAsia="zh-CN"/>
        </w:rPr>
        <w:t>2</w:t>
      </w:r>
      <w:r>
        <w:rPr>
          <w:rFonts w:hint="eastAsia" w:ascii="Times New Roman" w:hAnsi="Times New Roman" w:eastAsia="宋体" w:cs="Times New Roman"/>
          <w:snapToGrid/>
          <w:kern w:val="2"/>
          <w:sz w:val="24"/>
          <w:szCs w:val="24"/>
          <w:highlight w:val="none"/>
          <w:lang w:eastAsia="zh-CN"/>
        </w:rPr>
        <w:t>类和</w:t>
      </w:r>
      <w:r>
        <w:rPr>
          <w:rFonts w:hint="eastAsia" w:ascii="Times New Roman" w:hAnsi="Times New Roman" w:eastAsia="宋体" w:cs="Times New Roman"/>
          <w:snapToGrid/>
          <w:kern w:val="2"/>
          <w:sz w:val="24"/>
          <w:szCs w:val="24"/>
          <w:highlight w:val="none"/>
          <w:lang w:val="en-US" w:eastAsia="zh-CN"/>
        </w:rPr>
        <w:t>4a类</w:t>
      </w:r>
      <w:r>
        <w:rPr>
          <w:rFonts w:hint="eastAsia" w:ascii="Times New Roman" w:hAnsi="Times New Roman" w:eastAsia="宋体" w:cs="Times New Roman"/>
          <w:snapToGrid/>
          <w:kern w:val="2"/>
          <w:sz w:val="24"/>
          <w:szCs w:val="24"/>
          <w:highlight w:val="none"/>
          <w:lang w:eastAsia="zh-CN"/>
        </w:rPr>
        <w:t>标准</w:t>
      </w:r>
      <w:r>
        <w:rPr>
          <w:rFonts w:hint="eastAsia" w:ascii="Times New Roman" w:hAnsi="Times New Roman" w:eastAsia="宋体" w:cs="Times New Roman"/>
          <w:snapToGrid/>
          <w:kern w:val="2"/>
          <w:sz w:val="24"/>
          <w:szCs w:val="24"/>
          <w:lang w:eastAsia="zh-CN"/>
        </w:rPr>
        <w:t>。具体标准值见表</w:t>
      </w:r>
      <w:r>
        <w:rPr>
          <w:rFonts w:hint="eastAsia" w:ascii="Times New Roman" w:hAnsi="Times New Roman" w:eastAsia="宋体" w:cs="Times New Roman"/>
          <w:snapToGrid/>
          <w:kern w:val="2"/>
          <w:sz w:val="24"/>
          <w:szCs w:val="24"/>
          <w:lang w:val="en-US" w:eastAsia="zh-CN"/>
        </w:rPr>
        <w:t>2</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6</w:t>
      </w:r>
      <w:r>
        <w:rPr>
          <w:rFonts w:hint="eastAsia" w:ascii="Times New Roman" w:hAnsi="Times New Roman" w:eastAsia="宋体" w:cs="Times New Roman"/>
          <w:snapToGrid/>
          <w:kern w:val="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ascii="Times New Roman" w:hAnsi="Times New Roman" w:eastAsia="宋体" w:cs="Times New Roman"/>
          <w:b/>
          <w:bCs/>
          <w:snapToGrid/>
          <w:kern w:val="2"/>
          <w:sz w:val="24"/>
          <w:szCs w:val="24"/>
          <w:lang w:eastAsia="zh-CN"/>
        </w:rPr>
      </w:pPr>
      <w:r>
        <w:rPr>
          <w:rFonts w:ascii="Times New Roman" w:hAnsi="Times New Roman" w:eastAsia="宋体" w:cs="Times New Roman"/>
          <w:b/>
          <w:bCs/>
          <w:snapToGrid/>
          <w:kern w:val="2"/>
          <w:sz w:val="24"/>
          <w:szCs w:val="24"/>
          <w:lang w:eastAsia="zh-CN"/>
        </w:rPr>
        <w:t>表</w:t>
      </w:r>
      <w:r>
        <w:rPr>
          <w:rFonts w:hint="default" w:ascii="Times New Roman" w:hAnsi="Times New Roman" w:eastAsia="宋体" w:cs="Times New Roman"/>
          <w:b/>
          <w:bCs/>
          <w:snapToGrid/>
          <w:kern w:val="2"/>
          <w:sz w:val="24"/>
          <w:szCs w:val="24"/>
          <w:lang w:val="en-US" w:eastAsia="zh-CN"/>
        </w:rPr>
        <w:t>2-6</w:t>
      </w:r>
      <w:r>
        <w:rPr>
          <w:rFonts w:hint="default" w:ascii="Times New Roman" w:hAnsi="Times New Roman" w:eastAsia="宋体" w:cs="Times New Roman"/>
          <w:b/>
          <w:bCs/>
          <w:snapToGrid/>
          <w:kern w:val="2"/>
          <w:sz w:val="24"/>
          <w:szCs w:val="24"/>
          <w:lang w:eastAsia="zh-CN"/>
        </w:rPr>
        <w:t xml:space="preserve"> </w:t>
      </w:r>
      <w:r>
        <w:rPr>
          <w:rFonts w:ascii="Times New Roman" w:hAnsi="Times New Roman" w:eastAsia="宋体" w:cs="Times New Roman"/>
          <w:b/>
          <w:bCs/>
          <w:snapToGrid/>
          <w:kern w:val="2"/>
          <w:sz w:val="24"/>
          <w:szCs w:val="24"/>
          <w:lang w:eastAsia="zh-CN"/>
        </w:rPr>
        <w:t xml:space="preserve">    声环境标准值      </w:t>
      </w:r>
      <w:r>
        <w:rPr>
          <w:rFonts w:hint="eastAsia" w:ascii="Times New Roman" w:hAnsi="Times New Roman" w:eastAsia="宋体" w:cs="Times New Roman"/>
          <w:b/>
          <w:bCs/>
          <w:snapToGrid/>
          <w:kern w:val="2"/>
          <w:sz w:val="24"/>
          <w:szCs w:val="24"/>
          <w:lang w:eastAsia="zh-CN"/>
        </w:rPr>
        <w:t>单位：</w:t>
      </w:r>
      <w:r>
        <w:rPr>
          <w:rFonts w:ascii="Times New Roman" w:hAnsi="Times New Roman" w:eastAsia="宋体" w:cs="Times New Roman"/>
          <w:b/>
          <w:bCs/>
          <w:snapToGrid/>
          <w:kern w:val="2"/>
          <w:sz w:val="24"/>
          <w:szCs w:val="24"/>
          <w:lang w:eastAsia="zh-CN"/>
        </w:rPr>
        <w:t>Leq[dB(A)]</w:t>
      </w:r>
    </w:p>
    <w:tbl>
      <w:tblPr>
        <w:tblStyle w:val="24"/>
        <w:tblW w:w="888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4"/>
        <w:gridCol w:w="3164"/>
        <w:gridCol w:w="2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64" w:type="dxa"/>
            <w:tcBorders>
              <w:top w:val="single" w:color="000000" w:sz="12" w:space="0"/>
              <w:lef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snapToGrid/>
                <w:kern w:val="2"/>
                <w:sz w:val="20"/>
                <w:szCs w:val="20"/>
                <w:lang w:eastAsia="zh-CN"/>
              </w:rPr>
            </w:pPr>
            <w:r>
              <w:rPr>
                <w:rFonts w:ascii="宋体" w:hAnsi="宋体" w:eastAsia="宋体" w:cs="宋体"/>
                <w:snapToGrid/>
                <w:spacing w:val="4"/>
                <w:kern w:val="2"/>
                <w:sz w:val="20"/>
                <w:szCs w:val="20"/>
                <w:lang w:eastAsia="zh-CN"/>
              </w:rPr>
              <w:t>类别</w:t>
            </w:r>
          </w:p>
        </w:tc>
        <w:tc>
          <w:tcPr>
            <w:tcW w:w="3164"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snapToGrid/>
                <w:kern w:val="2"/>
                <w:sz w:val="20"/>
                <w:szCs w:val="20"/>
                <w:lang w:eastAsia="zh-CN"/>
              </w:rPr>
            </w:pPr>
            <w:r>
              <w:rPr>
                <w:rFonts w:ascii="宋体" w:hAnsi="宋体" w:eastAsia="宋体" w:cs="宋体"/>
                <w:snapToGrid/>
                <w:spacing w:val="5"/>
                <w:kern w:val="2"/>
                <w:sz w:val="20"/>
                <w:szCs w:val="20"/>
                <w:lang w:eastAsia="zh-CN"/>
              </w:rPr>
              <w:t>昼间</w:t>
            </w:r>
          </w:p>
        </w:tc>
        <w:tc>
          <w:tcPr>
            <w:tcW w:w="2656" w:type="dxa"/>
            <w:tcBorders>
              <w:top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snapToGrid/>
                <w:kern w:val="2"/>
                <w:sz w:val="20"/>
                <w:szCs w:val="20"/>
                <w:lang w:eastAsia="zh-CN"/>
              </w:rPr>
            </w:pPr>
            <w:r>
              <w:rPr>
                <w:rFonts w:ascii="宋体" w:hAnsi="宋体" w:eastAsia="宋体" w:cs="宋体"/>
                <w:snapToGrid/>
                <w:spacing w:val="3"/>
                <w:kern w:val="2"/>
                <w:sz w:val="20"/>
                <w:szCs w:val="20"/>
                <w:lang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64" w:type="dxa"/>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kern w:val="2"/>
                <w:sz w:val="20"/>
                <w:szCs w:val="20"/>
                <w:lang w:val="en-US" w:eastAsia="en-US" w:bidi="ar-SA"/>
              </w:rPr>
            </w:pPr>
            <w:r>
              <w:rPr>
                <w:rFonts w:ascii="Times New Roman" w:hAnsi="Times New Roman" w:eastAsia="Times New Roman" w:cs="Times New Roman"/>
                <w:kern w:val="2"/>
                <w:sz w:val="20"/>
                <w:szCs w:val="20"/>
                <w:lang w:val="en-US" w:eastAsia="en-US" w:bidi="ar-SA"/>
              </w:rPr>
              <w:t>2</w:t>
            </w:r>
            <w:r>
              <w:rPr>
                <w:rFonts w:ascii="宋体" w:hAnsi="宋体" w:eastAsia="宋体" w:cs="宋体"/>
                <w:kern w:val="2"/>
                <w:sz w:val="20"/>
                <w:szCs w:val="20"/>
                <w:lang w:val="en-US" w:eastAsia="en-US" w:bidi="ar-SA"/>
              </w:rPr>
              <w:t>类</w:t>
            </w:r>
          </w:p>
        </w:tc>
        <w:tc>
          <w:tcPr>
            <w:tcW w:w="31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kern w:val="2"/>
                <w:sz w:val="20"/>
                <w:szCs w:val="20"/>
                <w:lang w:val="en-US" w:eastAsia="en-US" w:bidi="ar-SA"/>
              </w:rPr>
            </w:pPr>
            <w:r>
              <w:rPr>
                <w:rFonts w:ascii="Times New Roman" w:hAnsi="Times New Roman" w:eastAsia="Times New Roman" w:cs="Times New Roman"/>
                <w:kern w:val="2"/>
                <w:sz w:val="20"/>
                <w:szCs w:val="20"/>
                <w:lang w:val="en-US" w:eastAsia="en-US" w:bidi="ar-SA"/>
              </w:rPr>
              <w:t>60</w:t>
            </w:r>
          </w:p>
        </w:tc>
        <w:tc>
          <w:tcPr>
            <w:tcW w:w="2656" w:type="dxa"/>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kern w:val="2"/>
                <w:sz w:val="20"/>
                <w:szCs w:val="20"/>
                <w:lang w:val="en-US" w:eastAsia="en-US" w:bidi="ar-SA"/>
              </w:rPr>
            </w:pPr>
            <w:r>
              <w:rPr>
                <w:rFonts w:ascii="Times New Roman" w:hAnsi="Times New Roman" w:eastAsia="Times New Roman" w:cs="Times New Roman"/>
                <w:kern w:val="2"/>
                <w:sz w:val="20"/>
                <w:szCs w:val="20"/>
                <w:lang w:val="en-US" w:eastAsia="en-US"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064" w:type="dxa"/>
            <w:tcBorders>
              <w:left w:val="single" w:color="000000" w:sz="12" w:space="0"/>
              <w:bottom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4a类</w:t>
            </w:r>
          </w:p>
        </w:tc>
        <w:tc>
          <w:tcPr>
            <w:tcW w:w="3164"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70</w:t>
            </w:r>
          </w:p>
        </w:tc>
        <w:tc>
          <w:tcPr>
            <w:tcW w:w="2656" w:type="dxa"/>
            <w:tcBorders>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55</w:t>
            </w:r>
          </w:p>
        </w:tc>
      </w:tr>
    </w:tbl>
    <w:p>
      <w:pPr>
        <w:keepNext/>
        <w:keepLines/>
        <w:pageBreakBefore w:val="0"/>
        <w:widowControl w:val="0"/>
        <w:kinsoku w:val="0"/>
        <w:wordWrap/>
        <w:overflowPunct/>
        <w:topLinePunct w:val="0"/>
        <w:autoSpaceDE w:val="0"/>
        <w:autoSpaceDN w:val="0"/>
        <w:bidi w:val="0"/>
        <w:adjustRightInd w:val="0"/>
        <w:snapToGrid w:val="0"/>
        <w:spacing w:before="0" w:beforeLines="50" w:line="360" w:lineRule="auto"/>
        <w:ind w:left="0" w:leftChars="0" w:firstLine="0" w:firstLineChars="0"/>
        <w:jc w:val="both"/>
        <w:textAlignment w:val="baseline"/>
        <w:outlineLvl w:val="9"/>
        <w:rPr>
          <w:rFonts w:ascii="Times New Roman" w:hAnsi="Times New Roman" w:eastAsia="宋体" w:cs="Times New Roman"/>
          <w:b/>
          <w:kern w:val="2"/>
          <w:sz w:val="28"/>
          <w:szCs w:val="24"/>
          <w:lang w:val="en-US" w:eastAsia="zh-CN" w:bidi="ar-SA"/>
        </w:rPr>
      </w:pPr>
      <w:r>
        <w:rPr>
          <w:rFonts w:ascii="Times New Roman" w:hAnsi="Times New Roman" w:eastAsia="宋体" w:cs="Times New Roman"/>
          <w:b/>
          <w:kern w:val="2"/>
          <w:sz w:val="28"/>
          <w:szCs w:val="24"/>
          <w:lang w:val="en-US" w:eastAsia="zh-CN" w:bidi="ar-SA"/>
        </w:rPr>
        <w:t>2.4.</w:t>
      </w:r>
      <w:r>
        <w:rPr>
          <w:rFonts w:hint="eastAsia" w:ascii="Times New Roman" w:hAnsi="Times New Roman" w:eastAsia="宋体" w:cs="Times New Roman"/>
          <w:b/>
          <w:kern w:val="2"/>
          <w:sz w:val="28"/>
          <w:szCs w:val="24"/>
          <w:lang w:val="en-US" w:eastAsia="zh-CN" w:bidi="ar-SA"/>
        </w:rPr>
        <w:t>2</w:t>
      </w:r>
      <w:r>
        <w:rPr>
          <w:rFonts w:ascii="Times New Roman" w:hAnsi="Times New Roman" w:eastAsia="宋体" w:cs="Times New Roman"/>
          <w:b/>
          <w:kern w:val="2"/>
          <w:sz w:val="28"/>
          <w:szCs w:val="24"/>
          <w:lang w:val="en-US" w:eastAsia="zh-CN" w:bidi="ar-SA"/>
        </w:rPr>
        <w:t>污染物排放标准</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4"/>
          <w:sz w:val="24"/>
          <w:szCs w:val="24"/>
          <w:u w:val="none"/>
          <w:lang w:eastAsia="zh-CN"/>
        </w:rPr>
      </w:pPr>
      <w:r>
        <w:rPr>
          <w:rFonts w:hint="eastAsia" w:ascii="宋体" w:hAnsi="宋体" w:eastAsia="宋体" w:cs="宋体"/>
          <w:snapToGrid/>
          <w:color w:val="000000"/>
          <w:kern w:val="24"/>
          <w:sz w:val="24"/>
          <w:szCs w:val="24"/>
          <w:u w:val="none"/>
          <w:lang w:eastAsia="zh-CN" w:bidi="ar"/>
        </w:rPr>
        <w:t>（</w:t>
      </w:r>
      <w:r>
        <w:rPr>
          <w:rFonts w:ascii="Times New Roman" w:hAnsi="Times New Roman" w:eastAsia="宋体" w:cs="Times New Roman"/>
          <w:snapToGrid/>
          <w:color w:val="000000"/>
          <w:kern w:val="24"/>
          <w:sz w:val="24"/>
          <w:szCs w:val="24"/>
          <w:u w:val="none"/>
          <w:lang w:eastAsia="zh-CN" w:bidi="ar"/>
        </w:rPr>
        <w:t>1</w:t>
      </w:r>
      <w:r>
        <w:rPr>
          <w:rFonts w:hint="eastAsia" w:ascii="宋体" w:hAnsi="宋体" w:eastAsia="宋体" w:cs="宋体"/>
          <w:snapToGrid/>
          <w:color w:val="000000"/>
          <w:kern w:val="24"/>
          <w:sz w:val="24"/>
          <w:szCs w:val="24"/>
          <w:u w:val="none"/>
          <w:lang w:eastAsia="zh-CN" w:bidi="ar"/>
        </w:rPr>
        <w:t>）大气污染物排放标准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4"/>
          <w:sz w:val="24"/>
          <w:szCs w:val="24"/>
          <w:u w:val="none"/>
          <w:lang w:eastAsia="zh-CN"/>
        </w:rPr>
      </w:pPr>
      <w:r>
        <w:rPr>
          <w:rFonts w:hint="eastAsia" w:ascii="Times New Roman" w:hAnsi="Times New Roman" w:eastAsia="宋体" w:cs="Times New Roman"/>
          <w:snapToGrid/>
          <w:kern w:val="24"/>
          <w:sz w:val="24"/>
          <w:szCs w:val="24"/>
          <w:u w:val="none"/>
          <w:lang w:eastAsia="zh-CN"/>
        </w:rPr>
        <w:t>①施工期</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4"/>
          <w:sz w:val="24"/>
          <w:szCs w:val="24"/>
          <w:u w:val="none"/>
          <w:lang w:eastAsia="zh-CN"/>
        </w:rPr>
      </w:pPr>
      <w:r>
        <w:rPr>
          <w:rFonts w:hint="eastAsia" w:ascii="Times New Roman" w:hAnsi="Times New Roman" w:eastAsia="宋体" w:cs="Times New Roman"/>
          <w:snapToGrid/>
          <w:kern w:val="24"/>
          <w:sz w:val="24"/>
          <w:szCs w:val="24"/>
          <w:u w:val="none"/>
          <w:lang w:eastAsia="zh-CN"/>
        </w:rPr>
        <w:t>项目施工期扬尘执行《大气污染物综合排放标准》（GB16297-1996）中的排放浓度监控标准，标准值见表</w:t>
      </w:r>
      <w:r>
        <w:rPr>
          <w:rFonts w:hint="eastAsia" w:ascii="Times New Roman" w:hAnsi="Times New Roman" w:eastAsia="宋体" w:cs="Times New Roman"/>
          <w:snapToGrid/>
          <w:kern w:val="24"/>
          <w:sz w:val="24"/>
          <w:szCs w:val="24"/>
          <w:u w:val="none"/>
          <w:lang w:val="en-US" w:eastAsia="zh-CN"/>
        </w:rPr>
        <w:t>2-7</w:t>
      </w:r>
      <w:r>
        <w:rPr>
          <w:rFonts w:hint="eastAsia" w:ascii="Times New Roman" w:hAnsi="Times New Roman" w:eastAsia="宋体" w:cs="Times New Roman"/>
          <w:snapToGrid/>
          <w:kern w:val="24"/>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snapToGrid/>
          <w:kern w:val="2"/>
          <w:sz w:val="24"/>
          <w:szCs w:val="24"/>
          <w:lang w:eastAsia="zh-CN"/>
        </w:rPr>
      </w:pPr>
      <w:r>
        <w:rPr>
          <w:rFonts w:ascii="Times New Roman" w:hAnsi="Times New Roman" w:eastAsia="宋体" w:cs="Times New Roman"/>
          <w:b/>
          <w:bCs/>
          <w:snapToGrid/>
          <w:kern w:val="2"/>
          <w:sz w:val="24"/>
          <w:szCs w:val="24"/>
          <w:highlight w:val="none"/>
          <w:lang w:eastAsia="zh-CN"/>
        </w:rPr>
        <w:t>表</w:t>
      </w:r>
      <w:r>
        <w:rPr>
          <w:rFonts w:hint="eastAsia" w:ascii="Times New Roman" w:hAnsi="Times New Roman" w:eastAsia="宋体" w:cs="Times New Roman"/>
          <w:b/>
          <w:bCs/>
          <w:snapToGrid/>
          <w:kern w:val="2"/>
          <w:sz w:val="24"/>
          <w:szCs w:val="24"/>
          <w:highlight w:val="none"/>
          <w:lang w:val="en-US" w:eastAsia="zh-CN"/>
        </w:rPr>
        <w:t>2</w:t>
      </w:r>
      <w:r>
        <w:rPr>
          <w:rFonts w:ascii="Times New Roman" w:hAnsi="Times New Roman" w:eastAsia="宋体" w:cs="Times New Roman"/>
          <w:b/>
          <w:bCs/>
          <w:snapToGrid/>
          <w:kern w:val="2"/>
          <w:sz w:val="24"/>
          <w:szCs w:val="24"/>
          <w:highlight w:val="none"/>
          <w:lang w:eastAsia="zh-CN"/>
        </w:rPr>
        <w:t>-</w:t>
      </w:r>
      <w:r>
        <w:rPr>
          <w:rFonts w:hint="eastAsia" w:ascii="Times New Roman" w:hAnsi="Times New Roman" w:eastAsia="宋体" w:cs="Times New Roman"/>
          <w:b/>
          <w:bCs/>
          <w:snapToGrid/>
          <w:kern w:val="2"/>
          <w:sz w:val="24"/>
          <w:szCs w:val="24"/>
          <w:highlight w:val="none"/>
          <w:lang w:val="en-US" w:eastAsia="zh-CN"/>
        </w:rPr>
        <w:t>7</w:t>
      </w:r>
      <w:r>
        <w:rPr>
          <w:rFonts w:ascii="Times New Roman" w:hAnsi="Times New Roman" w:eastAsia="宋体" w:cs="Times New Roman"/>
          <w:b/>
          <w:bCs/>
          <w:snapToGrid/>
          <w:kern w:val="2"/>
          <w:sz w:val="24"/>
          <w:szCs w:val="24"/>
          <w:highlight w:val="none"/>
          <w:lang w:eastAsia="zh-CN"/>
        </w:rPr>
        <w:t xml:space="preserve">    </w:t>
      </w:r>
      <w:r>
        <w:rPr>
          <w:rFonts w:ascii="Times New Roman" w:hAnsi="Times New Roman" w:eastAsia="宋体" w:cs="Times New Roman"/>
          <w:b/>
          <w:bCs/>
          <w:snapToGrid/>
          <w:kern w:val="2"/>
          <w:sz w:val="24"/>
          <w:szCs w:val="24"/>
          <w:lang w:eastAsia="zh-CN"/>
        </w:rPr>
        <w:t xml:space="preserve">        大气污染物无组织排放监控浓度限值</w:t>
      </w:r>
    </w:p>
    <w:tbl>
      <w:tblPr>
        <w:tblStyle w:val="24"/>
        <w:tblW w:w="9288"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060"/>
        <w:gridCol w:w="42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5060" w:type="dxa"/>
            <w:tcBorders>
              <w:tl2br w:val="nil"/>
              <w:tr2bl w:val="nil"/>
            </w:tcBorders>
            <w:vAlign w:val="top"/>
          </w:tcPr>
          <w:p>
            <w:pPr>
              <w:widowControl w:val="0"/>
              <w:kinsoku/>
              <w:autoSpaceDE/>
              <w:autoSpaceDN/>
              <w:adjustRightInd/>
              <w:snapToGrid/>
              <w:spacing w:before="35" w:line="209" w:lineRule="auto"/>
              <w:ind w:left="2319" w:firstLine="432" w:firstLineChars="200"/>
              <w:jc w:val="both"/>
              <w:textAlignment w:val="auto"/>
              <w:rPr>
                <w:rFonts w:ascii="宋体" w:hAnsi="宋体" w:eastAsia="宋体" w:cs="宋体"/>
                <w:snapToGrid/>
                <w:kern w:val="2"/>
                <w:sz w:val="21"/>
                <w:szCs w:val="21"/>
                <w:lang w:eastAsia="zh-CN"/>
              </w:rPr>
            </w:pPr>
            <w:r>
              <w:rPr>
                <w:rFonts w:ascii="宋体" w:hAnsi="宋体" w:eastAsia="宋体" w:cs="宋体"/>
                <w:snapToGrid/>
                <w:spacing w:val="3"/>
                <w:kern w:val="2"/>
                <w:sz w:val="21"/>
                <w:szCs w:val="21"/>
                <w:lang w:eastAsia="zh-CN"/>
              </w:rPr>
              <w:t>项目</w:t>
            </w:r>
          </w:p>
        </w:tc>
        <w:tc>
          <w:tcPr>
            <w:tcW w:w="4228" w:type="dxa"/>
            <w:tcBorders>
              <w:tl2br w:val="nil"/>
              <w:tr2bl w:val="nil"/>
            </w:tcBorders>
            <w:vAlign w:val="top"/>
          </w:tcPr>
          <w:p>
            <w:pPr>
              <w:widowControl w:val="0"/>
              <w:kinsoku/>
              <w:autoSpaceDE/>
              <w:autoSpaceDN/>
              <w:adjustRightInd/>
              <w:snapToGrid/>
              <w:spacing w:before="35" w:line="209" w:lineRule="auto"/>
              <w:ind w:left="1696" w:firstLine="448" w:firstLineChars="200"/>
              <w:jc w:val="both"/>
              <w:textAlignment w:val="auto"/>
              <w:rPr>
                <w:rFonts w:ascii="宋体" w:hAnsi="宋体" w:eastAsia="宋体" w:cs="宋体"/>
                <w:snapToGrid/>
                <w:kern w:val="2"/>
                <w:sz w:val="21"/>
                <w:szCs w:val="21"/>
                <w:lang w:eastAsia="zh-CN"/>
              </w:rPr>
            </w:pPr>
            <w:r>
              <w:rPr>
                <w:rFonts w:ascii="宋体" w:hAnsi="宋体" w:eastAsia="宋体" w:cs="宋体"/>
                <w:snapToGrid/>
                <w:spacing w:val="7"/>
                <w:kern w:val="2"/>
                <w:sz w:val="21"/>
                <w:szCs w:val="21"/>
                <w:lang w:eastAsia="zh-CN"/>
              </w:rPr>
              <w:t>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6" w:hRule="atLeast"/>
        </w:trPr>
        <w:tc>
          <w:tcPr>
            <w:tcW w:w="5060" w:type="dxa"/>
            <w:tcBorders>
              <w:tl2br w:val="nil"/>
              <w:tr2bl w:val="nil"/>
            </w:tcBorders>
            <w:vAlign w:val="top"/>
          </w:tcPr>
          <w:p>
            <w:pPr>
              <w:widowControl w:val="0"/>
              <w:kinsoku/>
              <w:autoSpaceDE/>
              <w:autoSpaceDN/>
              <w:adjustRightInd/>
              <w:snapToGrid/>
              <w:spacing w:before="41" w:line="216" w:lineRule="auto"/>
              <w:ind w:left="1055" w:firstLine="456" w:firstLineChars="200"/>
              <w:jc w:val="both"/>
              <w:textAlignment w:val="auto"/>
              <w:rPr>
                <w:rFonts w:ascii="宋体" w:hAnsi="宋体" w:eastAsia="宋体" w:cs="宋体"/>
                <w:snapToGrid/>
                <w:kern w:val="2"/>
                <w:sz w:val="21"/>
                <w:szCs w:val="21"/>
                <w:lang w:eastAsia="zh-CN"/>
              </w:rPr>
            </w:pPr>
            <w:r>
              <w:rPr>
                <w:rFonts w:ascii="宋体" w:hAnsi="宋体" w:eastAsia="宋体" w:cs="宋体"/>
                <w:snapToGrid/>
                <w:spacing w:val="9"/>
                <w:kern w:val="2"/>
                <w:sz w:val="21"/>
                <w:szCs w:val="21"/>
                <w:lang w:eastAsia="zh-CN"/>
              </w:rPr>
              <w:t>颗粒物无组织排放监控浓度限值</w:t>
            </w:r>
          </w:p>
        </w:tc>
        <w:tc>
          <w:tcPr>
            <w:tcW w:w="4228" w:type="dxa"/>
            <w:tcBorders>
              <w:tl2br w:val="nil"/>
              <w:tr2bl w:val="nil"/>
            </w:tcBorders>
            <w:vAlign w:val="top"/>
          </w:tcPr>
          <w:p>
            <w:pPr>
              <w:widowControl w:val="0"/>
              <w:spacing w:before="57" w:line="218" w:lineRule="auto"/>
              <w:ind w:left="1722" w:firstLine="428" w:firstLineChars="200"/>
              <w:jc w:val="both"/>
              <w:rPr>
                <w:rFonts w:ascii="Times New Roman" w:hAnsi="Times New Roman" w:eastAsia="Times New Roman" w:cs="Times New Roman"/>
                <w:kern w:val="2"/>
                <w:sz w:val="15"/>
                <w:szCs w:val="15"/>
                <w:lang w:val="en-US" w:eastAsia="en-US" w:bidi="ar-SA"/>
              </w:rPr>
            </w:pPr>
            <w:r>
              <w:rPr>
                <w:rFonts w:ascii="Times New Roman" w:hAnsi="Times New Roman" w:eastAsia="Times New Roman" w:cs="Times New Roman"/>
                <w:spacing w:val="2"/>
                <w:kern w:val="2"/>
                <w:sz w:val="21"/>
                <w:szCs w:val="21"/>
                <w:lang w:val="en-US" w:eastAsia="en-US" w:bidi="ar-SA"/>
              </w:rPr>
              <w:t>1.0</w:t>
            </w:r>
            <w:r>
              <w:rPr>
                <w:rFonts w:ascii="Times New Roman" w:hAnsi="Times New Roman" w:eastAsia="Times New Roman" w:cs="Times New Roman"/>
                <w:kern w:val="2"/>
                <w:sz w:val="21"/>
                <w:szCs w:val="21"/>
                <w:lang w:val="en-US" w:eastAsia="en-US" w:bidi="ar-SA"/>
              </w:rPr>
              <w:t>mg</w:t>
            </w:r>
            <w:r>
              <w:rPr>
                <w:rFonts w:ascii="Times New Roman" w:hAnsi="Times New Roman" w:eastAsia="Times New Roman" w:cs="Times New Roman"/>
                <w:spacing w:val="2"/>
                <w:kern w:val="2"/>
                <w:sz w:val="21"/>
                <w:szCs w:val="21"/>
                <w:lang w:val="en-US" w:eastAsia="en-US" w:bidi="ar-SA"/>
              </w:rPr>
              <w:t>/m</w:t>
            </w:r>
            <w:r>
              <w:rPr>
                <w:rFonts w:ascii="Times New Roman" w:hAnsi="Times New Roman" w:eastAsia="Times New Roman" w:cs="Times New Roman"/>
                <w:spacing w:val="2"/>
                <w:kern w:val="2"/>
                <w:position w:val="6"/>
                <w:sz w:val="15"/>
                <w:szCs w:val="15"/>
                <w:lang w:val="en-US" w:eastAsia="en-US" w:bidi="ar-SA"/>
              </w:rPr>
              <w:t>3</w:t>
            </w:r>
          </w:p>
        </w:tc>
      </w:tr>
    </w:tbl>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②运营期</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t>项目运营期恶臭执行《恶臭污染物排放标准》（GB14554- 1993）中的二级标准，标准值见表</w:t>
      </w:r>
      <w:r>
        <w:rPr>
          <w:rFonts w:hint="eastAsia" w:ascii="Times New Roman" w:hAnsi="Times New Roman" w:eastAsia="宋体" w:cs="Times New Roman"/>
          <w:snapToGrid/>
          <w:kern w:val="2"/>
          <w:sz w:val="24"/>
          <w:szCs w:val="24"/>
          <w:lang w:val="en-US" w:eastAsia="zh-CN"/>
        </w:rPr>
        <w:t>2-8</w:t>
      </w:r>
      <w:r>
        <w:rPr>
          <w:rFonts w:ascii="Times New Roman" w:hAnsi="Times New Roman" w:eastAsia="宋体" w:cs="Times New Roman"/>
          <w:snapToGrid/>
          <w:kern w:val="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napToGrid/>
          <w:kern w:val="2"/>
          <w:sz w:val="24"/>
          <w:szCs w:val="24"/>
          <w:lang w:eastAsia="zh-CN"/>
        </w:rPr>
      </w:pPr>
      <w:r>
        <w:rPr>
          <w:rFonts w:ascii="Times New Roman" w:hAnsi="Times New Roman" w:eastAsia="宋体" w:cs="Times New Roman"/>
          <w:b/>
          <w:bCs/>
          <w:snapToGrid/>
          <w:kern w:val="2"/>
          <w:sz w:val="24"/>
          <w:szCs w:val="24"/>
          <w:lang w:eastAsia="zh-CN"/>
        </w:rPr>
        <w:t>表</w:t>
      </w:r>
      <w:r>
        <w:rPr>
          <w:rFonts w:hint="eastAsia" w:ascii="Times New Roman" w:hAnsi="Times New Roman" w:eastAsia="宋体" w:cs="Times New Roman"/>
          <w:b/>
          <w:bCs/>
          <w:snapToGrid/>
          <w:kern w:val="2"/>
          <w:sz w:val="24"/>
          <w:szCs w:val="24"/>
          <w:highlight w:val="none"/>
          <w:lang w:val="en-US" w:eastAsia="zh-CN"/>
        </w:rPr>
        <w:t>2-8</w:t>
      </w:r>
      <w:r>
        <w:rPr>
          <w:rFonts w:ascii="Times New Roman" w:hAnsi="Times New Roman" w:eastAsia="宋体" w:cs="Times New Roman"/>
          <w:b/>
          <w:bCs/>
          <w:snapToGrid/>
          <w:kern w:val="2"/>
          <w:sz w:val="24"/>
          <w:szCs w:val="24"/>
          <w:lang w:eastAsia="zh-CN"/>
        </w:rPr>
        <w:t xml:space="preserve">        恶臭污染物排放标准</w:t>
      </w:r>
      <w:r>
        <w:rPr>
          <w:rFonts w:hint="eastAsia" w:ascii="Times New Roman" w:hAnsi="Times New Roman" w:eastAsia="宋体" w:cs="Times New Roman"/>
          <w:b/>
          <w:bCs/>
          <w:snapToGrid/>
          <w:kern w:val="2"/>
          <w:sz w:val="24"/>
          <w:szCs w:val="24"/>
          <w:lang w:eastAsia="zh-CN"/>
        </w:rPr>
        <w:t>限值</w:t>
      </w:r>
    </w:p>
    <w:tbl>
      <w:tblPr>
        <w:tblStyle w:val="24"/>
        <w:tblW w:w="8912"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
      <w:tblGrid>
        <w:gridCol w:w="1696"/>
        <w:gridCol w:w="2165"/>
        <w:gridCol w:w="2253"/>
        <w:gridCol w:w="279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169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污染物</w:t>
            </w:r>
          </w:p>
        </w:tc>
        <w:tc>
          <w:tcPr>
            <w:tcW w:w="44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8"/>
                <w:kern w:val="2"/>
                <w:sz w:val="21"/>
                <w:szCs w:val="21"/>
                <w:lang w:eastAsia="zh-CN"/>
              </w:rPr>
              <w:t>最高允许排放速率</w:t>
            </w:r>
          </w:p>
        </w:tc>
        <w:tc>
          <w:tcPr>
            <w:tcW w:w="27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8"/>
                <w:kern w:val="2"/>
                <w:sz w:val="21"/>
                <w:szCs w:val="21"/>
                <w:lang w:eastAsia="zh-CN"/>
              </w:rPr>
              <w:t>恶臭污染物厂界标准值</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16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p>
        </w:tc>
        <w:tc>
          <w:tcPr>
            <w:tcW w:w="2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宋体" w:cs="Times New Roman"/>
                <w:spacing w:val="7"/>
                <w:kern w:val="2"/>
                <w:sz w:val="21"/>
                <w:szCs w:val="21"/>
                <w:lang w:val="en-US" w:eastAsia="en-US" w:bidi="ar-SA"/>
              </w:rPr>
              <w:t>排气筒高度</w:t>
            </w:r>
            <w:r>
              <w:rPr>
                <w:rFonts w:hint="default" w:ascii="Times New Roman" w:hAnsi="Times New Roman" w:eastAsia="宋体" w:cs="Times New Roman"/>
                <w:spacing w:val="-43"/>
                <w:kern w:val="2"/>
                <w:sz w:val="21"/>
                <w:szCs w:val="21"/>
                <w:lang w:val="en-US" w:eastAsia="en-US" w:bidi="ar-SA"/>
              </w:rPr>
              <w:t xml:space="preserve"> </w:t>
            </w:r>
            <w:r>
              <w:rPr>
                <w:rFonts w:hint="default" w:ascii="Times New Roman" w:hAnsi="Times New Roman" w:eastAsia="Times New Roman" w:cs="Times New Roman"/>
                <w:spacing w:val="7"/>
                <w:kern w:val="2"/>
                <w:sz w:val="21"/>
                <w:szCs w:val="21"/>
                <w:lang w:val="en-US" w:eastAsia="en-US" w:bidi="ar-SA"/>
              </w:rPr>
              <w:t>m</w:t>
            </w:r>
          </w:p>
        </w:tc>
        <w:tc>
          <w:tcPr>
            <w:tcW w:w="22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3"/>
                <w:kern w:val="2"/>
                <w:sz w:val="21"/>
                <w:szCs w:val="21"/>
                <w:lang w:eastAsia="zh-CN"/>
              </w:rPr>
              <w:t>二级</w:t>
            </w:r>
          </w:p>
        </w:tc>
        <w:tc>
          <w:tcPr>
            <w:tcW w:w="2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7"/>
                <w:kern w:val="2"/>
                <w:sz w:val="21"/>
                <w:szCs w:val="21"/>
                <w:lang w:eastAsia="zh-CN"/>
              </w:rPr>
              <w:t>臭气浓度</w:t>
            </w:r>
          </w:p>
        </w:tc>
        <w:tc>
          <w:tcPr>
            <w:tcW w:w="2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8"/>
                <w:kern w:val="2"/>
                <w:sz w:val="21"/>
                <w:szCs w:val="21"/>
                <w:lang w:val="en-US" w:eastAsia="en-US" w:bidi="ar-SA"/>
              </w:rPr>
              <w:t>15</w:t>
            </w:r>
          </w:p>
        </w:tc>
        <w:tc>
          <w:tcPr>
            <w:tcW w:w="22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5"/>
                <w:kern w:val="2"/>
                <w:sz w:val="21"/>
                <w:szCs w:val="21"/>
                <w:lang w:val="en-US" w:eastAsia="en-US" w:bidi="ar-SA"/>
              </w:rPr>
              <w:t>2000</w:t>
            </w:r>
            <w:r>
              <w:rPr>
                <w:rFonts w:hint="default" w:ascii="Times New Roman" w:hAnsi="Times New Roman" w:eastAsia="宋体" w:cs="Times New Roman"/>
                <w:spacing w:val="5"/>
                <w:kern w:val="2"/>
                <w:sz w:val="21"/>
                <w:szCs w:val="21"/>
                <w:lang w:val="en-US" w:eastAsia="en-US" w:bidi="ar-SA"/>
              </w:rPr>
              <w:t>（无量纲）</w:t>
            </w:r>
          </w:p>
        </w:tc>
        <w:tc>
          <w:tcPr>
            <w:tcW w:w="2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5"/>
                <w:kern w:val="2"/>
                <w:sz w:val="21"/>
                <w:szCs w:val="21"/>
                <w:lang w:val="en-US" w:eastAsia="en-US" w:bidi="ar-SA"/>
              </w:rPr>
              <w:t>20.0</w:t>
            </w:r>
            <w:r>
              <w:rPr>
                <w:rFonts w:hint="default" w:ascii="Times New Roman" w:hAnsi="Times New Roman" w:eastAsia="宋体" w:cs="Times New Roman"/>
                <w:spacing w:val="5"/>
                <w:kern w:val="2"/>
                <w:sz w:val="21"/>
                <w:szCs w:val="21"/>
                <w:lang w:val="en-US" w:eastAsia="en-US" w:bidi="ar-SA"/>
              </w:rPr>
              <w:t>（无量纲）</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H</w:t>
            </w:r>
            <w:r>
              <w:rPr>
                <w:rFonts w:hint="default" w:ascii="Times New Roman" w:hAnsi="Times New Roman" w:eastAsia="宋体" w:cs="Times New Roman"/>
                <w:snapToGrid/>
                <w:kern w:val="2"/>
                <w:sz w:val="21"/>
                <w:szCs w:val="21"/>
                <w:vertAlign w:val="subscript"/>
                <w:lang w:eastAsia="zh-CN"/>
              </w:rPr>
              <w:t>2</w:t>
            </w:r>
            <w:r>
              <w:rPr>
                <w:rFonts w:hint="default" w:ascii="Times New Roman" w:hAnsi="Times New Roman" w:eastAsia="宋体" w:cs="Times New Roman"/>
                <w:snapToGrid/>
                <w:kern w:val="2"/>
                <w:sz w:val="21"/>
                <w:szCs w:val="21"/>
                <w:lang w:eastAsia="zh-CN"/>
              </w:rPr>
              <w:t>S</w:t>
            </w:r>
          </w:p>
        </w:tc>
        <w:tc>
          <w:tcPr>
            <w:tcW w:w="2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8"/>
                <w:kern w:val="2"/>
                <w:sz w:val="21"/>
                <w:szCs w:val="21"/>
                <w:lang w:val="en-US" w:eastAsia="en-US" w:bidi="ar-SA"/>
              </w:rPr>
              <w:t>15</w:t>
            </w:r>
          </w:p>
        </w:tc>
        <w:tc>
          <w:tcPr>
            <w:tcW w:w="22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4"/>
                <w:kern w:val="2"/>
                <w:sz w:val="21"/>
                <w:szCs w:val="21"/>
                <w:lang w:val="en-US" w:eastAsia="en-US" w:bidi="ar-SA"/>
              </w:rPr>
              <w:t>0.33</w:t>
            </w:r>
            <w:r>
              <w:rPr>
                <w:rFonts w:hint="default" w:ascii="Times New Roman" w:hAnsi="Times New Roman" w:eastAsia="Times New Roman" w:cs="Times New Roman"/>
                <w:kern w:val="2"/>
                <w:sz w:val="21"/>
                <w:szCs w:val="21"/>
                <w:lang w:val="en-US" w:eastAsia="en-US" w:bidi="ar-SA"/>
              </w:rPr>
              <w:t>kg</w:t>
            </w:r>
            <w:r>
              <w:rPr>
                <w:rFonts w:hint="default" w:ascii="Times New Roman" w:hAnsi="Times New Roman" w:eastAsia="Times New Roman" w:cs="Times New Roman"/>
                <w:spacing w:val="4"/>
                <w:kern w:val="2"/>
                <w:sz w:val="21"/>
                <w:szCs w:val="21"/>
                <w:lang w:val="en-US" w:eastAsia="en-US" w:bidi="ar-SA"/>
              </w:rPr>
              <w:t>/h</w:t>
            </w:r>
          </w:p>
        </w:tc>
        <w:tc>
          <w:tcPr>
            <w:tcW w:w="2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0"/>
                <w:szCs w:val="20"/>
                <w:lang w:val="en-US" w:eastAsia="en-US" w:bidi="ar-SA"/>
              </w:rPr>
              <w:t>0.06mg/m</w:t>
            </w:r>
            <w:r>
              <w:rPr>
                <w:rFonts w:hint="default" w:ascii="Times New Roman" w:hAnsi="Times New Roman" w:eastAsia="Times New Roman" w:cs="Times New Roman"/>
                <w:kern w:val="2"/>
                <w:sz w:val="20"/>
                <w:szCs w:val="20"/>
                <w:vertAlign w:val="superscript"/>
                <w:lang w:val="en-US" w:eastAsia="en-US" w:bidi="ar-SA"/>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NH</w:t>
            </w:r>
            <w:r>
              <w:rPr>
                <w:rFonts w:hint="default" w:ascii="Times New Roman" w:hAnsi="Times New Roman" w:eastAsia="宋体" w:cs="Times New Roman"/>
                <w:snapToGrid/>
                <w:kern w:val="2"/>
                <w:sz w:val="21"/>
                <w:szCs w:val="21"/>
                <w:vertAlign w:val="subscript"/>
                <w:lang w:eastAsia="zh-CN"/>
              </w:rPr>
              <w:t>3</w:t>
            </w:r>
          </w:p>
        </w:tc>
        <w:tc>
          <w:tcPr>
            <w:tcW w:w="21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8"/>
                <w:kern w:val="2"/>
                <w:sz w:val="21"/>
                <w:szCs w:val="21"/>
                <w:lang w:val="en-US" w:eastAsia="en-US" w:bidi="ar-SA"/>
              </w:rPr>
              <w:t>15</w:t>
            </w:r>
          </w:p>
        </w:tc>
        <w:tc>
          <w:tcPr>
            <w:tcW w:w="22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spacing w:val="5"/>
                <w:kern w:val="2"/>
                <w:sz w:val="21"/>
                <w:szCs w:val="21"/>
                <w:lang w:val="en-US" w:eastAsia="en-US" w:bidi="ar-SA"/>
              </w:rPr>
              <w:t>4.9</w:t>
            </w:r>
            <w:r>
              <w:rPr>
                <w:rFonts w:hint="default" w:ascii="Times New Roman" w:hAnsi="Times New Roman" w:eastAsia="Times New Roman" w:cs="Times New Roman"/>
                <w:kern w:val="2"/>
                <w:sz w:val="21"/>
                <w:szCs w:val="21"/>
                <w:lang w:val="en-US" w:eastAsia="en-US" w:bidi="ar-SA"/>
              </w:rPr>
              <w:t>kg</w:t>
            </w:r>
            <w:r>
              <w:rPr>
                <w:rFonts w:hint="default" w:ascii="Times New Roman" w:hAnsi="Times New Roman" w:eastAsia="Times New Roman" w:cs="Times New Roman"/>
                <w:spacing w:val="5"/>
                <w:kern w:val="2"/>
                <w:sz w:val="21"/>
                <w:szCs w:val="21"/>
                <w:lang w:val="en-US" w:eastAsia="en-US" w:bidi="ar-SA"/>
              </w:rPr>
              <w:t>/h</w:t>
            </w:r>
          </w:p>
        </w:tc>
        <w:tc>
          <w:tcPr>
            <w:tcW w:w="2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kern w:val="2"/>
                <w:sz w:val="21"/>
                <w:szCs w:val="21"/>
                <w:lang w:val="en-US" w:eastAsia="en-US" w:bidi="ar-SA"/>
              </w:rPr>
            </w:pPr>
            <w:r>
              <w:rPr>
                <w:rFonts w:hint="default" w:ascii="Times New Roman" w:hAnsi="Times New Roman" w:eastAsia="Times New Roman" w:cs="Times New Roman"/>
                <w:kern w:val="2"/>
                <w:sz w:val="20"/>
                <w:szCs w:val="20"/>
                <w:lang w:val="en-US" w:eastAsia="en-US" w:bidi="ar-SA"/>
              </w:rPr>
              <w:t>1.5mg/m</w:t>
            </w:r>
            <w:r>
              <w:rPr>
                <w:rFonts w:hint="default" w:ascii="Times New Roman" w:hAnsi="Times New Roman" w:eastAsia="Times New Roman" w:cs="Times New Roman"/>
                <w:kern w:val="2"/>
                <w:sz w:val="20"/>
                <w:szCs w:val="20"/>
                <w:vertAlign w:val="superscript"/>
                <w:lang w:val="en-US" w:eastAsia="en-US" w:bidi="ar-SA"/>
              </w:rPr>
              <w:t>3</w:t>
            </w:r>
          </w:p>
        </w:tc>
      </w:tr>
    </w:tbl>
    <w:p>
      <w:pPr>
        <w:widowControl/>
        <w:spacing w:beforeAutospacing="0" w:afterAutospacing="0" w:line="360" w:lineRule="auto"/>
        <w:ind w:firstLine="480" w:firstLineChars="200"/>
        <w:jc w:val="both"/>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食堂油烟废气执行《河南省餐饮业油烟污染物排放标准》（DB 41/1604-2018）中小型食堂标准中最高排放浓度为1.5mg/m</w:t>
      </w:r>
      <w:r>
        <w:rPr>
          <w:rFonts w:hint="eastAsia" w:ascii="Times New Roman" w:hAnsi="Times New Roman" w:eastAsia="宋体" w:cs="Times New Roman"/>
          <w:kern w:val="0"/>
          <w:sz w:val="24"/>
          <w:szCs w:val="24"/>
          <w:u w:val="none"/>
          <w:vertAlign w:val="superscript"/>
          <w:lang w:val="en-US" w:eastAsia="zh-CN" w:bidi="ar-SA"/>
        </w:rPr>
        <w:t>3</w:t>
      </w:r>
      <w:r>
        <w:rPr>
          <w:rFonts w:hint="eastAsia" w:ascii="Times New Roman" w:hAnsi="Times New Roman" w:eastAsia="宋体" w:cs="Times New Roman"/>
          <w:kern w:val="0"/>
          <w:sz w:val="24"/>
          <w:szCs w:val="24"/>
          <w:u w:val="none"/>
          <w:lang w:val="en-US" w:eastAsia="zh-CN" w:bidi="ar-SA"/>
        </w:rPr>
        <w:t>（去除效率≥90%）的限值要求。</w:t>
      </w:r>
    </w:p>
    <w:p>
      <w:pPr>
        <w:widowControl/>
        <w:spacing w:beforeAutospacing="0" w:afterAutospacing="0" w:line="360" w:lineRule="auto"/>
        <w:ind w:firstLine="480" w:firstLineChars="200"/>
        <w:jc w:val="both"/>
        <w:rPr>
          <w:rFonts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（2）</w:t>
      </w:r>
      <w:r>
        <w:rPr>
          <w:rFonts w:ascii="Times New Roman" w:hAnsi="Times New Roman" w:eastAsia="宋体" w:cs="Times New Roman"/>
          <w:kern w:val="0"/>
          <w:sz w:val="24"/>
          <w:szCs w:val="24"/>
          <w:u w:val="none"/>
          <w:lang w:val="en-US" w:eastAsia="zh-CN" w:bidi="ar-SA"/>
        </w:rPr>
        <w:t>水污染物排放及回用水标准</w:t>
      </w:r>
    </w:p>
    <w:p>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ascii="Times New Roman" w:hAnsi="Times New Roman" w:eastAsia="宋体" w:cs="Times New Roman"/>
          <w:snapToGrid/>
          <w:kern w:val="24"/>
          <w:sz w:val="24"/>
          <w:szCs w:val="24"/>
          <w:u w:val="none"/>
          <w:lang w:eastAsia="zh-CN"/>
        </w:rPr>
      </w:pPr>
      <w:r>
        <w:rPr>
          <w:rFonts w:ascii="宋体" w:hAnsi="宋体" w:eastAsia="宋体" w:cs="宋体"/>
          <w:snapToGrid/>
          <w:spacing w:val="-2"/>
          <w:kern w:val="2"/>
          <w:sz w:val="24"/>
          <w:szCs w:val="24"/>
          <w:lang w:eastAsia="zh-CN"/>
        </w:rPr>
        <w:t>项目生活污水进入拟建的化粪池进行预处理，经预处理后的污水和厂区生产废水一</w:t>
      </w:r>
      <w:r>
        <w:rPr>
          <w:rFonts w:ascii="宋体" w:hAnsi="宋体" w:eastAsia="宋体" w:cs="宋体"/>
          <w:snapToGrid/>
          <w:spacing w:val="7"/>
          <w:kern w:val="2"/>
          <w:sz w:val="24"/>
          <w:szCs w:val="24"/>
          <w:lang w:eastAsia="zh-CN"/>
        </w:rPr>
        <w:t xml:space="preserve"> </w:t>
      </w:r>
      <w:r>
        <w:rPr>
          <w:rFonts w:ascii="宋体" w:hAnsi="宋体" w:eastAsia="宋体" w:cs="宋体"/>
          <w:snapToGrid/>
          <w:spacing w:val="-2"/>
          <w:kern w:val="2"/>
          <w:sz w:val="24"/>
          <w:szCs w:val="24"/>
          <w:lang w:eastAsia="zh-CN"/>
        </w:rPr>
        <w:t>同进入厂区拟建的污水处理站进行深度处理，经处理达标后的废水</w:t>
      </w:r>
      <w:r>
        <w:rPr>
          <w:rFonts w:hint="eastAsia" w:ascii="宋体" w:hAnsi="宋体" w:eastAsia="宋体" w:cs="宋体"/>
          <w:snapToGrid/>
          <w:spacing w:val="-2"/>
          <w:kern w:val="2"/>
          <w:sz w:val="24"/>
          <w:szCs w:val="24"/>
          <w:lang w:eastAsia="zh-CN"/>
        </w:rPr>
        <w:t>排入叶县县城污水处理厂</w:t>
      </w:r>
      <w:r>
        <w:rPr>
          <w:rFonts w:ascii="宋体" w:hAnsi="宋体" w:eastAsia="宋体" w:cs="宋体"/>
          <w:snapToGrid/>
          <w:spacing w:val="24"/>
          <w:kern w:val="2"/>
          <w:sz w:val="24"/>
          <w:szCs w:val="24"/>
          <w:lang w:eastAsia="zh-CN"/>
        </w:rPr>
        <w:t>；</w:t>
      </w:r>
      <w:r>
        <w:rPr>
          <w:rFonts w:hint="eastAsia" w:ascii="Times New Roman" w:hAnsi="Times New Roman" w:eastAsia="宋体" w:cs="Times New Roman"/>
          <w:snapToGrid/>
          <w:kern w:val="2"/>
          <w:sz w:val="24"/>
          <w:szCs w:val="24"/>
          <w:lang w:eastAsia="zh-CN"/>
        </w:rPr>
        <w:t>项目</w:t>
      </w:r>
      <w:r>
        <w:rPr>
          <w:rFonts w:ascii="Times New Roman" w:hAnsi="Times New Roman" w:eastAsia="宋体" w:cs="Times New Roman"/>
          <w:snapToGrid/>
          <w:kern w:val="2"/>
          <w:sz w:val="24"/>
          <w:szCs w:val="24"/>
          <w:lang w:eastAsia="zh-CN"/>
        </w:rPr>
        <w:t>屠宰废水执行《肉类加工工业水污染物排放标准》（GB13457-92）表3中的</w:t>
      </w:r>
      <w:r>
        <w:rPr>
          <w:rFonts w:hint="eastAsia" w:ascii="Times New Roman" w:hAnsi="Times New Roman" w:eastAsia="宋体" w:cs="Times New Roman"/>
          <w:snapToGrid/>
          <w:kern w:val="2"/>
          <w:sz w:val="24"/>
          <w:szCs w:val="24"/>
          <w:highlight w:val="none"/>
          <w:lang w:eastAsia="zh-CN"/>
        </w:rPr>
        <w:t>三级</w:t>
      </w:r>
      <w:r>
        <w:rPr>
          <w:rFonts w:ascii="Times New Roman" w:hAnsi="Times New Roman" w:eastAsia="宋体" w:cs="Times New Roman"/>
          <w:snapToGrid/>
          <w:kern w:val="2"/>
          <w:sz w:val="24"/>
          <w:szCs w:val="24"/>
          <w:highlight w:val="none"/>
          <w:lang w:eastAsia="zh-CN"/>
        </w:rPr>
        <w:t>标准</w:t>
      </w:r>
      <w:r>
        <w:rPr>
          <w:rFonts w:hint="eastAsia" w:ascii="Times New Roman" w:hAnsi="Times New Roman" w:eastAsia="宋体" w:cs="Times New Roman"/>
          <w:snapToGrid/>
          <w:kern w:val="2"/>
          <w:sz w:val="24"/>
          <w:szCs w:val="24"/>
          <w:highlight w:val="none"/>
          <w:lang w:eastAsia="zh-CN"/>
        </w:rPr>
        <w:t>和叶县县城污水处理厂进水水质要求</w:t>
      </w:r>
      <w:r>
        <w:rPr>
          <w:rFonts w:ascii="宋体" w:hAnsi="宋体" w:eastAsia="宋体" w:cs="宋体"/>
          <w:snapToGrid/>
          <w:spacing w:val="-2"/>
          <w:kern w:val="2"/>
          <w:sz w:val="24"/>
          <w:szCs w:val="24"/>
          <w:lang w:eastAsia="zh-CN"/>
        </w:rPr>
        <w:t>，具体见表</w:t>
      </w:r>
      <w:r>
        <w:rPr>
          <w:rFonts w:hint="default" w:ascii="Times New Roman" w:hAnsi="Times New Roman" w:eastAsia="宋体" w:cs="Times New Roman"/>
          <w:snapToGrid/>
          <w:spacing w:val="-20"/>
          <w:kern w:val="2"/>
          <w:sz w:val="24"/>
          <w:szCs w:val="24"/>
          <w:lang w:val="en-US" w:eastAsia="zh-CN"/>
        </w:rPr>
        <w:t>2</w:t>
      </w:r>
      <w:r>
        <w:rPr>
          <w:rFonts w:hint="default" w:ascii="Times New Roman" w:hAnsi="Times New Roman" w:eastAsia="Times New Roman" w:cs="Times New Roman"/>
          <w:snapToGrid/>
          <w:spacing w:val="-2"/>
          <w:kern w:val="2"/>
          <w:sz w:val="24"/>
          <w:szCs w:val="24"/>
          <w:lang w:eastAsia="zh-CN"/>
        </w:rPr>
        <w:t>-</w:t>
      </w:r>
      <w:r>
        <w:rPr>
          <w:rFonts w:hint="eastAsia" w:ascii="Times New Roman" w:hAnsi="Times New Roman" w:eastAsia="Times New Roman" w:cs="Times New Roman"/>
          <w:snapToGrid/>
          <w:spacing w:val="-2"/>
          <w:kern w:val="2"/>
          <w:sz w:val="24"/>
          <w:szCs w:val="24"/>
          <w:lang w:val="en-US" w:eastAsia="zh-CN"/>
        </w:rPr>
        <w:t>9</w:t>
      </w:r>
      <w:r>
        <w:rPr>
          <w:rFonts w:hint="eastAsia" w:ascii="Times New Roman" w:hAnsi="Times New Roman" w:eastAsia="宋体" w:cs="Times New Roman"/>
          <w:snapToGrid/>
          <w:kern w:val="24"/>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snapToGrid/>
          <w:kern w:val="2"/>
          <w:sz w:val="24"/>
          <w:szCs w:val="24"/>
          <w:lang w:eastAsia="zh-CN"/>
        </w:rPr>
      </w:pPr>
      <w:r>
        <w:rPr>
          <w:rFonts w:hint="eastAsia" w:ascii="黑体" w:hAnsi="黑体" w:eastAsia="黑体" w:cs="黑体"/>
          <w:b w:val="0"/>
          <w:bCs/>
          <w:snapToGrid/>
          <w:kern w:val="2"/>
          <w:sz w:val="24"/>
          <w:szCs w:val="24"/>
          <w:lang w:eastAsia="zh-CN"/>
        </w:rPr>
        <w:t>表</w:t>
      </w:r>
      <w:r>
        <w:rPr>
          <w:rFonts w:hint="eastAsia" w:ascii="黑体" w:hAnsi="黑体" w:eastAsia="黑体" w:cs="黑体"/>
          <w:b w:val="0"/>
          <w:bCs/>
          <w:snapToGrid/>
          <w:kern w:val="2"/>
          <w:sz w:val="24"/>
          <w:szCs w:val="24"/>
          <w:lang w:val="en-US" w:eastAsia="zh-CN"/>
        </w:rPr>
        <w:t xml:space="preserve">2-9    </w:t>
      </w:r>
      <w:r>
        <w:rPr>
          <w:rFonts w:hint="eastAsia" w:ascii="黑体" w:hAnsi="黑体" w:eastAsia="黑体" w:cs="黑体"/>
          <w:b w:val="0"/>
          <w:bCs/>
          <w:snapToGrid/>
          <w:kern w:val="2"/>
          <w:sz w:val="24"/>
          <w:szCs w:val="24"/>
          <w:lang w:eastAsia="zh-CN"/>
        </w:rPr>
        <w:t>本项目废水执行标准</w:t>
      </w:r>
    </w:p>
    <w:tbl>
      <w:tblPr>
        <w:tblStyle w:val="20"/>
        <w:tblW w:w="90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25"/>
        <w:gridCol w:w="2970"/>
        <w:gridCol w:w="3045"/>
        <w:gridCol w:w="1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污染物</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24"/>
                <w:sz w:val="21"/>
                <w:szCs w:val="21"/>
                <w:lang w:val="en-US" w:eastAsia="zh-CN" w:bidi="ar-SA"/>
              </w:rPr>
            </w:pPr>
            <w:r>
              <w:rPr>
                <w:rFonts w:ascii="Times New Roman" w:hAnsi="Times New Roman" w:eastAsia="宋体" w:cs="Times New Roman"/>
                <w:kern w:val="0"/>
                <w:sz w:val="22"/>
                <w:szCs w:val="18"/>
                <w:lang w:val="en-US" w:eastAsia="zh-CN" w:bidi="ar-SA"/>
              </w:rPr>
              <w:t>《肉类加工工业水污染物排放标准》（GB13457-92）</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叶县县城污水处理厂</w:t>
            </w:r>
            <w:r>
              <w:rPr>
                <w:rFonts w:ascii="Times New Roman" w:hAnsi="Times New Roman" w:eastAsia="宋体" w:cs="Times New Roman"/>
                <w:kern w:val="0"/>
                <w:sz w:val="21"/>
                <w:szCs w:val="21"/>
                <w:highlight w:val="none"/>
                <w:lang w:val="en-US" w:eastAsia="zh-CN" w:bidi="ar-SA"/>
              </w:rPr>
              <w:t>进水水质要求</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COD</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排放浓度</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5</w:t>
            </w:r>
            <w:r>
              <w:rPr>
                <w:rFonts w:ascii="Times New Roman" w:hAnsi="Times New Roman" w:eastAsia="宋体" w:cs="Times New Roman"/>
                <w:kern w:val="0"/>
                <w:sz w:val="21"/>
                <w:szCs w:val="21"/>
                <w:lang w:val="en-US" w:eastAsia="zh-CN" w:bidi="ar-SA"/>
              </w:rPr>
              <w:t>00mg/L</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kern w:val="2"/>
                <w:sz w:val="21"/>
                <w:szCs w:val="21"/>
                <w:lang w:eastAsia="zh-CN"/>
              </w:rPr>
              <w:t>≤</w:t>
            </w:r>
            <w:r>
              <w:rPr>
                <w:rFonts w:hint="eastAsia" w:ascii="Times New Roman" w:hAnsi="Times New Roman" w:eastAsia="宋体" w:cs="Times New Roman"/>
                <w:snapToGrid/>
                <w:kern w:val="2"/>
                <w:sz w:val="21"/>
                <w:szCs w:val="21"/>
                <w:lang w:val="en-US" w:eastAsia="zh-CN"/>
              </w:rPr>
              <w:t>35</w:t>
            </w:r>
            <w:r>
              <w:rPr>
                <w:rFonts w:hint="eastAsia" w:ascii="Times New Roman" w:hAnsi="Times New Roman" w:eastAsia="宋体" w:cs="Times New Roman"/>
                <w:snapToGrid/>
                <w:kern w:val="2"/>
                <w:sz w:val="21"/>
                <w:szCs w:val="21"/>
                <w:lang w:eastAsia="zh-CN"/>
              </w:rPr>
              <w:t>0</w:t>
            </w:r>
            <w:r>
              <w:rPr>
                <w:rFonts w:ascii="Times New Roman" w:hAnsi="Times New Roman" w:eastAsia="宋体" w:cs="Times New Roman"/>
                <w:snapToGrid/>
                <w:kern w:val="2"/>
                <w:sz w:val="21"/>
                <w:szCs w:val="21"/>
                <w:lang w:eastAsia="zh-CN"/>
              </w:rPr>
              <w:t>mg/L</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排放总量</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3.3kg/t（活屠重）</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BOD</w:t>
            </w:r>
            <w:r>
              <w:rPr>
                <w:rFonts w:ascii="Times New Roman" w:hAnsi="Times New Roman" w:eastAsia="宋体" w:cs="Times New Roman"/>
                <w:kern w:val="0"/>
                <w:sz w:val="21"/>
                <w:szCs w:val="21"/>
                <w:vertAlign w:val="subscript"/>
                <w:lang w:val="en-US" w:eastAsia="zh-CN" w:bidi="ar-SA"/>
              </w:rPr>
              <w:t>5</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排放浓度</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300</w:t>
            </w:r>
            <w:r>
              <w:rPr>
                <w:rFonts w:ascii="Times New Roman" w:hAnsi="Times New Roman" w:eastAsia="宋体" w:cs="Times New Roman"/>
                <w:kern w:val="0"/>
                <w:sz w:val="21"/>
                <w:szCs w:val="21"/>
                <w:lang w:val="en-US" w:eastAsia="zh-CN" w:bidi="ar-SA"/>
              </w:rPr>
              <w:t>mg/L</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kern w:val="2"/>
                <w:sz w:val="21"/>
                <w:szCs w:val="21"/>
                <w:lang w:eastAsia="zh-CN"/>
              </w:rPr>
              <w:t>≤</w:t>
            </w:r>
            <w:r>
              <w:rPr>
                <w:rFonts w:hint="eastAsia" w:ascii="Times New Roman" w:hAnsi="Times New Roman" w:eastAsia="宋体" w:cs="Times New Roman"/>
                <w:snapToGrid/>
                <w:kern w:val="2"/>
                <w:sz w:val="21"/>
                <w:szCs w:val="21"/>
                <w:lang w:eastAsia="zh-CN"/>
              </w:rPr>
              <w:t>1</w:t>
            </w:r>
            <w:r>
              <w:rPr>
                <w:rFonts w:hint="eastAsia" w:ascii="Times New Roman" w:hAnsi="Times New Roman" w:eastAsia="宋体" w:cs="Times New Roman"/>
                <w:snapToGrid/>
                <w:kern w:val="2"/>
                <w:sz w:val="21"/>
                <w:szCs w:val="21"/>
                <w:lang w:val="en-US" w:eastAsia="zh-CN"/>
              </w:rPr>
              <w:t>6</w:t>
            </w:r>
            <w:r>
              <w:rPr>
                <w:rFonts w:hint="eastAsia" w:ascii="Times New Roman" w:hAnsi="Times New Roman" w:eastAsia="宋体" w:cs="Times New Roman"/>
                <w:snapToGrid/>
                <w:kern w:val="2"/>
                <w:sz w:val="21"/>
                <w:szCs w:val="21"/>
                <w:lang w:eastAsia="zh-CN"/>
              </w:rPr>
              <w:t>0</w:t>
            </w:r>
            <w:r>
              <w:rPr>
                <w:rFonts w:ascii="Times New Roman" w:hAnsi="Times New Roman" w:eastAsia="宋体" w:cs="Times New Roman"/>
                <w:snapToGrid/>
                <w:kern w:val="2"/>
                <w:sz w:val="21"/>
                <w:szCs w:val="21"/>
                <w:lang w:eastAsia="zh-CN"/>
              </w:rPr>
              <w:t>mg/L</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排放总量</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2.0kg/t（活屠重）</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SS</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排放浓度</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4</w:t>
            </w:r>
            <w:r>
              <w:rPr>
                <w:rFonts w:ascii="Times New Roman" w:hAnsi="Times New Roman" w:eastAsia="宋体" w:cs="Times New Roman"/>
                <w:kern w:val="0"/>
                <w:sz w:val="21"/>
                <w:szCs w:val="21"/>
                <w:lang w:val="en-US" w:eastAsia="zh-CN" w:bidi="ar-SA"/>
              </w:rPr>
              <w:t>00mg/L</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kern w:val="2"/>
                <w:sz w:val="21"/>
                <w:szCs w:val="21"/>
                <w:lang w:eastAsia="zh-CN"/>
              </w:rPr>
              <w:t>≤</w:t>
            </w:r>
            <w:r>
              <w:rPr>
                <w:rFonts w:hint="eastAsia" w:ascii="Times New Roman" w:hAnsi="Times New Roman" w:eastAsia="宋体" w:cs="Times New Roman"/>
                <w:snapToGrid/>
                <w:kern w:val="2"/>
                <w:sz w:val="21"/>
                <w:szCs w:val="21"/>
                <w:lang w:val="en-US" w:eastAsia="zh-CN"/>
              </w:rPr>
              <w:t>180</w:t>
            </w:r>
            <w:r>
              <w:rPr>
                <w:rFonts w:ascii="Times New Roman" w:hAnsi="Times New Roman" w:eastAsia="宋体" w:cs="Times New Roman"/>
                <w:snapToGrid/>
                <w:kern w:val="2"/>
                <w:sz w:val="21"/>
                <w:szCs w:val="21"/>
                <w:lang w:eastAsia="zh-CN"/>
              </w:rPr>
              <w:t>mg/L</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排放总量</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2.6kg/t（活屠重）</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氨氮</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排放浓度</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kern w:val="2"/>
                <w:sz w:val="21"/>
                <w:szCs w:val="21"/>
                <w:lang w:eastAsia="zh-CN"/>
              </w:rPr>
              <w:t>≤</w:t>
            </w:r>
            <w:r>
              <w:rPr>
                <w:rFonts w:hint="eastAsia" w:ascii="Times New Roman" w:hAnsi="Times New Roman" w:eastAsia="宋体" w:cs="Times New Roman"/>
                <w:snapToGrid/>
                <w:kern w:val="2"/>
                <w:sz w:val="21"/>
                <w:szCs w:val="21"/>
                <w:lang w:val="en-US" w:eastAsia="zh-CN"/>
              </w:rPr>
              <w:t>30</w:t>
            </w:r>
            <w:r>
              <w:rPr>
                <w:rFonts w:ascii="Times New Roman" w:hAnsi="Times New Roman" w:eastAsia="宋体" w:cs="Times New Roman"/>
                <w:snapToGrid/>
                <w:kern w:val="2"/>
                <w:sz w:val="21"/>
                <w:szCs w:val="21"/>
                <w:lang w:eastAsia="zh-CN"/>
              </w:rPr>
              <w:t>mg/L</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排放总量</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总磷</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排放浓度</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lang w:eastAsia="zh-CN"/>
              </w:rPr>
              <w:t>≤</w:t>
            </w:r>
            <w:r>
              <w:rPr>
                <w:rFonts w:hint="eastAsia" w:ascii="Times New Roman" w:hAnsi="Times New Roman" w:eastAsia="宋体" w:cs="Times New Roman"/>
                <w:snapToGrid/>
                <w:kern w:val="2"/>
                <w:sz w:val="21"/>
                <w:szCs w:val="21"/>
                <w:lang w:val="en-US" w:eastAsia="zh-CN"/>
              </w:rPr>
              <w:t>4</w:t>
            </w:r>
            <w:r>
              <w:rPr>
                <w:rFonts w:ascii="Times New Roman" w:hAnsi="Times New Roman" w:eastAsia="宋体" w:cs="Times New Roman"/>
                <w:snapToGrid/>
                <w:kern w:val="2"/>
                <w:sz w:val="21"/>
                <w:szCs w:val="21"/>
                <w:lang w:eastAsia="zh-CN"/>
              </w:rPr>
              <w:t>mg/L</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总氮</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排放浓度</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lang w:eastAsia="zh-CN"/>
              </w:rPr>
              <w:t>≤</w:t>
            </w:r>
            <w:r>
              <w:rPr>
                <w:rFonts w:hint="eastAsia" w:ascii="Times New Roman" w:hAnsi="Times New Roman" w:eastAsia="宋体" w:cs="Times New Roman"/>
                <w:snapToGrid/>
                <w:kern w:val="2"/>
                <w:sz w:val="21"/>
                <w:szCs w:val="21"/>
                <w:lang w:val="en-US" w:eastAsia="zh-CN"/>
              </w:rPr>
              <w:t>40</w:t>
            </w:r>
            <w:r>
              <w:rPr>
                <w:rFonts w:ascii="Times New Roman" w:hAnsi="Times New Roman" w:eastAsia="宋体" w:cs="Times New Roman"/>
                <w:snapToGrid/>
                <w:kern w:val="2"/>
                <w:sz w:val="21"/>
                <w:szCs w:val="21"/>
                <w:lang w:eastAsia="zh-CN"/>
              </w:rPr>
              <w:t>mg/L</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动植物油</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排放浓度</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60</w:t>
            </w:r>
            <w:r>
              <w:rPr>
                <w:rFonts w:ascii="Times New Roman" w:hAnsi="Times New Roman" w:eastAsia="宋体" w:cs="Times New Roman"/>
                <w:kern w:val="0"/>
                <w:sz w:val="21"/>
                <w:szCs w:val="21"/>
                <w:lang w:val="en-US" w:eastAsia="zh-CN" w:bidi="ar-SA"/>
              </w:rPr>
              <w:t>mg/L</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排放总量</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0.4kg/t（活屠重）</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kern w:val="0"/>
                <w:sz w:val="21"/>
                <w:szCs w:val="21"/>
                <w:lang w:val="en-US" w:eastAsia="zh-CN" w:bidi="ar-SA"/>
              </w:rPr>
            </w:pPr>
            <w:r>
              <w:rPr>
                <w:rFonts w:hint="eastAsia" w:ascii="Times New Roman" w:hAnsi="宋体" w:eastAsia="宋体" w:cs="Times New Roman"/>
                <w:b w:val="0"/>
                <w:bCs/>
                <w:kern w:val="0"/>
                <w:sz w:val="21"/>
                <w:szCs w:val="21"/>
                <w:vertAlign w:val="baseline"/>
                <w:lang w:val="en-US" w:eastAsia="zh-CN" w:bidi="ar-SA"/>
              </w:rPr>
              <w:t>大肠杆菌群数</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宋体" w:eastAsia="宋体" w:cs="Times New Roman"/>
                <w:b w:val="0"/>
                <w:bCs/>
                <w:kern w:val="0"/>
                <w:sz w:val="21"/>
                <w:szCs w:val="21"/>
                <w:vertAlign w:val="baseline"/>
                <w:lang w:val="en-US" w:eastAsia="zh-CN" w:bidi="ar-SA"/>
              </w:rPr>
            </w:pPr>
            <w:r>
              <w:rPr>
                <w:rFonts w:hint="eastAsia" w:ascii="Times New Roman" w:hAnsi="Times New Roman" w:eastAsia="宋体" w:cs="Times New Roman"/>
                <w:kern w:val="0"/>
                <w:sz w:val="21"/>
                <w:szCs w:val="21"/>
                <w:lang w:val="en-US" w:eastAsia="zh-CN" w:bidi="ar-SA"/>
              </w:rPr>
              <w:t>排放浓度</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ascii="Times New Roman" w:hAnsi="Times New Roman" w:eastAsia="宋体" w:cs="Times New Roman"/>
                <w:kern w:val="0"/>
                <w:sz w:val="21"/>
                <w:szCs w:val="21"/>
                <w:lang w:val="en-US" w:eastAsia="zh-CN" w:bidi="ar-SA"/>
              </w:rPr>
            </w:pPr>
            <w:r>
              <w:rPr>
                <w:rFonts w:hint="eastAsia" w:ascii="Times New Roman" w:hAnsi="宋体" w:eastAsia="宋体" w:cs="Times New Roman"/>
                <w:b w:val="0"/>
                <w:bCs/>
                <w:kern w:val="0"/>
                <w:sz w:val="21"/>
                <w:szCs w:val="21"/>
                <w:vertAlign w:val="baseline"/>
                <w:lang w:val="en-US" w:eastAsia="zh-CN" w:bidi="ar-SA"/>
              </w:rPr>
              <w:t>﹤</w:t>
            </w:r>
            <w:r>
              <w:rPr>
                <w:rFonts w:hint="eastAsia" w:ascii="Times New Roman" w:hAnsi="Times New Roman" w:eastAsia="宋体" w:cs="Times New Roman"/>
                <w:color w:val="000000"/>
                <w:kern w:val="0"/>
                <w:sz w:val="21"/>
                <w:szCs w:val="18"/>
                <w:lang w:val="en-US" w:eastAsia="zh-CN" w:bidi="ar-SA"/>
              </w:rPr>
              <w:t>10000</w:t>
            </w:r>
            <w:r>
              <w:rPr>
                <w:rFonts w:hint="eastAsia" w:ascii="Times New Roman" w:hAnsi="宋体" w:eastAsia="宋体" w:cs="Times New Roman"/>
                <w:b w:val="0"/>
                <w:bCs/>
                <w:kern w:val="0"/>
                <w:sz w:val="21"/>
                <w:szCs w:val="21"/>
                <w:vertAlign w:val="baseline"/>
                <w:lang w:val="en-US" w:eastAsia="zh-CN" w:bidi="ar-SA"/>
              </w:rPr>
              <w:t>个/L</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参照二级标准执行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3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宋体" w:eastAsia="宋体" w:cs="Times New Roman"/>
                <w:b w:val="0"/>
                <w:bCs/>
                <w:kern w:val="0"/>
                <w:sz w:val="21"/>
                <w:szCs w:val="21"/>
                <w:vertAlign w:val="baseline"/>
                <w:lang w:val="en-US" w:eastAsia="zh-CN" w:bidi="ar-SA"/>
              </w:rPr>
            </w:pPr>
            <w:r>
              <w:rPr>
                <w:rFonts w:hint="eastAsia" w:ascii="Times New Roman" w:hAnsi="宋体" w:eastAsia="宋体" w:cs="Times New Roman"/>
                <w:b w:val="0"/>
                <w:bCs/>
                <w:kern w:val="0"/>
                <w:sz w:val="21"/>
                <w:szCs w:val="21"/>
                <w:vertAlign w:val="baseline"/>
                <w:lang w:val="en-US" w:eastAsia="zh-CN" w:bidi="ar-SA"/>
              </w:rPr>
              <w:t>排水量</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宋体" w:eastAsia="宋体" w:cs="Times New Roman"/>
                <w:b w:val="0"/>
                <w:bCs/>
                <w:kern w:val="0"/>
                <w:sz w:val="21"/>
                <w:szCs w:val="21"/>
                <w:vertAlign w:val="baseline"/>
                <w:lang w:val="en-US" w:eastAsia="zh-CN" w:bidi="ar-SA"/>
              </w:rPr>
            </w:pPr>
            <w:r>
              <w:rPr>
                <w:rFonts w:hint="eastAsia" w:ascii="Times New Roman" w:hAnsi="Times New Roman" w:eastAsia="宋体" w:cs="Times New Roman"/>
                <w:kern w:val="0"/>
                <w:sz w:val="21"/>
                <w:szCs w:val="21"/>
                <w:lang w:val="en-US" w:eastAsia="zh-CN" w:bidi="ar-SA"/>
              </w:rPr>
              <w:t>6.5m</w:t>
            </w:r>
            <w:r>
              <w:rPr>
                <w:rFonts w:hint="eastAsia" w:ascii="Times New Roman" w:hAnsi="Times New Roman" w:eastAsia="宋体" w:cs="Times New Roman"/>
                <w:kern w:val="0"/>
                <w:sz w:val="21"/>
                <w:szCs w:val="21"/>
                <w:vertAlign w:val="superscript"/>
                <w:lang w:val="en-US" w:eastAsia="zh-CN" w:bidi="ar-SA"/>
              </w:rPr>
              <w:t>3</w:t>
            </w:r>
            <w:r>
              <w:rPr>
                <w:rFonts w:hint="eastAsia" w:ascii="Times New Roman" w:hAnsi="Times New Roman" w:eastAsia="宋体" w:cs="Times New Roman"/>
                <w:kern w:val="0"/>
                <w:sz w:val="21"/>
                <w:szCs w:val="21"/>
                <w:lang w:val="en-US" w:eastAsia="zh-CN" w:bidi="ar-SA"/>
              </w:rPr>
              <w:t>/t（活屠重）</w:t>
            </w:r>
          </w:p>
        </w:tc>
        <w:tc>
          <w:tcPr>
            <w:tcW w:w="30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7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说明：本项目废水排入叶县县城污水处理厂，执行三级标准</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Autospacing="0" w:line="360" w:lineRule="auto"/>
        <w:ind w:firstLine="480" w:firstLineChars="200"/>
        <w:jc w:val="left"/>
        <w:textAlignment w:val="baseline"/>
        <w:rPr>
          <w:rFonts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（3）噪声</w:t>
      </w:r>
    </w:p>
    <w:p>
      <w:pPr>
        <w:widowControl/>
        <w:spacing w:beforeAutospacing="0" w:afterAutospacing="0" w:line="360" w:lineRule="auto"/>
        <w:ind w:firstLine="480" w:firstLineChars="200"/>
        <w:jc w:val="left"/>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①施工期</w:t>
      </w:r>
    </w:p>
    <w:p>
      <w:pPr>
        <w:widowControl/>
        <w:spacing w:beforeAutospacing="0" w:afterAutospacing="0" w:line="360" w:lineRule="auto"/>
        <w:ind w:firstLine="480" w:firstLineChars="200"/>
        <w:jc w:val="left"/>
        <w:rPr>
          <w:rFonts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施工噪声执行《建筑施工场界环境噪声排放标准》（GB12523-2011），具体标准值见表2-10。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snapToGrid/>
          <w:kern w:val="2"/>
          <w:sz w:val="24"/>
          <w:szCs w:val="24"/>
          <w:lang w:eastAsia="zh-CN"/>
        </w:rPr>
      </w:pPr>
      <w:r>
        <w:rPr>
          <w:rFonts w:hint="eastAsia" w:ascii="Times New Roman" w:hAnsi="Times New Roman" w:eastAsia="宋体" w:cs="Times New Roman"/>
          <w:b/>
          <w:bCs/>
          <w:snapToGrid/>
          <w:kern w:val="2"/>
          <w:sz w:val="24"/>
          <w:szCs w:val="24"/>
          <w:highlight w:val="none"/>
          <w:lang w:eastAsia="zh-CN"/>
        </w:rPr>
        <w:t>表2-</w:t>
      </w:r>
      <w:r>
        <w:rPr>
          <w:rFonts w:hint="eastAsia" w:ascii="Times New Roman" w:hAnsi="Times New Roman" w:eastAsia="宋体" w:cs="Times New Roman"/>
          <w:b/>
          <w:bCs/>
          <w:snapToGrid/>
          <w:kern w:val="2"/>
          <w:sz w:val="24"/>
          <w:szCs w:val="24"/>
          <w:highlight w:val="none"/>
          <w:lang w:val="en-US" w:eastAsia="zh-CN"/>
        </w:rPr>
        <w:t>10</w:t>
      </w:r>
      <w:r>
        <w:rPr>
          <w:rFonts w:hint="eastAsia" w:ascii="Times New Roman" w:hAnsi="Times New Roman" w:eastAsia="宋体" w:cs="Times New Roman"/>
          <w:b/>
          <w:bCs/>
          <w:snapToGrid/>
          <w:kern w:val="2"/>
          <w:sz w:val="24"/>
          <w:szCs w:val="24"/>
          <w:lang w:eastAsia="zh-CN"/>
        </w:rPr>
        <w:t xml:space="preserve">  建筑施工场界环境噪声排放限值         单位：dB（A）</w:t>
      </w:r>
    </w:p>
    <w:tbl>
      <w:tblPr>
        <w:tblStyle w:val="20"/>
        <w:tblW w:w="8911"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329"/>
        <w:gridCol w:w="45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jc w:val="center"/>
        </w:trPr>
        <w:tc>
          <w:tcPr>
            <w:tcW w:w="4329"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昼间</w:t>
            </w:r>
          </w:p>
        </w:tc>
        <w:tc>
          <w:tcPr>
            <w:tcW w:w="4582"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jc w:val="center"/>
        </w:trPr>
        <w:tc>
          <w:tcPr>
            <w:tcW w:w="4329"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70</w:t>
            </w:r>
          </w:p>
        </w:tc>
        <w:tc>
          <w:tcPr>
            <w:tcW w:w="4582"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55</w:t>
            </w:r>
          </w:p>
        </w:tc>
      </w:tr>
    </w:tbl>
    <w:p>
      <w:pPr>
        <w:keepNext w:val="0"/>
        <w:keepLines w:val="0"/>
        <w:pageBreakBefore w:val="0"/>
        <w:widowControl w:val="0"/>
        <w:kinsoku/>
        <w:wordWrap/>
        <w:overflowPunct/>
        <w:topLinePunct w:val="0"/>
        <w:autoSpaceDE/>
        <w:autoSpaceDN/>
        <w:bidi w:val="0"/>
        <w:adjustRightInd/>
        <w:snapToGrid/>
        <w:spacing w:before="0" w:beforeAutospacing="0" w:afterAutospacing="0" w:line="360" w:lineRule="auto"/>
        <w:ind w:firstLine="480" w:firstLineChars="200"/>
        <w:jc w:val="left"/>
        <w:textAlignment w:val="auto"/>
        <w:rPr>
          <w:rFonts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②运行期</w:t>
      </w:r>
    </w:p>
    <w:p>
      <w:pPr>
        <w:keepNext w:val="0"/>
        <w:keepLines w:val="0"/>
        <w:pageBreakBefore w:val="0"/>
        <w:widowControl w:val="0"/>
        <w:kinsoku/>
        <w:wordWrap/>
        <w:overflowPunct/>
        <w:topLinePunct w:val="0"/>
        <w:autoSpaceDE/>
        <w:autoSpaceDN/>
        <w:bidi w:val="0"/>
        <w:adjustRightInd/>
        <w:snapToGrid/>
        <w:spacing w:before="0" w:beforeAutospacing="0" w:afterAutospacing="0" w:line="360" w:lineRule="auto"/>
        <w:ind w:firstLine="480" w:firstLineChars="200"/>
        <w:jc w:val="left"/>
        <w:textAlignment w:val="auto"/>
        <w:rPr>
          <w:rFonts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24"/>
          <w:szCs w:val="24"/>
          <w:lang w:val="en-US" w:eastAsia="zh-CN" w:bidi="ar-SA"/>
        </w:rPr>
        <w:t>本项目营运期噪声执行《工业企业厂界环境噪声排放标准》（GB12348-2008）中的</w:t>
      </w:r>
      <w:r>
        <w:rPr>
          <w:rFonts w:hint="eastAsia" w:ascii="Times New Roman" w:hAnsi="Times New Roman" w:eastAsia="宋体" w:cs="Times New Roman"/>
          <w:kern w:val="0"/>
          <w:sz w:val="24"/>
          <w:szCs w:val="24"/>
          <w:lang w:val="en-US" w:eastAsia="zh-CN" w:bidi="ar-SA"/>
        </w:rPr>
        <w:t>2</w:t>
      </w:r>
      <w:r>
        <w:rPr>
          <w:rFonts w:ascii="Times New Roman" w:hAnsi="Times New Roman" w:eastAsia="宋体" w:cs="Times New Roman"/>
          <w:kern w:val="0"/>
          <w:sz w:val="24"/>
          <w:szCs w:val="24"/>
          <w:lang w:val="en-US" w:eastAsia="zh-CN" w:bidi="ar-SA"/>
        </w:rPr>
        <w:t>类</w:t>
      </w:r>
      <w:r>
        <w:rPr>
          <w:rFonts w:hint="eastAsia" w:ascii="Times New Roman" w:hAnsi="Times New Roman" w:eastAsia="宋体" w:cs="Times New Roman"/>
          <w:kern w:val="0"/>
          <w:sz w:val="24"/>
          <w:szCs w:val="24"/>
          <w:lang w:val="en-US" w:eastAsia="zh-CN" w:bidi="ar-SA"/>
        </w:rPr>
        <w:t>和4类</w:t>
      </w:r>
      <w:r>
        <w:rPr>
          <w:rFonts w:ascii="Times New Roman" w:hAnsi="Times New Roman" w:eastAsia="宋体" w:cs="Times New Roman"/>
          <w:kern w:val="0"/>
          <w:sz w:val="24"/>
          <w:szCs w:val="24"/>
          <w:lang w:val="en-US" w:eastAsia="zh-CN" w:bidi="ar-SA"/>
        </w:rPr>
        <w:t>标准，具体标准值见表2-</w:t>
      </w:r>
      <w:r>
        <w:rPr>
          <w:rFonts w:hint="eastAsia" w:ascii="Times New Roman" w:hAnsi="Times New Roman" w:eastAsia="宋体" w:cs="Times New Roman"/>
          <w:kern w:val="0"/>
          <w:sz w:val="24"/>
          <w:szCs w:val="24"/>
          <w:lang w:val="en-US" w:eastAsia="zh-CN" w:bidi="ar-SA"/>
        </w:rPr>
        <w:t>11</w:t>
      </w:r>
      <w:r>
        <w:rPr>
          <w:rFonts w:ascii="Times New Roman" w:hAnsi="Times New Roman" w:eastAsia="宋体" w:cs="Times New Roman"/>
          <w:kern w:val="0"/>
          <w:sz w:val="24"/>
          <w:szCs w:val="24"/>
          <w:lang w:val="en-US" w:eastAsia="zh-CN" w:bidi="ar-SA"/>
        </w:rPr>
        <w:t>。</w:t>
      </w:r>
    </w:p>
    <w:p>
      <w:pPr>
        <w:keepNext w:val="0"/>
        <w:keepLines w:val="0"/>
        <w:pageBreakBefore w:val="0"/>
        <w:widowControl w:val="0"/>
        <w:tabs>
          <w:tab w:val="left" w:pos="540"/>
        </w:tabs>
        <w:kinsoku/>
        <w:wordWrap/>
        <w:overflowPunct/>
        <w:topLinePunct w:val="0"/>
        <w:autoSpaceDE/>
        <w:autoSpaceDN/>
        <w:bidi w:val="0"/>
        <w:adjustRightInd/>
        <w:snapToGrid/>
        <w:spacing w:line="240" w:lineRule="auto"/>
        <w:ind w:firstLine="480" w:firstLineChars="200"/>
        <w:jc w:val="center"/>
        <w:textAlignment w:val="auto"/>
        <w:rPr>
          <w:rFonts w:ascii="Calibri" w:hAnsi="Calibri" w:eastAsia="黑体" w:cs="Times New Roman"/>
          <w:snapToGrid/>
          <w:color w:val="000000"/>
          <w:kern w:val="2"/>
          <w:sz w:val="24"/>
          <w:szCs w:val="24"/>
          <w:lang w:eastAsia="zh-CN"/>
        </w:rPr>
      </w:pPr>
      <w:r>
        <w:rPr>
          <w:rFonts w:ascii="Calibri" w:hAnsi="Calibri" w:eastAsia="黑体" w:cs="Times New Roman"/>
          <w:snapToGrid/>
          <w:kern w:val="2"/>
          <w:sz w:val="24"/>
          <w:szCs w:val="24"/>
          <w:lang w:eastAsia="zh-CN"/>
        </w:rPr>
        <w:t>表</w:t>
      </w:r>
      <w:r>
        <w:rPr>
          <w:rFonts w:hint="eastAsia" w:ascii="Calibri" w:hAnsi="Calibri" w:eastAsia="黑体" w:cs="Times New Roman"/>
          <w:snapToGrid/>
          <w:kern w:val="2"/>
          <w:sz w:val="24"/>
          <w:szCs w:val="24"/>
          <w:lang w:val="en-US" w:eastAsia="zh-CN"/>
        </w:rPr>
        <w:t>2-11</w:t>
      </w:r>
      <w:r>
        <w:rPr>
          <w:rFonts w:ascii="Calibri" w:hAnsi="Calibri" w:eastAsia="黑体" w:cs="Times New Roman"/>
          <w:snapToGrid/>
          <w:kern w:val="2"/>
          <w:sz w:val="24"/>
          <w:szCs w:val="24"/>
          <w:lang w:eastAsia="zh-CN"/>
        </w:rPr>
        <w:t xml:space="preserve">    工业企业厂界</w:t>
      </w:r>
      <w:r>
        <w:rPr>
          <w:rFonts w:hint="eastAsia" w:ascii="Calibri" w:hAnsi="Calibri" w:eastAsia="黑体" w:cs="Times New Roman"/>
          <w:snapToGrid/>
          <w:kern w:val="2"/>
          <w:sz w:val="24"/>
          <w:szCs w:val="24"/>
          <w:lang w:eastAsia="zh-CN"/>
        </w:rPr>
        <w:t>环境</w:t>
      </w:r>
      <w:r>
        <w:rPr>
          <w:rFonts w:ascii="Calibri" w:hAnsi="Calibri" w:eastAsia="黑体" w:cs="Times New Roman"/>
          <w:snapToGrid/>
          <w:kern w:val="2"/>
          <w:sz w:val="24"/>
          <w:szCs w:val="24"/>
          <w:lang w:eastAsia="zh-CN"/>
        </w:rPr>
        <w:t>噪声</w:t>
      </w:r>
      <w:r>
        <w:rPr>
          <w:rFonts w:hint="eastAsia" w:ascii="Calibri" w:hAnsi="Calibri" w:eastAsia="黑体" w:cs="Times New Roman"/>
          <w:snapToGrid/>
          <w:kern w:val="2"/>
          <w:sz w:val="24"/>
          <w:szCs w:val="24"/>
          <w:lang w:eastAsia="zh-CN"/>
        </w:rPr>
        <w:t>排放限值</w:t>
      </w:r>
      <w:r>
        <w:rPr>
          <w:rFonts w:ascii="Calibri" w:hAnsi="Calibri" w:eastAsia="黑体" w:cs="Times New Roman"/>
          <w:snapToGrid/>
          <w:color w:val="000000"/>
          <w:kern w:val="2"/>
          <w:sz w:val="24"/>
          <w:szCs w:val="24"/>
          <w:lang w:eastAsia="zh-CN"/>
        </w:rPr>
        <w:t xml:space="preserve">        </w:t>
      </w:r>
      <w:r>
        <w:rPr>
          <w:rFonts w:hint="eastAsia" w:ascii="Calibri" w:hAnsi="Calibri" w:eastAsia="黑体" w:cs="Times New Roman"/>
          <w:snapToGrid/>
          <w:kern w:val="2"/>
          <w:sz w:val="24"/>
          <w:szCs w:val="24"/>
          <w:lang w:eastAsia="zh-CN"/>
        </w:rPr>
        <w:t>单位</w:t>
      </w:r>
      <w:r>
        <w:rPr>
          <w:rFonts w:ascii="Calibri" w:hAnsi="Calibri" w:eastAsia="黑体" w:cs="Times New Roman"/>
          <w:snapToGrid/>
          <w:kern w:val="2"/>
          <w:sz w:val="24"/>
          <w:szCs w:val="24"/>
          <w:lang w:eastAsia="zh-CN"/>
        </w:rPr>
        <w:t>：</w:t>
      </w:r>
      <w:r>
        <w:rPr>
          <w:rFonts w:ascii="Calibri" w:hAnsi="Calibri" w:eastAsia="黑体" w:cs="Times New Roman"/>
          <w:snapToGrid/>
          <w:color w:val="000000"/>
          <w:kern w:val="2"/>
          <w:sz w:val="24"/>
          <w:szCs w:val="24"/>
          <w:lang w:eastAsia="zh-CN"/>
        </w:rPr>
        <w:t>dB(A)</w:t>
      </w:r>
    </w:p>
    <w:tbl>
      <w:tblPr>
        <w:tblStyle w:val="20"/>
        <w:tblW w:w="90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1549"/>
        <w:gridCol w:w="1436"/>
        <w:gridCol w:w="3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kern w:val="44"/>
                <w:sz w:val="21"/>
                <w:szCs w:val="21"/>
                <w:lang w:val="en-US" w:eastAsia="zh-CN" w:bidi="ar-SA"/>
              </w:rPr>
            </w:pPr>
            <w:r>
              <w:rPr>
                <w:rFonts w:hint="default" w:ascii="Times New Roman" w:hAnsi="Times New Roman" w:eastAsia="宋体" w:cs="Times New Roman"/>
                <w:kern w:val="44"/>
                <w:sz w:val="21"/>
                <w:szCs w:val="21"/>
                <w:lang w:val="en-US" w:eastAsia="zh-CN" w:bidi="ar-SA"/>
              </w:rPr>
              <w:t>厂界外声环境功能区类别</w:t>
            </w:r>
          </w:p>
        </w:tc>
        <w:tc>
          <w:tcPr>
            <w:tcW w:w="15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default" w:ascii="Times New Roman" w:hAnsi="Times New Roman" w:eastAsia="宋体" w:cs="Times New Roman"/>
                <w:kern w:val="44"/>
                <w:sz w:val="21"/>
                <w:szCs w:val="21"/>
                <w:lang w:val="en-US" w:eastAsia="zh-CN" w:bidi="ar-SA"/>
              </w:rPr>
              <w:t>昼间</w:t>
            </w:r>
          </w:p>
        </w:tc>
        <w:tc>
          <w:tcPr>
            <w:tcW w:w="14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default" w:ascii="Times New Roman" w:hAnsi="Times New Roman" w:eastAsia="宋体" w:cs="Times New Roman"/>
                <w:kern w:val="44"/>
                <w:sz w:val="21"/>
                <w:szCs w:val="21"/>
                <w:lang w:val="en-US" w:eastAsia="zh-CN" w:bidi="ar-SA"/>
              </w:rPr>
              <w:t>夜间</w:t>
            </w:r>
          </w:p>
        </w:tc>
        <w:tc>
          <w:tcPr>
            <w:tcW w:w="30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default" w:ascii="Times New Roman" w:hAnsi="Times New Roman" w:eastAsia="宋体" w:cs="Times New Roman"/>
                <w:kern w:val="44"/>
                <w:sz w:val="21"/>
                <w:szCs w:val="21"/>
                <w:lang w:val="en-US" w:eastAsia="zh-CN" w:bidi="ar-SA"/>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default" w:ascii="Times New Roman" w:hAnsi="Times New Roman" w:eastAsia="宋体" w:cs="Times New Roman"/>
                <w:kern w:val="44"/>
                <w:sz w:val="21"/>
                <w:szCs w:val="21"/>
                <w:lang w:val="en-US" w:eastAsia="zh-CN" w:bidi="ar-SA"/>
              </w:rPr>
              <w:t>2</w:t>
            </w:r>
          </w:p>
        </w:tc>
        <w:tc>
          <w:tcPr>
            <w:tcW w:w="15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default" w:ascii="Times New Roman" w:hAnsi="Times New Roman" w:eastAsia="宋体" w:cs="Times New Roman"/>
                <w:kern w:val="44"/>
                <w:sz w:val="21"/>
                <w:szCs w:val="21"/>
                <w:lang w:val="en-US" w:eastAsia="zh-CN" w:bidi="ar-SA"/>
              </w:rPr>
              <w:t>60</w:t>
            </w:r>
          </w:p>
        </w:tc>
        <w:tc>
          <w:tcPr>
            <w:tcW w:w="14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default" w:ascii="Times New Roman" w:hAnsi="Times New Roman" w:eastAsia="宋体" w:cs="Times New Roman"/>
                <w:kern w:val="44"/>
                <w:sz w:val="21"/>
                <w:szCs w:val="21"/>
                <w:lang w:val="en-US" w:eastAsia="zh-CN" w:bidi="ar-SA"/>
              </w:rPr>
              <w:t>50</w:t>
            </w:r>
          </w:p>
        </w:tc>
        <w:tc>
          <w:tcPr>
            <w:tcW w:w="30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jc w:val="center"/>
              <w:textAlignment w:val="baseline"/>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东、南、北厂界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eastAsia" w:ascii="Times New Roman" w:hAnsi="Times New Roman" w:eastAsia="宋体" w:cs="Times New Roman"/>
                <w:kern w:val="44"/>
                <w:sz w:val="21"/>
                <w:szCs w:val="21"/>
                <w:lang w:val="en-US" w:eastAsia="zh-CN" w:bidi="ar-SA"/>
              </w:rPr>
              <w:t>4</w:t>
            </w:r>
          </w:p>
        </w:tc>
        <w:tc>
          <w:tcPr>
            <w:tcW w:w="15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eastAsia" w:ascii="Times New Roman" w:hAnsi="Times New Roman" w:eastAsia="宋体" w:cs="Times New Roman"/>
                <w:kern w:val="44"/>
                <w:sz w:val="21"/>
                <w:szCs w:val="21"/>
                <w:lang w:val="en-US" w:eastAsia="zh-CN" w:bidi="ar-SA"/>
              </w:rPr>
              <w:t>70</w:t>
            </w:r>
          </w:p>
        </w:tc>
        <w:tc>
          <w:tcPr>
            <w:tcW w:w="14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right="0" w:rightChars="0" w:firstLine="0" w:firstLineChars="0"/>
              <w:jc w:val="center"/>
              <w:rPr>
                <w:rFonts w:hint="default" w:ascii="Times New Roman" w:hAnsi="Times New Roman" w:eastAsia="宋体" w:cs="Times New Roman"/>
                <w:kern w:val="44"/>
                <w:sz w:val="21"/>
                <w:szCs w:val="21"/>
                <w:lang w:val="en-US" w:eastAsia="zh-CN" w:bidi="ar-SA"/>
              </w:rPr>
            </w:pPr>
            <w:r>
              <w:rPr>
                <w:rFonts w:hint="eastAsia" w:ascii="Times New Roman" w:hAnsi="Times New Roman" w:eastAsia="宋体" w:cs="Times New Roman"/>
                <w:kern w:val="44"/>
                <w:sz w:val="21"/>
                <w:szCs w:val="21"/>
                <w:lang w:val="en-US" w:eastAsia="zh-CN" w:bidi="ar-SA"/>
              </w:rPr>
              <w:t>55</w:t>
            </w:r>
          </w:p>
        </w:tc>
        <w:tc>
          <w:tcPr>
            <w:tcW w:w="30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jc w:val="center"/>
              <w:textAlignment w:val="baseline"/>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西厂界</w:t>
            </w:r>
          </w:p>
        </w:tc>
      </w:tr>
    </w:tbl>
    <w:p>
      <w:pPr>
        <w:keepNext w:val="0"/>
        <w:keepLines w:val="0"/>
        <w:pageBreakBefore w:val="0"/>
        <w:widowControl/>
        <w:kinsoku/>
        <w:wordWrap/>
        <w:overflowPunct/>
        <w:topLinePunct w:val="0"/>
        <w:autoSpaceDE/>
        <w:autoSpaceDN/>
        <w:bidi w:val="0"/>
        <w:adjustRightInd/>
        <w:snapToGrid/>
        <w:spacing w:before="0" w:beforeLines="50"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）固体废弃物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lang w:val="en-US" w:eastAsia="zh-CN"/>
        </w:rPr>
      </w:pPr>
      <w:r>
        <w:rPr>
          <w:rFonts w:hint="default" w:ascii="Times New Roman" w:hAnsi="Times New Roman" w:eastAsia="宋体" w:cs="Times New Roman"/>
          <w:snapToGrid/>
          <w:kern w:val="2"/>
          <w:sz w:val="24"/>
          <w:szCs w:val="24"/>
          <w:lang w:val="en-US" w:eastAsia="zh-CN"/>
        </w:rPr>
        <w:t>本项目一般工业固体废物的贮存和处置方法执行《一般工业固体废物贮存和填埋污染控制标准》（GB18599-2020）中有关规定。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lang w:eastAsia="zh-CN"/>
        </w:rPr>
      </w:pPr>
      <w:r>
        <w:rPr>
          <w:rFonts w:hint="default" w:ascii="Times New Roman" w:hAnsi="Times New Roman" w:eastAsia="宋体" w:cs="Times New Roman"/>
          <w:snapToGrid/>
          <w:kern w:val="2"/>
          <w:sz w:val="24"/>
          <w:szCs w:val="24"/>
          <w:lang w:eastAsia="zh-CN"/>
        </w:rPr>
        <w:t>屠宰过程产生的有机固废须进行无害化处理，处理要求参照《畜禽养殖业污染物排放标准》（GB18596-2001）中的有关规定，具体见下表。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ascii="Calibri" w:hAnsi="Calibri" w:eastAsia="宋体" w:cs="Times New Roman"/>
          <w:b/>
          <w:snapToGrid/>
          <w:color w:val="000000"/>
          <w:kern w:val="2"/>
          <w:sz w:val="24"/>
          <w:szCs w:val="24"/>
          <w:lang w:eastAsia="zh-CN"/>
        </w:rPr>
      </w:pPr>
      <w:r>
        <w:rPr>
          <w:rFonts w:ascii="Calibri" w:hAnsi="Calibri" w:eastAsia="黑体" w:cs="Times New Roman"/>
          <w:snapToGrid/>
          <w:color w:val="000000"/>
          <w:kern w:val="2"/>
          <w:sz w:val="24"/>
          <w:szCs w:val="24"/>
          <w:lang w:eastAsia="zh-CN"/>
        </w:rPr>
        <w:t>表</w:t>
      </w:r>
      <w:r>
        <w:rPr>
          <w:rFonts w:hint="eastAsia" w:ascii="Calibri" w:hAnsi="Calibri" w:eastAsia="黑体" w:cs="Times New Roman"/>
          <w:snapToGrid/>
          <w:color w:val="000000"/>
          <w:kern w:val="2"/>
          <w:sz w:val="24"/>
          <w:szCs w:val="24"/>
          <w:lang w:val="en-US" w:eastAsia="zh-CN"/>
        </w:rPr>
        <w:t>2-12</w:t>
      </w:r>
      <w:r>
        <w:rPr>
          <w:rFonts w:ascii="Calibri" w:hAnsi="Calibri" w:eastAsia="黑体" w:cs="Times New Roman"/>
          <w:snapToGrid/>
          <w:color w:val="000000"/>
          <w:kern w:val="2"/>
          <w:sz w:val="24"/>
          <w:szCs w:val="24"/>
          <w:lang w:eastAsia="zh-CN"/>
        </w:rPr>
        <w:t xml:space="preserve">      畜禽养殖废渣无害化环境标准</w:t>
      </w:r>
    </w:p>
    <w:tbl>
      <w:tblPr>
        <w:tblStyle w:val="20"/>
        <w:tblW w:w="904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56"/>
        <w:gridCol w:w="3040"/>
        <w:gridCol w:w="27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2" w:hRule="exact"/>
          <w:jc w:val="center"/>
        </w:trPr>
        <w:tc>
          <w:tcPr>
            <w:tcW w:w="3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napToGrid/>
                <w:color w:val="000000"/>
                <w:kern w:val="2"/>
                <w:sz w:val="21"/>
                <w:szCs w:val="21"/>
                <w:lang w:eastAsia="zh-CN"/>
              </w:rPr>
            </w:pPr>
            <w:r>
              <w:rPr>
                <w:rFonts w:hint="default" w:ascii="Times New Roman" w:hAnsi="Times New Roman" w:eastAsia="宋体" w:cs="Times New Roman"/>
                <w:snapToGrid/>
                <w:color w:val="000000"/>
                <w:kern w:val="2"/>
                <w:sz w:val="21"/>
                <w:szCs w:val="21"/>
                <w:lang w:eastAsia="zh-CN"/>
              </w:rPr>
              <w:t>控制项目</w:t>
            </w:r>
          </w:p>
        </w:tc>
        <w:tc>
          <w:tcPr>
            <w:tcW w:w="3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napToGrid/>
                <w:color w:val="000000"/>
                <w:kern w:val="2"/>
                <w:sz w:val="21"/>
                <w:szCs w:val="21"/>
                <w:lang w:eastAsia="zh-CN"/>
              </w:rPr>
            </w:pPr>
            <w:r>
              <w:rPr>
                <w:rFonts w:hint="default" w:ascii="Times New Roman" w:hAnsi="Times New Roman" w:eastAsia="宋体" w:cs="Times New Roman"/>
                <w:snapToGrid/>
                <w:color w:val="000000"/>
                <w:kern w:val="2"/>
                <w:sz w:val="21"/>
                <w:szCs w:val="21"/>
                <w:lang w:eastAsia="zh-CN"/>
              </w:rPr>
              <w:t>蛔虫卵</w:t>
            </w:r>
          </w:p>
        </w:tc>
        <w:tc>
          <w:tcPr>
            <w:tcW w:w="27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napToGrid/>
                <w:color w:val="000000"/>
                <w:kern w:val="2"/>
                <w:sz w:val="21"/>
                <w:szCs w:val="21"/>
                <w:lang w:eastAsia="zh-CN"/>
              </w:rPr>
            </w:pPr>
            <w:r>
              <w:rPr>
                <w:rFonts w:hint="default" w:ascii="Times New Roman" w:hAnsi="Times New Roman" w:eastAsia="宋体" w:cs="Times New Roman"/>
                <w:snapToGrid/>
                <w:color w:val="000000"/>
                <w:kern w:val="2"/>
                <w:sz w:val="21"/>
                <w:szCs w:val="21"/>
                <w:lang w:eastAsia="zh-CN"/>
              </w:rPr>
              <w:t>粪大肠菌群数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2" w:hRule="exact"/>
          <w:jc w:val="center"/>
        </w:trPr>
        <w:tc>
          <w:tcPr>
            <w:tcW w:w="3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napToGrid/>
                <w:color w:val="000000"/>
                <w:kern w:val="2"/>
                <w:sz w:val="21"/>
                <w:szCs w:val="21"/>
                <w:lang w:eastAsia="zh-CN"/>
              </w:rPr>
            </w:pPr>
            <w:r>
              <w:rPr>
                <w:rFonts w:hint="default" w:ascii="Times New Roman" w:hAnsi="Times New Roman" w:eastAsia="宋体" w:cs="Times New Roman"/>
                <w:snapToGrid/>
                <w:color w:val="000000"/>
                <w:kern w:val="2"/>
                <w:sz w:val="21"/>
                <w:szCs w:val="21"/>
                <w:lang w:eastAsia="zh-CN"/>
              </w:rPr>
              <w:t>标准限值</w:t>
            </w:r>
          </w:p>
        </w:tc>
        <w:tc>
          <w:tcPr>
            <w:tcW w:w="3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napToGrid/>
                <w:color w:val="000000"/>
                <w:kern w:val="2"/>
                <w:sz w:val="21"/>
                <w:szCs w:val="21"/>
                <w:lang w:eastAsia="zh-CN"/>
              </w:rPr>
            </w:pPr>
            <w:r>
              <w:rPr>
                <w:rFonts w:hint="default" w:ascii="Times New Roman" w:hAnsi="Times New Roman" w:eastAsia="宋体" w:cs="Times New Roman"/>
                <w:snapToGrid/>
                <w:color w:val="000000"/>
                <w:kern w:val="2"/>
                <w:sz w:val="21"/>
                <w:szCs w:val="21"/>
                <w:lang w:eastAsia="zh-CN"/>
              </w:rPr>
              <w:t>≤5%</w:t>
            </w:r>
          </w:p>
        </w:tc>
        <w:tc>
          <w:tcPr>
            <w:tcW w:w="27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napToGrid/>
                <w:color w:val="000000"/>
                <w:kern w:val="2"/>
                <w:sz w:val="21"/>
                <w:szCs w:val="21"/>
                <w:lang w:eastAsia="zh-CN"/>
              </w:rPr>
            </w:pPr>
            <w:r>
              <w:rPr>
                <w:rFonts w:hint="default" w:ascii="Times New Roman" w:hAnsi="Times New Roman" w:eastAsia="宋体" w:cs="Times New Roman"/>
                <w:snapToGrid/>
                <w:color w:val="000000"/>
                <w:kern w:val="2"/>
                <w:sz w:val="21"/>
                <w:szCs w:val="21"/>
                <w:lang w:eastAsia="zh-CN"/>
              </w:rPr>
              <w:t>≤10</w:t>
            </w:r>
            <w:r>
              <w:rPr>
                <w:rFonts w:hint="default" w:ascii="Times New Roman" w:hAnsi="Times New Roman" w:eastAsia="宋体" w:cs="Times New Roman"/>
                <w:snapToGrid/>
                <w:color w:val="000000"/>
                <w:kern w:val="2"/>
                <w:sz w:val="21"/>
                <w:szCs w:val="21"/>
                <w:vertAlign w:val="superscript"/>
                <w:lang w:eastAsia="zh-CN"/>
              </w:rPr>
              <w:t>5</w:t>
            </w:r>
            <w:r>
              <w:rPr>
                <w:rFonts w:hint="default" w:ascii="Times New Roman" w:hAnsi="Times New Roman" w:eastAsia="宋体" w:cs="Times New Roman"/>
                <w:snapToGrid/>
                <w:color w:val="000000"/>
                <w:kern w:val="2"/>
                <w:sz w:val="21"/>
                <w:szCs w:val="21"/>
                <w:lang w:eastAsia="zh-CN"/>
              </w:rPr>
              <w:t>个/kg</w:t>
            </w:r>
          </w:p>
        </w:tc>
      </w:tr>
    </w:tbl>
    <w:p>
      <w:pPr>
        <w:widowControl w:val="0"/>
        <w:kinsoku/>
        <w:autoSpaceDE/>
        <w:autoSpaceDN/>
        <w:adjustRightInd/>
        <w:snapToGrid/>
        <w:spacing w:before="181" w:line="359" w:lineRule="auto"/>
        <w:ind w:left="132" w:right="121" w:firstLine="476" w:firstLineChars="200"/>
        <w:jc w:val="both"/>
        <w:textAlignment w:val="auto"/>
        <w:rPr>
          <w:rFonts w:hint="eastAsia" w:ascii="宋体" w:hAnsi="宋体" w:eastAsia="宋体" w:cs="宋体"/>
          <w:snapToGrid/>
          <w:spacing w:val="-16"/>
          <w:kern w:val="2"/>
          <w:sz w:val="24"/>
          <w:szCs w:val="24"/>
          <w:lang w:eastAsia="zh-CN"/>
        </w:rPr>
      </w:pPr>
      <w:r>
        <w:rPr>
          <w:rFonts w:ascii="宋体" w:hAnsi="宋体" w:eastAsia="宋体" w:cs="宋体"/>
          <w:snapToGrid/>
          <w:spacing w:val="-1"/>
          <w:kern w:val="2"/>
          <w:sz w:val="24"/>
          <w:szCs w:val="24"/>
          <w:lang w:eastAsia="zh-CN"/>
        </w:rPr>
        <w:t>产生病牛羊及三腺处置执行《病害动物和病害动物产品生</w:t>
      </w:r>
      <w:r>
        <w:rPr>
          <w:rFonts w:ascii="宋体" w:hAnsi="宋体" w:eastAsia="宋体" w:cs="宋体"/>
          <w:snapToGrid/>
          <w:spacing w:val="-2"/>
          <w:kern w:val="2"/>
          <w:sz w:val="24"/>
          <w:szCs w:val="24"/>
          <w:lang w:eastAsia="zh-CN"/>
        </w:rPr>
        <w:t>物安全处理规程》（</w:t>
      </w:r>
      <w:r>
        <w:rPr>
          <w:rFonts w:ascii="Times New Roman" w:hAnsi="Times New Roman" w:eastAsia="Times New Roman" w:cs="Times New Roman"/>
          <w:snapToGrid/>
          <w:spacing w:val="-2"/>
          <w:kern w:val="2"/>
          <w:sz w:val="24"/>
          <w:szCs w:val="24"/>
          <w:lang w:eastAsia="zh-CN"/>
        </w:rPr>
        <w:t>GB16548-2006</w:t>
      </w:r>
      <w:r>
        <w:rPr>
          <w:rFonts w:ascii="宋体" w:hAnsi="宋体" w:eastAsia="宋体" w:cs="宋体"/>
          <w:snapToGrid/>
          <w:spacing w:val="-16"/>
          <w:kern w:val="2"/>
          <w:sz w:val="24"/>
          <w:szCs w:val="24"/>
          <w:lang w:eastAsia="zh-CN"/>
        </w:rPr>
        <w:t>）</w:t>
      </w:r>
      <w:r>
        <w:rPr>
          <w:rFonts w:hint="eastAsia" w:ascii="宋体" w:hAnsi="宋体" w:eastAsia="宋体" w:cs="宋体"/>
          <w:snapToGrid/>
          <w:spacing w:val="-16"/>
          <w:kern w:val="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130" w:right="119" w:firstLine="472" w:firstLineChars="200"/>
        <w:jc w:val="both"/>
        <w:textAlignment w:val="auto"/>
        <w:rPr>
          <w:rFonts w:ascii="宋体" w:hAnsi="宋体" w:eastAsia="宋体" w:cs="宋体"/>
          <w:snapToGrid/>
          <w:color w:val="000000"/>
          <w:kern w:val="0"/>
          <w:sz w:val="24"/>
          <w:szCs w:val="24"/>
          <w:lang w:eastAsia="zh-CN" w:bidi="ar"/>
        </w:rPr>
      </w:pPr>
      <w:r>
        <w:rPr>
          <w:rFonts w:hint="eastAsia" w:ascii="宋体" w:hAnsi="宋体" w:eastAsia="宋体" w:cs="宋体"/>
          <w:snapToGrid/>
          <w:spacing w:val="-2"/>
          <w:kern w:val="2"/>
          <w:sz w:val="24"/>
          <w:szCs w:val="24"/>
          <w:highlight w:val="none"/>
          <w:lang w:eastAsia="zh-CN"/>
        </w:rPr>
        <w:t>危险废物</w:t>
      </w:r>
      <w:r>
        <w:rPr>
          <w:rFonts w:ascii="宋体" w:hAnsi="宋体" w:eastAsia="宋体" w:cs="宋体"/>
          <w:snapToGrid/>
          <w:spacing w:val="-2"/>
          <w:kern w:val="2"/>
          <w:sz w:val="24"/>
          <w:szCs w:val="24"/>
          <w:lang w:eastAsia="zh-CN"/>
        </w:rPr>
        <w:t>执</w:t>
      </w:r>
      <w:r>
        <w:rPr>
          <w:rFonts w:ascii="宋体" w:hAnsi="宋体" w:eastAsia="宋体" w:cs="宋体"/>
          <w:snapToGrid/>
          <w:spacing w:val="-3"/>
          <w:kern w:val="2"/>
          <w:sz w:val="24"/>
          <w:szCs w:val="24"/>
          <w:lang w:eastAsia="zh-CN"/>
        </w:rPr>
        <w:t>行《危险废物贮存污染控制标准》（</w:t>
      </w:r>
      <w:r>
        <w:rPr>
          <w:rFonts w:ascii="Times New Roman" w:hAnsi="Times New Roman" w:eastAsia="Times New Roman" w:cs="Times New Roman"/>
          <w:snapToGrid/>
          <w:spacing w:val="-3"/>
          <w:kern w:val="2"/>
          <w:sz w:val="24"/>
          <w:szCs w:val="24"/>
          <w:lang w:eastAsia="zh-CN"/>
        </w:rPr>
        <w:t>GB18597-202</w:t>
      </w:r>
      <w:r>
        <w:rPr>
          <w:rFonts w:hint="eastAsia" w:ascii="Times New Roman" w:hAnsi="Times New Roman" w:eastAsia="Times New Roman" w:cs="Times New Roman"/>
          <w:snapToGrid/>
          <w:spacing w:val="-3"/>
          <w:kern w:val="2"/>
          <w:sz w:val="24"/>
          <w:szCs w:val="24"/>
          <w:lang w:val="en-US" w:eastAsia="zh-CN"/>
        </w:rPr>
        <w:t>3</w:t>
      </w:r>
      <w:r>
        <w:rPr>
          <w:rFonts w:ascii="宋体" w:hAnsi="宋体" w:eastAsia="宋体" w:cs="宋体"/>
          <w:snapToGrid/>
          <w:spacing w:val="-3"/>
          <w:kern w:val="2"/>
          <w:sz w:val="24"/>
          <w:szCs w:val="24"/>
          <w:lang w:eastAsia="zh-CN"/>
        </w:rPr>
        <w:t>）、《危险废物收集、贮存、运输技</w:t>
      </w:r>
      <w:r>
        <w:rPr>
          <w:rFonts w:ascii="宋体" w:hAnsi="宋体" w:eastAsia="宋体" w:cs="宋体"/>
          <w:snapToGrid/>
          <w:spacing w:val="-1"/>
          <w:kern w:val="2"/>
          <w:sz w:val="24"/>
          <w:szCs w:val="24"/>
          <w:lang w:eastAsia="zh-CN"/>
        </w:rPr>
        <w:t>术规范》（</w:t>
      </w:r>
      <w:r>
        <w:rPr>
          <w:rFonts w:ascii="Times New Roman" w:hAnsi="Times New Roman" w:eastAsia="Times New Roman" w:cs="Times New Roman"/>
          <w:snapToGrid/>
          <w:spacing w:val="-1"/>
          <w:kern w:val="2"/>
          <w:sz w:val="24"/>
          <w:szCs w:val="24"/>
          <w:lang w:eastAsia="zh-CN"/>
        </w:rPr>
        <w:t>HJ2025-2012</w:t>
      </w:r>
      <w:r>
        <w:rPr>
          <w:rFonts w:ascii="宋体" w:hAnsi="宋体" w:eastAsia="宋体" w:cs="宋体"/>
          <w:snapToGrid/>
          <w:spacing w:val="-1"/>
          <w:kern w:val="2"/>
          <w:sz w:val="24"/>
          <w:szCs w:val="24"/>
          <w:lang w:eastAsia="zh-CN"/>
        </w:rPr>
        <w:t>）中相关规定</w:t>
      </w:r>
      <w:r>
        <w:rPr>
          <w:rFonts w:hint="eastAsia" w:ascii="宋体" w:hAnsi="宋体" w:eastAsia="宋体" w:cs="宋体"/>
          <w:snapToGrid/>
          <w:color w:val="000000"/>
          <w:kern w:val="0"/>
          <w:sz w:val="24"/>
          <w:szCs w:val="24"/>
          <w:lang w:eastAsia="zh-CN" w:bidi="ar"/>
        </w:rPr>
        <w:t>。</w:t>
      </w:r>
    </w:p>
    <w:p>
      <w:pPr>
        <w:pStyle w:val="4"/>
        <w:bidi w:val="0"/>
        <w:rPr>
          <w:lang w:val="en-US" w:eastAsia="zh-CN"/>
        </w:rPr>
      </w:pPr>
      <w:bookmarkStart w:id="61" w:name="_Toc24541"/>
      <w:bookmarkStart w:id="62" w:name="_Toc3005"/>
      <w:bookmarkStart w:id="63" w:name="_Toc16029"/>
      <w:bookmarkStart w:id="64" w:name="_Toc30890"/>
      <w:bookmarkStart w:id="65" w:name="_Toc4082"/>
      <w:r>
        <w:rPr>
          <w:rFonts w:hint="eastAsia"/>
          <w:lang w:val="en-US" w:eastAsia="zh-CN"/>
        </w:rPr>
        <w:t>2.5 评价工作等级</w:t>
      </w:r>
      <w:bookmarkEnd w:id="61"/>
      <w:bookmarkEnd w:id="62"/>
      <w:bookmarkEnd w:id="63"/>
      <w:bookmarkEnd w:id="64"/>
      <w:bookmarkEnd w:id="65"/>
    </w:p>
    <w:p>
      <w:pPr>
        <w:keepNext/>
        <w:keepLines/>
        <w:widowControl w:val="0"/>
        <w:spacing w:line="360" w:lineRule="auto"/>
        <w:ind w:left="0" w:leftChars="0" w:firstLine="0" w:firstLineChars="0"/>
        <w:jc w:val="both"/>
        <w:outlineLvl w:val="9"/>
        <w:rPr>
          <w:rFonts w:ascii="Times New Roman" w:hAnsi="Times New Roman" w:eastAsia="宋体" w:cs="Times New Roman"/>
          <w:b/>
          <w:kern w:val="2"/>
          <w:sz w:val="28"/>
          <w:szCs w:val="24"/>
          <w:lang w:val="en-US" w:eastAsia="zh-CN" w:bidi="ar-SA"/>
        </w:rPr>
      </w:pPr>
      <w:r>
        <w:rPr>
          <w:rFonts w:hint="eastAsia" w:ascii="Times New Roman" w:hAnsi="Times New Roman" w:eastAsia="宋体" w:cs="Times New Roman"/>
          <w:b/>
          <w:kern w:val="2"/>
          <w:sz w:val="28"/>
          <w:szCs w:val="24"/>
          <w:lang w:val="en-US" w:eastAsia="zh-CN" w:bidi="ar-SA"/>
        </w:rPr>
        <w:t>2.5.1 环境空气</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本项目运营期废气主要为恶臭气体和食堂油烟废气，其中恶臭废气主要污染物为</w:t>
      </w:r>
      <w:r>
        <w:rPr>
          <w:rFonts w:hint="default" w:ascii="Times New Roman" w:hAnsi="Times New Roman" w:eastAsia="宋体" w:cs="Times New Roman"/>
          <w:snapToGrid/>
          <w:kern w:val="2"/>
          <w:sz w:val="24"/>
          <w:szCs w:val="24"/>
          <w:lang w:val="en-US" w:eastAsia="zh-CN"/>
        </w:rPr>
        <w:t>NH</w:t>
      </w:r>
      <w:r>
        <w:rPr>
          <w:rFonts w:hint="default" w:ascii="Times New Roman" w:hAnsi="Times New Roman" w:eastAsia="宋体" w:cs="Times New Roman"/>
          <w:snapToGrid/>
          <w:kern w:val="2"/>
          <w:sz w:val="24"/>
          <w:szCs w:val="24"/>
          <w:vertAlign w:val="subscript"/>
          <w:lang w:val="en-US" w:eastAsia="zh-CN"/>
        </w:rPr>
        <w:t>3</w:t>
      </w:r>
      <w:r>
        <w:rPr>
          <w:rFonts w:hint="eastAsia" w:ascii="Times New Roman" w:hAnsi="Times New Roman" w:eastAsia="宋体" w:cs="Times New Roman"/>
          <w:snapToGrid/>
          <w:kern w:val="2"/>
          <w:sz w:val="24"/>
          <w:szCs w:val="24"/>
          <w:lang w:val="en-US" w:eastAsia="zh-CN"/>
        </w:rPr>
        <w:t>和</w:t>
      </w:r>
      <w:r>
        <w:rPr>
          <w:rFonts w:hint="default" w:ascii="Times New Roman" w:hAnsi="Times New Roman" w:eastAsia="宋体" w:cs="Times New Roman"/>
          <w:snapToGrid/>
          <w:kern w:val="2"/>
          <w:sz w:val="24"/>
          <w:szCs w:val="24"/>
          <w:lang w:val="en-US" w:eastAsia="zh-CN"/>
        </w:rPr>
        <w:t>H</w:t>
      </w:r>
      <w:r>
        <w:rPr>
          <w:rFonts w:hint="default" w:ascii="Times New Roman" w:hAnsi="Times New Roman" w:eastAsia="宋体" w:cs="Times New Roman"/>
          <w:snapToGrid/>
          <w:kern w:val="2"/>
          <w:sz w:val="24"/>
          <w:szCs w:val="24"/>
          <w:vertAlign w:val="subscript"/>
          <w:lang w:val="en-US" w:eastAsia="zh-CN"/>
        </w:rPr>
        <w:t>2</w:t>
      </w:r>
      <w:r>
        <w:rPr>
          <w:rFonts w:hint="default" w:ascii="Times New Roman" w:hAnsi="Times New Roman" w:eastAsia="宋体" w:cs="Times New Roman"/>
          <w:snapToGrid/>
          <w:kern w:val="2"/>
          <w:sz w:val="24"/>
          <w:szCs w:val="24"/>
          <w:lang w:val="en-US" w:eastAsia="zh-CN"/>
        </w:rPr>
        <w:t>S</w:t>
      </w:r>
      <w:r>
        <w:rPr>
          <w:rFonts w:hint="eastAsia" w:ascii="Times New Roman" w:hAnsi="Times New Roman" w:eastAsia="宋体" w:cs="Times New Roman"/>
          <w:snapToGrid/>
          <w:kern w:val="2"/>
          <w:sz w:val="24"/>
          <w:szCs w:val="24"/>
          <w:lang w:val="en-US" w:eastAsia="zh-CN"/>
        </w:rPr>
        <w:t>。</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根据项目污染源初步调查结果，分别计算项目排放主要污染物的最大地面空气质量浓度占标率</w:t>
      </w:r>
      <w:r>
        <w:rPr>
          <w:rFonts w:hint="default" w:ascii="Times New Roman" w:hAnsi="Times New Roman" w:eastAsia="宋体" w:cs="Times New Roman"/>
          <w:snapToGrid/>
          <w:kern w:val="2"/>
          <w:sz w:val="24"/>
          <w:szCs w:val="24"/>
          <w:lang w:val="en-US" w:eastAsia="zh-CN"/>
        </w:rPr>
        <w:t>Pi</w:t>
      </w:r>
      <w:r>
        <w:rPr>
          <w:rFonts w:hint="eastAsia" w:ascii="Times New Roman" w:hAnsi="Times New Roman" w:eastAsia="宋体" w:cs="Times New Roman"/>
          <w:snapToGrid/>
          <w:kern w:val="2"/>
          <w:sz w:val="24"/>
          <w:szCs w:val="24"/>
          <w:lang w:val="en-US" w:eastAsia="zh-CN"/>
        </w:rPr>
        <w:t>（第</w:t>
      </w:r>
      <w:r>
        <w:rPr>
          <w:rFonts w:hint="default" w:ascii="Times New Roman" w:hAnsi="Times New Roman" w:eastAsia="宋体" w:cs="Times New Roman"/>
          <w:snapToGrid/>
          <w:kern w:val="2"/>
          <w:sz w:val="24"/>
          <w:szCs w:val="24"/>
          <w:lang w:val="en-US" w:eastAsia="zh-CN"/>
        </w:rPr>
        <w:t>i</w:t>
      </w:r>
      <w:r>
        <w:rPr>
          <w:rFonts w:hint="eastAsia" w:ascii="Times New Roman" w:hAnsi="Times New Roman" w:eastAsia="宋体" w:cs="Times New Roman"/>
          <w:snapToGrid/>
          <w:kern w:val="2"/>
          <w:sz w:val="24"/>
          <w:szCs w:val="24"/>
          <w:lang w:val="en-US" w:eastAsia="zh-CN"/>
        </w:rPr>
        <w:t>个污染物），及第</w:t>
      </w:r>
      <w:r>
        <w:rPr>
          <w:rFonts w:hint="default" w:ascii="Times New Roman" w:hAnsi="Times New Roman" w:eastAsia="宋体" w:cs="Times New Roman"/>
          <w:snapToGrid/>
          <w:kern w:val="2"/>
          <w:sz w:val="24"/>
          <w:szCs w:val="24"/>
          <w:lang w:val="en-US" w:eastAsia="zh-CN"/>
        </w:rPr>
        <w:t>i</w:t>
      </w:r>
      <w:r>
        <w:rPr>
          <w:rFonts w:hint="eastAsia" w:ascii="Times New Roman" w:hAnsi="Times New Roman" w:eastAsia="宋体" w:cs="Times New Roman"/>
          <w:snapToGrid/>
          <w:kern w:val="2"/>
          <w:sz w:val="24"/>
          <w:szCs w:val="24"/>
          <w:lang w:val="en-US" w:eastAsia="zh-CN"/>
        </w:rPr>
        <w:t>个污染物的地面空气质量浓度达到标准值的</w:t>
      </w:r>
      <w:r>
        <w:rPr>
          <w:rFonts w:hint="default" w:ascii="Times New Roman" w:hAnsi="Times New Roman" w:eastAsia="宋体" w:cs="Times New Roman"/>
          <w:snapToGrid/>
          <w:kern w:val="2"/>
          <w:sz w:val="24"/>
          <w:szCs w:val="24"/>
          <w:lang w:val="en-US" w:eastAsia="zh-CN"/>
        </w:rPr>
        <w:t>10%</w:t>
      </w:r>
      <w:r>
        <w:rPr>
          <w:rFonts w:hint="eastAsia" w:ascii="Times New Roman" w:hAnsi="Times New Roman" w:eastAsia="宋体" w:cs="Times New Roman"/>
          <w:snapToGrid/>
          <w:kern w:val="2"/>
          <w:sz w:val="24"/>
          <w:szCs w:val="24"/>
          <w:lang w:val="en-US" w:eastAsia="zh-CN"/>
        </w:rPr>
        <w:t>时所对应的最远距离</w:t>
      </w:r>
      <w:r>
        <w:rPr>
          <w:rFonts w:hint="default" w:ascii="Times New Roman" w:hAnsi="Times New Roman" w:eastAsia="宋体" w:cs="Times New Roman"/>
          <w:snapToGrid/>
          <w:kern w:val="2"/>
          <w:sz w:val="24"/>
          <w:szCs w:val="24"/>
          <w:lang w:val="en-US" w:eastAsia="zh-CN"/>
        </w:rPr>
        <w:t>D10%</w:t>
      </w:r>
      <w:r>
        <w:rPr>
          <w:rFonts w:hint="eastAsia" w:ascii="Times New Roman" w:hAnsi="Times New Roman" w:eastAsia="宋体" w:cs="Times New Roman"/>
          <w:snapToGrid/>
          <w:kern w:val="2"/>
          <w:sz w:val="24"/>
          <w:szCs w:val="24"/>
          <w:lang w:val="en-US" w:eastAsia="zh-CN"/>
        </w:rPr>
        <w:t>，其中</w:t>
      </w:r>
      <w:r>
        <w:rPr>
          <w:rFonts w:hint="default" w:ascii="Times New Roman" w:hAnsi="Times New Roman" w:eastAsia="宋体" w:cs="Times New Roman"/>
          <w:snapToGrid/>
          <w:kern w:val="2"/>
          <w:sz w:val="24"/>
          <w:szCs w:val="24"/>
          <w:lang w:val="en-US" w:eastAsia="zh-CN"/>
        </w:rPr>
        <w:t>Pi</w:t>
      </w:r>
      <w:r>
        <w:rPr>
          <w:rFonts w:hint="eastAsia" w:ascii="Times New Roman" w:hAnsi="Times New Roman" w:eastAsia="宋体" w:cs="Times New Roman"/>
          <w:snapToGrid/>
          <w:kern w:val="2"/>
          <w:sz w:val="24"/>
          <w:szCs w:val="24"/>
          <w:lang w:val="en-US" w:eastAsia="zh-CN"/>
        </w:rPr>
        <w:t>定义计算公式如下：</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i/>
          <w:iCs/>
          <w:snapToGrid/>
          <w:kern w:val="2"/>
          <w:sz w:val="24"/>
          <w:szCs w:val="24"/>
          <w:lang w:eastAsia="zh-CN"/>
        </w:rPr>
        <w:t>P</w:t>
      </w:r>
      <w:r>
        <w:rPr>
          <w:rFonts w:hint="eastAsia" w:ascii="Times New Roman" w:hAnsi="Times New Roman" w:eastAsia="宋体" w:cs="Times New Roman"/>
          <w:i/>
          <w:iCs/>
          <w:snapToGrid/>
          <w:kern w:val="2"/>
          <w:sz w:val="24"/>
          <w:szCs w:val="24"/>
          <w:vertAlign w:val="subscript"/>
          <w:lang w:eastAsia="zh-CN"/>
        </w:rPr>
        <w:t>i</w:t>
      </w:r>
      <w:r>
        <w:rPr>
          <w:rFonts w:hint="eastAsia" w:ascii="Times New Roman" w:hAnsi="Times New Roman" w:eastAsia="宋体" w:cs="Times New Roman"/>
          <w:i/>
          <w:iCs/>
          <w:snapToGrid/>
          <w:kern w:val="2"/>
          <w:sz w:val="24"/>
          <w:szCs w:val="24"/>
          <w:lang w:eastAsia="zh-CN"/>
        </w:rPr>
        <w:t>=（C</w:t>
      </w:r>
      <w:r>
        <w:rPr>
          <w:rFonts w:hint="eastAsia" w:ascii="Times New Roman" w:hAnsi="Times New Roman" w:eastAsia="宋体" w:cs="Times New Roman"/>
          <w:i/>
          <w:iCs/>
          <w:snapToGrid/>
          <w:kern w:val="2"/>
          <w:sz w:val="24"/>
          <w:szCs w:val="24"/>
          <w:vertAlign w:val="subscript"/>
          <w:lang w:eastAsia="zh-CN"/>
        </w:rPr>
        <w:t>i</w:t>
      </w:r>
      <w:r>
        <w:rPr>
          <w:rFonts w:hint="eastAsia" w:ascii="Times New Roman" w:hAnsi="Times New Roman" w:eastAsia="宋体" w:cs="Times New Roman"/>
          <w:i/>
          <w:iCs/>
          <w:snapToGrid/>
          <w:kern w:val="2"/>
          <w:sz w:val="24"/>
          <w:szCs w:val="24"/>
          <w:lang w:eastAsia="zh-CN"/>
        </w:rPr>
        <w:t xml:space="preserve"> /C</w:t>
      </w:r>
      <w:r>
        <w:rPr>
          <w:rFonts w:hint="eastAsia" w:ascii="Times New Roman" w:hAnsi="Times New Roman" w:eastAsia="宋体" w:cs="Times New Roman"/>
          <w:i/>
          <w:iCs/>
          <w:snapToGrid/>
          <w:kern w:val="2"/>
          <w:sz w:val="24"/>
          <w:szCs w:val="24"/>
          <w:vertAlign w:val="subscript"/>
          <w:lang w:eastAsia="zh-CN"/>
        </w:rPr>
        <w:t>0i</w:t>
      </w:r>
      <w:r>
        <w:rPr>
          <w:rFonts w:hint="eastAsia" w:ascii="Times New Roman" w:hAnsi="Times New Roman" w:eastAsia="宋体" w:cs="Times New Roman"/>
          <w:i/>
          <w:iCs/>
          <w:snapToGrid/>
          <w:kern w:val="2"/>
          <w:sz w:val="24"/>
          <w:szCs w:val="24"/>
          <w:lang w:eastAsia="zh-CN"/>
        </w:rPr>
        <w:t>）</w:t>
      </w:r>
      <w:r>
        <w:rPr>
          <w:rFonts w:hint="eastAsia" w:ascii="Times New Roman" w:hAnsi="Times New Roman" w:eastAsia="宋体" w:cs="Times New Roman"/>
          <w:snapToGrid/>
          <w:kern w:val="2"/>
          <w:sz w:val="24"/>
          <w:szCs w:val="24"/>
          <w:lang w:eastAsia="zh-CN"/>
        </w:rPr>
        <w:t>×100%</w:t>
      </w:r>
    </w:p>
    <w:p>
      <w:pPr>
        <w:widowControl w:val="0"/>
        <w:autoSpaceDE w:val="0"/>
        <w:autoSpaceDN w:val="0"/>
        <w:spacing w:line="360" w:lineRule="auto"/>
        <w:ind w:firstLine="480" w:firstLineChars="200"/>
        <w:jc w:val="both"/>
        <w:rPr>
          <w:rFonts w:ascii="Times New Roman" w:hAnsi="Times New Roman" w:eastAsia="宋体" w:cs="宋体"/>
          <w:kern w:val="2"/>
          <w:sz w:val="24"/>
          <w:szCs w:val="24"/>
          <w:lang w:val="zh-CN" w:eastAsia="zh-CN" w:bidi="zh-CN"/>
        </w:rPr>
      </w:pPr>
      <w:r>
        <w:rPr>
          <w:rFonts w:ascii="Times New Roman" w:hAnsi="Times New Roman" w:eastAsia="宋体" w:cs="宋体"/>
          <w:kern w:val="2"/>
          <w:sz w:val="24"/>
          <w:szCs w:val="24"/>
          <w:lang w:val="zh-CN" w:eastAsia="zh-CN" w:bidi="zh-CN"/>
        </w:rPr>
        <w:t>式中：</w:t>
      </w:r>
      <w:r>
        <w:rPr>
          <w:rFonts w:ascii="Times New Roman" w:hAnsi="Times New Roman" w:eastAsia="宋体" w:cs="宋体"/>
          <w:i/>
          <w:iCs/>
          <w:kern w:val="2"/>
          <w:sz w:val="24"/>
          <w:szCs w:val="24"/>
          <w:lang w:val="zh-CN" w:eastAsia="zh-CN" w:bidi="zh-CN"/>
        </w:rPr>
        <w:t>Pi</w:t>
      </w:r>
      <w:r>
        <w:rPr>
          <w:rFonts w:ascii="Times New Roman" w:hAnsi="Times New Roman" w:eastAsia="宋体" w:cs="宋体"/>
          <w:kern w:val="2"/>
          <w:sz w:val="24"/>
          <w:szCs w:val="24"/>
          <w:lang w:val="zh-CN" w:eastAsia="zh-CN" w:bidi="zh-CN"/>
        </w:rPr>
        <w:t>——第i个污染物的最大地面浓度占标率，%；</w:t>
      </w:r>
    </w:p>
    <w:p>
      <w:pPr>
        <w:widowControl w:val="0"/>
        <w:autoSpaceDE w:val="0"/>
        <w:autoSpaceDN w:val="0"/>
        <w:spacing w:line="360" w:lineRule="auto"/>
        <w:ind w:firstLine="480" w:firstLineChars="200"/>
        <w:jc w:val="both"/>
        <w:rPr>
          <w:rFonts w:ascii="Times New Roman" w:hAnsi="Times New Roman" w:eastAsia="宋体" w:cs="宋体"/>
          <w:kern w:val="2"/>
          <w:sz w:val="24"/>
          <w:szCs w:val="24"/>
          <w:lang w:val="zh-CN" w:eastAsia="zh-CN" w:bidi="zh-CN"/>
        </w:rPr>
      </w:pPr>
      <w:r>
        <w:rPr>
          <w:rFonts w:ascii="Times New Roman" w:hAnsi="Times New Roman" w:eastAsia="宋体" w:cs="宋体"/>
          <w:i/>
          <w:iCs/>
          <w:kern w:val="2"/>
          <w:sz w:val="24"/>
          <w:szCs w:val="24"/>
          <w:lang w:val="zh-CN" w:eastAsia="zh-CN" w:bidi="zh-CN"/>
        </w:rPr>
        <w:t>Ci</w:t>
      </w:r>
      <w:r>
        <w:rPr>
          <w:rFonts w:ascii="Times New Roman" w:hAnsi="Times New Roman" w:eastAsia="宋体" w:cs="宋体"/>
          <w:kern w:val="2"/>
          <w:sz w:val="24"/>
          <w:szCs w:val="24"/>
          <w:lang w:val="zh-CN" w:eastAsia="zh-CN" w:bidi="zh-CN"/>
        </w:rPr>
        <w:t>——采用估算模式计算出的第i个污染物的最大地面浓度，</w:t>
      </w:r>
      <w:r>
        <w:rPr>
          <w:rFonts w:ascii="Times New Roman" w:hAnsi="Times New Roman" w:eastAsia="宋体" w:cs="Times New Roman"/>
          <w:kern w:val="2"/>
          <w:sz w:val="24"/>
          <w:szCs w:val="24"/>
          <w:lang w:val="zh-CN" w:eastAsia="zh-CN" w:bidi="zh-CN"/>
        </w:rPr>
        <w:t>μg/m</w:t>
      </w:r>
      <w:r>
        <w:rPr>
          <w:rFonts w:ascii="Times New Roman" w:hAnsi="Times New Roman" w:eastAsia="宋体" w:cs="Times New Roman"/>
          <w:kern w:val="2"/>
          <w:sz w:val="24"/>
          <w:szCs w:val="24"/>
          <w:vertAlign w:val="superscript"/>
          <w:lang w:val="en-US" w:eastAsia="zh-CN" w:bidi="zh-CN"/>
        </w:rPr>
        <w:t>3</w:t>
      </w:r>
      <w:r>
        <w:rPr>
          <w:rFonts w:ascii="Times New Roman" w:hAnsi="Times New Roman" w:eastAsia="宋体" w:cs="Times New Roman"/>
          <w:kern w:val="2"/>
          <w:sz w:val="24"/>
          <w:szCs w:val="24"/>
          <w:lang w:val="zh-CN" w:eastAsia="zh-CN" w:bidi="zh-CN"/>
        </w:rPr>
        <w:t>；</w:t>
      </w:r>
    </w:p>
    <w:p>
      <w:pPr>
        <w:widowControl w:val="0"/>
        <w:autoSpaceDE w:val="0"/>
        <w:autoSpaceDN w:val="0"/>
        <w:spacing w:line="360" w:lineRule="auto"/>
        <w:ind w:firstLine="480" w:firstLineChars="200"/>
        <w:jc w:val="both"/>
        <w:rPr>
          <w:rFonts w:ascii="Times New Roman" w:hAnsi="Times New Roman" w:eastAsia="宋体" w:cs="宋体"/>
          <w:kern w:val="2"/>
          <w:sz w:val="24"/>
          <w:szCs w:val="24"/>
          <w:lang w:val="zh-CN" w:eastAsia="zh-CN" w:bidi="zh-CN"/>
        </w:rPr>
      </w:pPr>
      <w:r>
        <w:rPr>
          <w:rFonts w:ascii="Times New Roman" w:hAnsi="Times New Roman" w:eastAsia="宋体" w:cs="宋体"/>
          <w:i/>
          <w:iCs/>
          <w:kern w:val="2"/>
          <w:sz w:val="24"/>
          <w:szCs w:val="24"/>
          <w:lang w:val="zh-CN" w:eastAsia="zh-CN" w:bidi="zh-CN"/>
        </w:rPr>
        <w:t>Coi</w:t>
      </w:r>
      <w:r>
        <w:rPr>
          <w:rFonts w:ascii="Times New Roman" w:hAnsi="Times New Roman" w:eastAsia="宋体" w:cs="宋体"/>
          <w:kern w:val="2"/>
          <w:sz w:val="24"/>
          <w:szCs w:val="24"/>
          <w:lang w:val="zh-CN" w:eastAsia="zh-CN" w:bidi="zh-CN"/>
        </w:rPr>
        <w:t>——第i个污染物的环境空气质量标准，</w:t>
      </w:r>
      <w:r>
        <w:rPr>
          <w:rFonts w:ascii="Times New Roman" w:hAnsi="Times New Roman" w:eastAsia="宋体" w:cs="Times New Roman"/>
          <w:kern w:val="2"/>
          <w:sz w:val="24"/>
          <w:szCs w:val="24"/>
          <w:lang w:val="zh-CN" w:eastAsia="zh-CN" w:bidi="zh-CN"/>
        </w:rPr>
        <w:t>μg/m</w:t>
      </w:r>
      <w:r>
        <w:rPr>
          <w:rFonts w:ascii="Times New Roman" w:hAnsi="Times New Roman" w:eastAsia="宋体" w:cs="Times New Roman"/>
          <w:kern w:val="2"/>
          <w:sz w:val="24"/>
          <w:szCs w:val="24"/>
          <w:vertAlign w:val="superscript"/>
          <w:lang w:val="en-US" w:eastAsia="zh-CN" w:bidi="zh-CN"/>
        </w:rPr>
        <w:t>3</w:t>
      </w:r>
      <w:r>
        <w:rPr>
          <w:rFonts w:ascii="Times New Roman" w:hAnsi="Times New Roman" w:eastAsia="宋体" w:cs="宋体"/>
          <w:kern w:val="2"/>
          <w:sz w:val="24"/>
          <w:szCs w:val="24"/>
          <w:lang w:val="zh-CN" w:eastAsia="zh-CN" w:bidi="zh-CN"/>
        </w:rPr>
        <w:t>。</w:t>
      </w:r>
      <w:r>
        <w:rPr>
          <w:rFonts w:ascii="Times New Roman" w:hAnsi="Times New Roman" w:eastAsia="宋体" w:cs="宋体"/>
          <w:i/>
          <w:iCs/>
          <w:kern w:val="2"/>
          <w:sz w:val="24"/>
          <w:szCs w:val="24"/>
          <w:lang w:val="zh-CN" w:eastAsia="zh-CN" w:bidi="zh-CN"/>
        </w:rPr>
        <w:t>Coi</w:t>
      </w:r>
      <w:r>
        <w:rPr>
          <w:rFonts w:ascii="Times New Roman" w:hAnsi="Times New Roman" w:eastAsia="宋体" w:cs="宋体"/>
          <w:kern w:val="2"/>
          <w:sz w:val="24"/>
          <w:szCs w:val="24"/>
          <w:lang w:val="zh-CN" w:eastAsia="zh-CN" w:bidi="zh-CN"/>
        </w:rPr>
        <w:t>一般选用GB3095中1小时平均取样时间的二级标准的浓度限值；</w:t>
      </w:r>
      <w:r>
        <w:rPr>
          <w:rFonts w:hint="eastAsia" w:ascii="Times New Roman" w:hAnsi="Times New Roman" w:eastAsia="宋体" w:cs="宋体"/>
          <w:kern w:val="2"/>
          <w:sz w:val="24"/>
          <w:szCs w:val="24"/>
          <w:lang w:val="zh-CN" w:eastAsia="zh-CN" w:bidi="zh-CN"/>
        </w:rPr>
        <w:t>对仅有8h平均质量浓度限值、日平均质量浓度限值或年平均质量浓度限值的，可分别按2倍、3倍、6倍折算为1h平均质量浓度限值</w:t>
      </w:r>
      <w:r>
        <w:rPr>
          <w:rFonts w:ascii="Times New Roman" w:hAnsi="Times New Roman" w:eastAsia="宋体" w:cs="宋体"/>
          <w:kern w:val="2"/>
          <w:sz w:val="24"/>
          <w:szCs w:val="24"/>
          <w:lang w:val="zh-CN" w:eastAsia="zh-CN" w:bidi="zh-CN"/>
        </w:rPr>
        <w:t>；对该标准中未包含的污染物，可参照《环境影响评价技术导则 大气环境》（HJ2.2-2018）中附录D的参考限值要求。</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b w:val="0"/>
          <w:bCs w:val="0"/>
          <w:snapToGrid/>
          <w:kern w:val="2"/>
          <w:sz w:val="24"/>
          <w:szCs w:val="24"/>
          <w:lang w:eastAsia="zh-CN"/>
        </w:rPr>
      </w:pPr>
      <w:r>
        <w:rPr>
          <w:rFonts w:hint="eastAsia" w:ascii="Times New Roman" w:hAnsi="Times New Roman" w:eastAsia="宋体" w:cs="Times New Roman"/>
          <w:b w:val="0"/>
          <w:bCs w:val="0"/>
          <w:snapToGrid/>
          <w:kern w:val="2"/>
          <w:sz w:val="24"/>
          <w:szCs w:val="24"/>
          <w:lang w:eastAsia="zh-CN"/>
        </w:rPr>
        <w:t>评价工作等级按表2-1</w:t>
      </w:r>
      <w:r>
        <w:rPr>
          <w:rFonts w:hint="eastAsia" w:ascii="Times New Roman" w:hAnsi="Times New Roman" w:eastAsia="宋体" w:cs="Times New Roman"/>
          <w:b w:val="0"/>
          <w:bCs w:val="0"/>
          <w:snapToGrid/>
          <w:kern w:val="2"/>
          <w:sz w:val="24"/>
          <w:szCs w:val="24"/>
          <w:lang w:val="en-US" w:eastAsia="zh-CN"/>
        </w:rPr>
        <w:t>3</w:t>
      </w:r>
      <w:r>
        <w:rPr>
          <w:rFonts w:hint="eastAsia" w:ascii="Times New Roman" w:hAnsi="Times New Roman" w:eastAsia="宋体" w:cs="Times New Roman"/>
          <w:b w:val="0"/>
          <w:bCs w:val="0"/>
          <w:snapToGrid/>
          <w:kern w:val="2"/>
          <w:sz w:val="24"/>
          <w:szCs w:val="24"/>
          <w:lang w:eastAsia="zh-CN"/>
        </w:rPr>
        <w:t>的分级判据进行划分，本次采用估算模型AERSCREEN计算出的等级结果见表2-1</w:t>
      </w:r>
      <w:r>
        <w:rPr>
          <w:rFonts w:hint="eastAsia" w:ascii="Times New Roman" w:hAnsi="Times New Roman" w:eastAsia="宋体" w:cs="Times New Roman"/>
          <w:b w:val="0"/>
          <w:bCs w:val="0"/>
          <w:snapToGrid/>
          <w:kern w:val="2"/>
          <w:sz w:val="24"/>
          <w:szCs w:val="24"/>
          <w:lang w:val="en-US" w:eastAsia="zh-CN"/>
        </w:rPr>
        <w:t>4</w:t>
      </w:r>
      <w:r>
        <w:rPr>
          <w:rFonts w:ascii="Times New Roman" w:hAnsi="Times New Roman" w:eastAsia="宋体" w:cs="Times New Roman"/>
          <w:b w:val="0"/>
          <w:bCs w:val="0"/>
          <w:snapToGrid/>
          <w:kern w:val="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napToGrid/>
          <w:kern w:val="2"/>
          <w:sz w:val="24"/>
          <w:szCs w:val="24"/>
          <w:lang w:eastAsia="zh-CN"/>
        </w:rPr>
      </w:pPr>
      <w:r>
        <w:rPr>
          <w:rFonts w:ascii="Times New Roman" w:hAnsi="Times New Roman" w:eastAsia="宋体" w:cs="Times New Roman"/>
          <w:b/>
          <w:bCs/>
          <w:snapToGrid/>
          <w:kern w:val="2"/>
          <w:sz w:val="24"/>
          <w:szCs w:val="24"/>
          <w:lang w:eastAsia="zh-CN"/>
        </w:rPr>
        <w:t>表2</w:t>
      </w:r>
      <w:r>
        <w:rPr>
          <w:rFonts w:hint="eastAsia" w:ascii="Times New Roman" w:hAnsi="Times New Roman" w:eastAsia="宋体" w:cs="Times New Roman"/>
          <w:b/>
          <w:bCs/>
          <w:snapToGrid/>
          <w:kern w:val="2"/>
          <w:sz w:val="24"/>
          <w:szCs w:val="24"/>
          <w:lang w:val="en-US" w:eastAsia="zh-CN"/>
        </w:rPr>
        <w:t>-13</w:t>
      </w:r>
      <w:r>
        <w:rPr>
          <w:rFonts w:ascii="Times New Roman" w:hAnsi="Times New Roman" w:eastAsia="宋体" w:cs="Times New Roman"/>
          <w:b/>
          <w:bCs/>
          <w:snapToGrid/>
          <w:kern w:val="2"/>
          <w:sz w:val="24"/>
          <w:szCs w:val="24"/>
          <w:lang w:eastAsia="zh-CN"/>
        </w:rPr>
        <w:t xml:space="preserve">  </w:t>
      </w:r>
      <w:r>
        <w:rPr>
          <w:rFonts w:hint="eastAsia" w:ascii="Times New Roman" w:hAnsi="Times New Roman" w:eastAsia="宋体" w:cs="Times New Roman"/>
          <w:b/>
          <w:bCs/>
          <w:snapToGrid/>
          <w:kern w:val="2"/>
          <w:sz w:val="24"/>
          <w:szCs w:val="24"/>
          <w:lang w:val="en-US" w:eastAsia="zh-CN"/>
        </w:rPr>
        <w:t xml:space="preserve">  </w:t>
      </w:r>
      <w:r>
        <w:rPr>
          <w:rFonts w:ascii="Times New Roman" w:hAnsi="Times New Roman" w:eastAsia="宋体" w:cs="Times New Roman"/>
          <w:b/>
          <w:bCs/>
          <w:snapToGrid/>
          <w:kern w:val="2"/>
          <w:sz w:val="24"/>
          <w:szCs w:val="24"/>
          <w:lang w:eastAsia="zh-CN"/>
        </w:rPr>
        <w:t>大气环境评价工作</w:t>
      </w:r>
      <w:r>
        <w:rPr>
          <w:rFonts w:hint="eastAsia" w:ascii="Times New Roman" w:hAnsi="Times New Roman" w:eastAsia="宋体" w:cs="Times New Roman"/>
          <w:b/>
          <w:bCs/>
          <w:snapToGrid/>
          <w:kern w:val="2"/>
          <w:sz w:val="24"/>
          <w:szCs w:val="24"/>
          <w:lang w:eastAsia="zh-CN"/>
        </w:rPr>
        <w:t>等级判定表</w:t>
      </w:r>
    </w:p>
    <w:tbl>
      <w:tblPr>
        <w:tblStyle w:val="20"/>
        <w:tblW w:w="8911"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740"/>
        <w:gridCol w:w="517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5" w:hRule="atLeast"/>
          <w:jc w:val="center"/>
        </w:trPr>
        <w:tc>
          <w:tcPr>
            <w:tcW w:w="3740" w:type="dxa"/>
            <w:tcBorders>
              <w:top w:val="single" w:color="000000" w:sz="12" w:space="0"/>
              <w:left w:val="single" w:color="000000" w:sz="12" w:space="0"/>
              <w:bottom w:val="single" w:color="000000" w:sz="4" w:space="0"/>
              <w:right w:val="single" w:color="000000" w:sz="4" w:space="0"/>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评价工作等级</w:t>
            </w:r>
          </w:p>
        </w:tc>
        <w:tc>
          <w:tcPr>
            <w:tcW w:w="5171" w:type="dxa"/>
            <w:tcBorders>
              <w:top w:val="single" w:color="000000" w:sz="12" w:space="0"/>
              <w:left w:val="single" w:color="000000" w:sz="4" w:space="0"/>
              <w:bottom w:val="single" w:color="000000" w:sz="4" w:space="0"/>
              <w:right w:val="single" w:color="000000" w:sz="12" w:space="0"/>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3" w:hRule="atLeast"/>
          <w:jc w:val="center"/>
        </w:trPr>
        <w:tc>
          <w:tcPr>
            <w:tcW w:w="3740"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一级</w:t>
            </w:r>
          </w:p>
        </w:tc>
        <w:tc>
          <w:tcPr>
            <w:tcW w:w="5171" w:type="dxa"/>
            <w:tcBorders>
              <w:top w:val="single" w:color="000000" w:sz="4" w:space="0"/>
              <w:left w:val="single" w:color="000000" w:sz="4" w:space="0"/>
              <w:bottom w:val="single" w:color="000000" w:sz="4" w:space="0"/>
              <w:right w:val="single" w:color="000000" w:sz="12" w:space="0"/>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Pmax≥10%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6" w:hRule="atLeast"/>
          <w:jc w:val="center"/>
        </w:trPr>
        <w:tc>
          <w:tcPr>
            <w:tcW w:w="3740"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二级</w:t>
            </w:r>
          </w:p>
        </w:tc>
        <w:tc>
          <w:tcPr>
            <w:tcW w:w="5171" w:type="dxa"/>
            <w:tcBorders>
              <w:top w:val="single" w:color="000000" w:sz="4" w:space="0"/>
              <w:left w:val="single" w:color="000000" w:sz="4" w:space="0"/>
              <w:bottom w:val="single" w:color="000000" w:sz="4" w:space="0"/>
              <w:right w:val="single" w:color="000000" w:sz="12" w:space="0"/>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1%≤Pmax＜10%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3" w:hRule="atLeast"/>
          <w:jc w:val="center"/>
        </w:trPr>
        <w:tc>
          <w:tcPr>
            <w:tcW w:w="3740" w:type="dxa"/>
            <w:tcBorders>
              <w:top w:val="single" w:color="000000" w:sz="4" w:space="0"/>
              <w:left w:val="single" w:color="000000" w:sz="12" w:space="0"/>
              <w:bottom w:val="single" w:color="000000" w:sz="12" w:space="0"/>
              <w:right w:val="single" w:color="000000" w:sz="4" w:space="0"/>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三级</w:t>
            </w:r>
          </w:p>
        </w:tc>
        <w:tc>
          <w:tcPr>
            <w:tcW w:w="5171" w:type="dxa"/>
            <w:tcBorders>
              <w:top w:val="single" w:color="000000" w:sz="4" w:space="0"/>
              <w:left w:val="single" w:color="000000" w:sz="4" w:space="0"/>
              <w:bottom w:val="single" w:color="000000" w:sz="12" w:space="0"/>
              <w:right w:val="single" w:color="000000" w:sz="12" w:space="0"/>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Pmax＜1%</w:t>
            </w:r>
          </w:p>
        </w:tc>
      </w:tr>
    </w:tbl>
    <w:p>
      <w:pPr>
        <w:keepNext w:val="0"/>
        <w:keepLines w:val="0"/>
        <w:pageBreakBefore w:val="0"/>
        <w:widowControl w:val="0"/>
        <w:kinsoku/>
        <w:wordWrap/>
        <w:overflowPunct/>
        <w:topLinePunct w:val="0"/>
        <w:autoSpaceDE/>
        <w:autoSpaceDN/>
        <w:bidi w:val="0"/>
        <w:adjustRightInd/>
        <w:snapToGrid/>
        <w:spacing w:before="155" w:line="240" w:lineRule="auto"/>
        <w:ind w:left="0" w:leftChars="0" w:firstLine="0" w:firstLineChars="0"/>
        <w:jc w:val="center"/>
        <w:textAlignment w:val="auto"/>
        <w:rPr>
          <w:rFonts w:ascii="宋体" w:hAnsi="宋体" w:eastAsia="宋体" w:cs="宋体"/>
          <w:snapToGrid/>
          <w:kern w:val="2"/>
          <w:sz w:val="24"/>
          <w:szCs w:val="24"/>
          <w:highlight w:val="none"/>
          <w:lang w:eastAsia="zh-CN"/>
        </w:rPr>
      </w:pPr>
      <w:r>
        <w:rPr>
          <w:rFonts w:hint="default" w:ascii="Times New Roman" w:hAnsi="Times New Roman" w:eastAsia="宋体" w:cs="Times New Roman"/>
          <w:b/>
          <w:bCs/>
          <w:snapToGrid/>
          <w:kern w:val="2"/>
          <w:sz w:val="24"/>
          <w:szCs w:val="24"/>
          <w:highlight w:val="none"/>
          <w:lang w:val="en-US" w:eastAsia="zh-CN"/>
        </w:rPr>
        <w:t>表2-1</w:t>
      </w:r>
      <w:r>
        <w:rPr>
          <w:rFonts w:hint="eastAsia" w:ascii="Times New Roman" w:hAnsi="Times New Roman" w:eastAsia="宋体" w:cs="Times New Roman"/>
          <w:b/>
          <w:bCs/>
          <w:snapToGrid/>
          <w:kern w:val="2"/>
          <w:sz w:val="24"/>
          <w:szCs w:val="24"/>
          <w:highlight w:val="none"/>
          <w:lang w:val="en-US" w:eastAsia="zh-CN"/>
        </w:rPr>
        <w:t>4</w:t>
      </w:r>
      <w:r>
        <w:rPr>
          <w:rFonts w:hint="default" w:ascii="Times New Roman" w:hAnsi="Times New Roman" w:eastAsia="宋体" w:cs="Times New Roman"/>
          <w:b/>
          <w:bCs/>
          <w:snapToGrid/>
          <w:kern w:val="2"/>
          <w:sz w:val="24"/>
          <w:szCs w:val="24"/>
          <w:highlight w:val="none"/>
          <w:lang w:val="en-US" w:eastAsia="zh-CN"/>
        </w:rPr>
        <w:t xml:space="preserve">   环境空气评价等级计算结果</w:t>
      </w:r>
    </w:p>
    <w:tbl>
      <w:tblPr>
        <w:tblStyle w:val="21"/>
        <w:tblW w:w="90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87"/>
        <w:gridCol w:w="1310"/>
        <w:gridCol w:w="1191"/>
        <w:gridCol w:w="1200"/>
        <w:gridCol w:w="1527"/>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eastAsia="zh-CN"/>
              </w:rPr>
              <w:t>污染源</w:t>
            </w:r>
            <w:r>
              <w:rPr>
                <w:rFonts w:hint="default" w:ascii="Times New Roman" w:hAnsi="Times New Roman" w:eastAsia="宋体" w:cs="Times New Roman"/>
                <w:snapToGrid/>
                <w:kern w:val="2"/>
                <w:sz w:val="21"/>
                <w:szCs w:val="21"/>
                <w:vertAlign w:val="baseline"/>
                <w:lang w:val="en-US" w:eastAsia="zh-CN"/>
              </w:rPr>
              <w:t>名称</w:t>
            </w:r>
          </w:p>
        </w:tc>
        <w:tc>
          <w:tcPr>
            <w:tcW w:w="1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污染因子</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 xml:space="preserve">排放速率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（kg/h）</w:t>
            </w:r>
          </w:p>
        </w:tc>
        <w:tc>
          <w:tcPr>
            <w:tcW w:w="11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 xml:space="preserve">评价标准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（mg/m</w:t>
            </w:r>
            <w:r>
              <w:rPr>
                <w:rFonts w:hint="default" w:ascii="Times New Roman" w:hAnsi="Times New Roman" w:eastAsia="宋体" w:cs="Times New Roman"/>
                <w:snapToGrid/>
                <w:kern w:val="2"/>
                <w:sz w:val="21"/>
                <w:szCs w:val="21"/>
                <w:vertAlign w:val="superscript"/>
                <w:lang w:val="en-US" w:eastAsia="zh-CN"/>
              </w:rPr>
              <w:t>3</w:t>
            </w:r>
            <w:r>
              <w:rPr>
                <w:rFonts w:hint="default" w:ascii="Times New Roman" w:hAnsi="Times New Roman" w:eastAsia="宋体" w:cs="Times New Roman"/>
                <w:snapToGrid/>
                <w:kern w:val="2"/>
                <w:sz w:val="21"/>
                <w:szCs w:val="21"/>
                <w:vertAlign w:val="baseline"/>
                <w:lang w:val="en-US" w:eastAsia="zh-CN"/>
              </w:rPr>
              <w:t>）</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Cmax</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（mg/m</w:t>
            </w:r>
            <w:r>
              <w:rPr>
                <w:rFonts w:hint="default" w:ascii="Times New Roman" w:hAnsi="Times New Roman" w:eastAsia="宋体" w:cs="Times New Roman"/>
                <w:snapToGrid/>
                <w:kern w:val="2"/>
                <w:sz w:val="21"/>
                <w:szCs w:val="21"/>
                <w:vertAlign w:val="superscript"/>
                <w:lang w:val="en-US" w:eastAsia="zh-CN"/>
              </w:rPr>
              <w:t>3</w:t>
            </w:r>
            <w:r>
              <w:rPr>
                <w:rFonts w:hint="default" w:ascii="Times New Roman" w:hAnsi="Times New Roman" w:eastAsia="宋体" w:cs="Times New Roman"/>
                <w:snapToGrid/>
                <w:kern w:val="2"/>
                <w:sz w:val="21"/>
                <w:szCs w:val="21"/>
                <w:vertAlign w:val="baseline"/>
                <w:lang w:val="en-US" w:eastAsia="zh-CN"/>
              </w:rPr>
              <w:t>）</w:t>
            </w:r>
          </w:p>
        </w:tc>
        <w:tc>
          <w:tcPr>
            <w:tcW w:w="1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eastAsia="zh-CN"/>
              </w:rPr>
              <w:t>最大占标率 Pi</w:t>
            </w:r>
          </w:p>
        </w:tc>
        <w:tc>
          <w:tcPr>
            <w:tcW w:w="12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eastAsia="zh-CN"/>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vertAlign w:val="baseline"/>
                <w:lang w:eastAsia="zh-CN"/>
              </w:rPr>
            </w:pPr>
            <w:r>
              <w:rPr>
                <w:rFonts w:hint="eastAsia" w:ascii="Times New Roman" w:hAnsi="Times New Roman" w:eastAsia="宋体" w:cs="Times New Roman"/>
                <w:snapToGrid/>
                <w:kern w:val="2"/>
                <w:sz w:val="21"/>
                <w:szCs w:val="21"/>
                <w:vertAlign w:val="baseline"/>
                <w:lang w:eastAsia="zh-CN"/>
              </w:rPr>
              <w:t>有组织恶臭排放</w:t>
            </w:r>
          </w:p>
        </w:tc>
        <w:tc>
          <w:tcPr>
            <w:tcW w:w="1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lang w:val="en-US" w:eastAsia="zh-CN"/>
              </w:rPr>
              <w:t>NH</w:t>
            </w:r>
            <w:r>
              <w:rPr>
                <w:rFonts w:hint="default" w:ascii="Times New Roman" w:hAnsi="Times New Roman" w:eastAsia="宋体" w:cs="Times New Roman"/>
                <w:snapToGrid/>
                <w:kern w:val="2"/>
                <w:sz w:val="21"/>
                <w:szCs w:val="21"/>
                <w:vertAlign w:val="subscript"/>
                <w:lang w:val="en-US" w:eastAsia="zh-CN"/>
              </w:rPr>
              <w:t>3</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0.0046</w:t>
            </w:r>
          </w:p>
        </w:tc>
        <w:tc>
          <w:tcPr>
            <w:tcW w:w="11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0.2</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0.00205</w:t>
            </w:r>
          </w:p>
        </w:tc>
        <w:tc>
          <w:tcPr>
            <w:tcW w:w="1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1.02%＜10%</w:t>
            </w:r>
          </w:p>
        </w:tc>
        <w:tc>
          <w:tcPr>
            <w:tcW w:w="12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eastAsia" w:ascii="Times New Roman" w:hAnsi="Times New Roman" w:eastAsia="宋体" w:cs="Times New Roman"/>
                <w:snapToGrid/>
                <w:kern w:val="2"/>
                <w:sz w:val="21"/>
                <w:szCs w:val="21"/>
                <w:vertAlign w:val="baseline"/>
                <w:lang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p>
        </w:tc>
        <w:tc>
          <w:tcPr>
            <w:tcW w:w="1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lang w:val="en-US" w:eastAsia="zh-CN"/>
              </w:rPr>
              <w:t>H</w:t>
            </w:r>
            <w:r>
              <w:rPr>
                <w:rFonts w:hint="default" w:ascii="Times New Roman" w:hAnsi="Times New Roman" w:eastAsia="宋体" w:cs="Times New Roman"/>
                <w:snapToGrid/>
                <w:kern w:val="2"/>
                <w:sz w:val="21"/>
                <w:szCs w:val="21"/>
                <w:vertAlign w:val="subscript"/>
                <w:lang w:val="en-US" w:eastAsia="zh-CN"/>
              </w:rPr>
              <w:t>2</w:t>
            </w:r>
            <w:r>
              <w:rPr>
                <w:rFonts w:hint="default" w:ascii="Times New Roman" w:hAnsi="Times New Roman" w:eastAsia="宋体" w:cs="Times New Roman"/>
                <w:snapToGrid/>
                <w:kern w:val="2"/>
                <w:sz w:val="21"/>
                <w:szCs w:val="21"/>
                <w:lang w:val="en-US" w:eastAsia="zh-CN"/>
              </w:rPr>
              <w:t>S</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0.000345</w:t>
            </w:r>
          </w:p>
        </w:tc>
        <w:tc>
          <w:tcPr>
            <w:tcW w:w="11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0.01</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0.000146</w:t>
            </w:r>
          </w:p>
        </w:tc>
        <w:tc>
          <w:tcPr>
            <w:tcW w:w="1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1.</w:t>
            </w:r>
            <w:r>
              <w:rPr>
                <w:rFonts w:hint="eastAsia" w:ascii="Times New Roman" w:hAnsi="Times New Roman" w:eastAsia="宋体" w:cs="Times New Roman"/>
                <w:snapToGrid/>
                <w:kern w:val="2"/>
                <w:sz w:val="21"/>
                <w:szCs w:val="21"/>
                <w:vertAlign w:val="baseline"/>
                <w:lang w:val="en-US" w:eastAsia="zh-CN"/>
              </w:rPr>
              <w:t>46</w:t>
            </w:r>
            <w:r>
              <w:rPr>
                <w:rFonts w:hint="default" w:ascii="Times New Roman" w:hAnsi="Times New Roman" w:eastAsia="宋体" w:cs="Times New Roman"/>
                <w:snapToGrid/>
                <w:kern w:val="2"/>
                <w:sz w:val="21"/>
                <w:szCs w:val="21"/>
                <w:vertAlign w:val="baseline"/>
                <w:lang w:val="en-US" w:eastAsia="zh-CN"/>
              </w:rPr>
              <w:t>%＜10%</w:t>
            </w:r>
          </w:p>
        </w:tc>
        <w:tc>
          <w:tcPr>
            <w:tcW w:w="12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eastAsia" w:ascii="Times New Roman" w:hAnsi="Times New Roman" w:eastAsia="宋体" w:cs="Times New Roman"/>
                <w:snapToGrid/>
                <w:kern w:val="2"/>
                <w:sz w:val="21"/>
                <w:szCs w:val="21"/>
                <w:vertAlign w:val="baseline"/>
                <w:lang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eastAsia" w:ascii="Times New Roman" w:hAnsi="Times New Roman" w:eastAsia="宋体" w:cs="Times New Roman"/>
                <w:snapToGrid/>
                <w:kern w:val="2"/>
                <w:sz w:val="21"/>
                <w:szCs w:val="21"/>
                <w:vertAlign w:val="baseline"/>
                <w:lang w:eastAsia="zh-CN"/>
              </w:rPr>
              <w:t>无组织恶臭排放</w:t>
            </w:r>
          </w:p>
        </w:tc>
        <w:tc>
          <w:tcPr>
            <w:tcW w:w="1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bidi="ar-SA"/>
              </w:rPr>
            </w:pPr>
            <w:r>
              <w:rPr>
                <w:rFonts w:hint="default" w:ascii="Times New Roman" w:hAnsi="Times New Roman" w:eastAsia="宋体" w:cs="Times New Roman"/>
                <w:snapToGrid/>
                <w:kern w:val="2"/>
                <w:sz w:val="21"/>
                <w:szCs w:val="21"/>
                <w:lang w:val="en-US" w:eastAsia="zh-CN"/>
              </w:rPr>
              <w:t>NH</w:t>
            </w:r>
            <w:r>
              <w:rPr>
                <w:rFonts w:hint="default" w:ascii="Times New Roman" w:hAnsi="Times New Roman" w:eastAsia="宋体" w:cs="Times New Roman"/>
                <w:snapToGrid/>
                <w:kern w:val="2"/>
                <w:sz w:val="21"/>
                <w:szCs w:val="21"/>
                <w:vertAlign w:val="subscript"/>
                <w:lang w:val="en-US" w:eastAsia="zh-CN"/>
              </w:rPr>
              <w:t>3</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0.0352</w:t>
            </w:r>
          </w:p>
        </w:tc>
        <w:tc>
          <w:tcPr>
            <w:tcW w:w="11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SA"/>
              </w:rPr>
            </w:pPr>
            <w:r>
              <w:rPr>
                <w:rFonts w:hint="eastAsia" w:ascii="Times New Roman" w:hAnsi="Times New Roman" w:eastAsia="宋体" w:cs="Times New Roman"/>
                <w:snapToGrid/>
                <w:kern w:val="2"/>
                <w:sz w:val="21"/>
                <w:szCs w:val="21"/>
                <w:vertAlign w:val="baseline"/>
                <w:lang w:val="en-US" w:eastAsia="zh-CN"/>
              </w:rPr>
              <w:t>0.2</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0.01006</w:t>
            </w:r>
          </w:p>
        </w:tc>
        <w:tc>
          <w:tcPr>
            <w:tcW w:w="1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eastAsia" w:ascii="Times New Roman" w:hAnsi="Times New Roman" w:eastAsia="宋体" w:cs="Times New Roman"/>
                <w:snapToGrid/>
                <w:kern w:val="2"/>
                <w:sz w:val="21"/>
                <w:szCs w:val="21"/>
                <w:vertAlign w:val="baseline"/>
                <w:lang w:val="en-US" w:eastAsia="zh-CN"/>
              </w:rPr>
              <w:t>5.03</w:t>
            </w:r>
            <w:r>
              <w:rPr>
                <w:rFonts w:hint="default" w:ascii="Times New Roman" w:hAnsi="Times New Roman" w:eastAsia="宋体" w:cs="Times New Roman"/>
                <w:snapToGrid/>
                <w:kern w:val="2"/>
                <w:sz w:val="21"/>
                <w:szCs w:val="21"/>
                <w:vertAlign w:val="baseline"/>
                <w:lang w:val="en-US" w:eastAsia="zh-CN"/>
              </w:rPr>
              <w:t>%＜10%</w:t>
            </w:r>
          </w:p>
        </w:tc>
        <w:tc>
          <w:tcPr>
            <w:tcW w:w="12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eastAsia" w:ascii="Times New Roman" w:hAnsi="Times New Roman" w:eastAsia="宋体" w:cs="Times New Roman"/>
                <w:snapToGrid/>
                <w:kern w:val="2"/>
                <w:sz w:val="21"/>
                <w:szCs w:val="21"/>
                <w:vertAlign w:val="baseline"/>
                <w:lang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p>
        </w:tc>
        <w:tc>
          <w:tcPr>
            <w:tcW w:w="1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bidi="ar-SA"/>
              </w:rPr>
            </w:pPr>
            <w:r>
              <w:rPr>
                <w:rFonts w:hint="default" w:ascii="Times New Roman" w:hAnsi="Times New Roman" w:eastAsia="宋体" w:cs="Times New Roman"/>
                <w:snapToGrid/>
                <w:kern w:val="2"/>
                <w:sz w:val="21"/>
                <w:szCs w:val="21"/>
                <w:lang w:val="en-US" w:eastAsia="zh-CN"/>
              </w:rPr>
              <w:t>H</w:t>
            </w:r>
            <w:r>
              <w:rPr>
                <w:rFonts w:hint="default" w:ascii="Times New Roman" w:hAnsi="Times New Roman" w:eastAsia="宋体" w:cs="Times New Roman"/>
                <w:snapToGrid/>
                <w:kern w:val="2"/>
                <w:sz w:val="21"/>
                <w:szCs w:val="21"/>
                <w:vertAlign w:val="subscript"/>
                <w:lang w:val="en-US" w:eastAsia="zh-CN"/>
              </w:rPr>
              <w:t>2</w:t>
            </w:r>
            <w:r>
              <w:rPr>
                <w:rFonts w:hint="default" w:ascii="Times New Roman" w:hAnsi="Times New Roman" w:eastAsia="宋体" w:cs="Times New Roman"/>
                <w:snapToGrid/>
                <w:kern w:val="2"/>
                <w:sz w:val="21"/>
                <w:szCs w:val="21"/>
                <w:lang w:val="en-US" w:eastAsia="zh-CN"/>
              </w:rPr>
              <w:t>S</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0.00295</w:t>
            </w:r>
          </w:p>
        </w:tc>
        <w:tc>
          <w:tcPr>
            <w:tcW w:w="11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vertAlign w:val="baseline"/>
                <w:lang w:val="en-US" w:eastAsia="zh-CN" w:bidi="ar-SA"/>
              </w:rPr>
            </w:pPr>
            <w:r>
              <w:rPr>
                <w:rFonts w:hint="eastAsia" w:ascii="Times New Roman" w:hAnsi="Times New Roman" w:eastAsia="宋体" w:cs="Times New Roman"/>
                <w:snapToGrid/>
                <w:kern w:val="2"/>
                <w:sz w:val="21"/>
                <w:szCs w:val="21"/>
                <w:vertAlign w:val="baseline"/>
                <w:lang w:val="en-US" w:eastAsia="zh-CN"/>
              </w:rPr>
              <w:t>0.01</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val="en-US" w:eastAsia="zh-CN"/>
              </w:rPr>
            </w:pPr>
            <w:r>
              <w:rPr>
                <w:rFonts w:hint="eastAsia" w:ascii="Times New Roman" w:hAnsi="Times New Roman" w:eastAsia="宋体" w:cs="Times New Roman"/>
                <w:snapToGrid/>
                <w:kern w:val="2"/>
                <w:sz w:val="21"/>
                <w:szCs w:val="21"/>
                <w:vertAlign w:val="baseline"/>
                <w:lang w:val="en-US" w:eastAsia="zh-CN"/>
              </w:rPr>
              <w:t>0.0008747</w:t>
            </w:r>
          </w:p>
        </w:tc>
        <w:tc>
          <w:tcPr>
            <w:tcW w:w="1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eastAsia" w:ascii="Times New Roman" w:hAnsi="Times New Roman" w:eastAsia="宋体" w:cs="Times New Roman"/>
                <w:snapToGrid/>
                <w:kern w:val="2"/>
                <w:sz w:val="21"/>
                <w:szCs w:val="21"/>
                <w:vertAlign w:val="baseline"/>
                <w:lang w:val="en-US" w:eastAsia="zh-CN"/>
              </w:rPr>
              <w:t>8.75</w:t>
            </w:r>
            <w:r>
              <w:rPr>
                <w:rFonts w:hint="default" w:ascii="Times New Roman" w:hAnsi="Times New Roman" w:eastAsia="宋体" w:cs="Times New Roman"/>
                <w:snapToGrid/>
                <w:kern w:val="2"/>
                <w:sz w:val="21"/>
                <w:szCs w:val="21"/>
                <w:vertAlign w:val="baseline"/>
                <w:lang w:val="en-US" w:eastAsia="zh-CN"/>
              </w:rPr>
              <w:t>＜10%</w:t>
            </w:r>
          </w:p>
        </w:tc>
        <w:tc>
          <w:tcPr>
            <w:tcW w:w="12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eastAsia" w:ascii="Times New Roman" w:hAnsi="Times New Roman" w:eastAsia="宋体" w:cs="Times New Roman"/>
                <w:snapToGrid/>
                <w:kern w:val="2"/>
                <w:sz w:val="21"/>
                <w:szCs w:val="21"/>
                <w:vertAlign w:val="baseline"/>
                <w:lang w:eastAsia="zh-CN"/>
              </w:rPr>
              <w:t>二级</w:t>
            </w:r>
          </w:p>
        </w:tc>
      </w:tr>
    </w:tbl>
    <w:p>
      <w:pPr>
        <w:widowControl w:val="0"/>
        <w:kinsoku/>
        <w:autoSpaceDE/>
        <w:autoSpaceDN/>
        <w:adjustRightInd/>
        <w:snapToGrid/>
        <w:spacing w:before="35" w:line="360" w:lineRule="auto"/>
        <w:ind w:left="126" w:right="15" w:firstLine="480" w:firstLineChars="200"/>
        <w:jc w:val="both"/>
        <w:textAlignment w:val="auto"/>
        <w:rPr>
          <w:rFonts w:hint="default" w:ascii="Times New Roman" w:hAnsi="Times New Roman" w:eastAsia="宋体" w:cs="Times New Roman"/>
          <w:snapToGrid/>
          <w:kern w:val="2"/>
          <w:sz w:val="24"/>
          <w:szCs w:val="24"/>
          <w:lang w:eastAsia="zh-CN"/>
        </w:rPr>
      </w:pPr>
      <w:r>
        <w:rPr>
          <w:rFonts w:hint="default" w:ascii="Times New Roman" w:hAnsi="Times New Roman" w:eastAsia="宋体" w:cs="Times New Roman"/>
          <w:snapToGrid/>
          <w:kern w:val="2"/>
          <w:sz w:val="24"/>
          <w:szCs w:val="24"/>
          <w:lang w:val="en-US" w:eastAsia="zh-CN"/>
        </w:rPr>
        <w:t>本项目Pmax最大值出现为厂区无组织废气的</w:t>
      </w:r>
      <w:r>
        <w:rPr>
          <w:rFonts w:hint="eastAsia" w:ascii="Times New Roman" w:hAnsi="Times New Roman" w:eastAsia="宋体" w:cs="Times New Roman"/>
          <w:snapToGrid/>
          <w:kern w:val="2"/>
          <w:sz w:val="21"/>
          <w:szCs w:val="21"/>
          <w:lang w:val="en-US" w:eastAsia="zh-CN"/>
        </w:rPr>
        <w:t>H</w:t>
      </w:r>
      <w:r>
        <w:rPr>
          <w:rFonts w:hint="eastAsia" w:ascii="Times New Roman" w:hAnsi="Times New Roman" w:eastAsia="宋体" w:cs="Times New Roman"/>
          <w:snapToGrid/>
          <w:kern w:val="2"/>
          <w:sz w:val="21"/>
          <w:szCs w:val="21"/>
          <w:vertAlign w:val="subscript"/>
          <w:lang w:val="en-US" w:eastAsia="zh-CN"/>
        </w:rPr>
        <w:t>2</w:t>
      </w:r>
      <w:r>
        <w:rPr>
          <w:rFonts w:hint="eastAsia" w:ascii="Times New Roman" w:hAnsi="Times New Roman" w:eastAsia="宋体" w:cs="Times New Roman"/>
          <w:snapToGrid/>
          <w:kern w:val="2"/>
          <w:sz w:val="21"/>
          <w:szCs w:val="21"/>
          <w:lang w:val="en-US" w:eastAsia="zh-CN"/>
        </w:rPr>
        <w:t>S</w:t>
      </w:r>
      <w:r>
        <w:rPr>
          <w:rFonts w:hint="default" w:ascii="Times New Roman" w:hAnsi="Times New Roman" w:eastAsia="宋体" w:cs="Times New Roman"/>
          <w:snapToGrid/>
          <w:kern w:val="2"/>
          <w:sz w:val="24"/>
          <w:szCs w:val="24"/>
          <w:lang w:val="en-US" w:eastAsia="zh-CN"/>
        </w:rPr>
        <w:t>，Pmax值为</w:t>
      </w:r>
      <w:r>
        <w:rPr>
          <w:rFonts w:hint="eastAsia" w:ascii="Times New Roman" w:hAnsi="Times New Roman" w:eastAsia="宋体" w:cs="Times New Roman"/>
          <w:snapToGrid/>
          <w:kern w:val="2"/>
          <w:sz w:val="24"/>
          <w:szCs w:val="24"/>
          <w:lang w:val="en-US" w:eastAsia="zh-CN"/>
        </w:rPr>
        <w:t>8.75</w:t>
      </w:r>
      <w:r>
        <w:rPr>
          <w:rFonts w:hint="default" w:ascii="Times New Roman" w:hAnsi="Times New Roman" w:eastAsia="宋体" w:cs="Times New Roman"/>
          <w:snapToGrid/>
          <w:kern w:val="2"/>
          <w:sz w:val="24"/>
          <w:szCs w:val="24"/>
          <w:lang w:val="en-US" w:eastAsia="zh-CN"/>
        </w:rPr>
        <w:t>%，Cmax为0.0</w:t>
      </w:r>
      <w:r>
        <w:rPr>
          <w:rFonts w:hint="eastAsia" w:ascii="Times New Roman" w:hAnsi="Times New Roman" w:eastAsia="宋体" w:cs="Times New Roman"/>
          <w:snapToGrid/>
          <w:kern w:val="2"/>
          <w:sz w:val="24"/>
          <w:szCs w:val="24"/>
          <w:lang w:val="en-US" w:eastAsia="zh-CN"/>
        </w:rPr>
        <w:t>008747</w:t>
      </w:r>
      <w:r>
        <w:rPr>
          <w:rFonts w:hint="default" w:ascii="Times New Roman" w:hAnsi="Times New Roman" w:eastAsia="宋体" w:cs="Times New Roman"/>
          <w:snapToGrid/>
          <w:kern w:val="2"/>
          <w:sz w:val="24"/>
          <w:szCs w:val="24"/>
          <w:lang w:val="en-US" w:eastAsia="zh-CN"/>
        </w:rPr>
        <w:t>mg/m</w:t>
      </w:r>
      <w:r>
        <w:rPr>
          <w:rFonts w:hint="default" w:ascii="Times New Roman" w:hAnsi="Times New Roman" w:eastAsia="宋体" w:cs="Times New Roman"/>
          <w:snapToGrid/>
          <w:kern w:val="2"/>
          <w:sz w:val="24"/>
          <w:szCs w:val="24"/>
          <w:vertAlign w:val="superscript"/>
          <w:lang w:val="en-US" w:eastAsia="zh-CN"/>
        </w:rPr>
        <w:t>3</w:t>
      </w:r>
      <w:r>
        <w:rPr>
          <w:rFonts w:hint="default" w:ascii="Times New Roman" w:hAnsi="Times New Roman" w:eastAsia="宋体" w:cs="Times New Roman"/>
          <w:snapToGrid/>
          <w:kern w:val="2"/>
          <w:sz w:val="24"/>
          <w:szCs w:val="24"/>
          <w:lang w:val="en-US" w:eastAsia="zh-CN"/>
        </w:rPr>
        <w:t>，根据《环境影响评价技术导则 大气环境》（HJ2.2-2018）分级判据，确定本项目大气环境影响评价工作等级为二级</w:t>
      </w:r>
      <w:r>
        <w:rPr>
          <w:rFonts w:hint="default" w:ascii="Times New Roman" w:hAnsi="Times New Roman" w:eastAsia="宋体" w:cs="Times New Roman"/>
          <w:snapToGrid/>
          <w:spacing w:val="-1"/>
          <w:kern w:val="2"/>
          <w:sz w:val="24"/>
          <w:szCs w:val="24"/>
          <w:lang w:eastAsia="zh-CN"/>
        </w:rPr>
        <w:t>。</w:t>
      </w:r>
    </w:p>
    <w:p>
      <w:pPr>
        <w:keepNext w:val="0"/>
        <w:keepLines w:val="0"/>
        <w:widowControl w:val="0"/>
        <w:autoSpaceDE w:val="0"/>
        <w:autoSpaceDN w:val="0"/>
        <w:spacing w:line="360" w:lineRule="auto"/>
        <w:ind w:left="0" w:leftChars="0" w:firstLine="0" w:firstLineChars="0"/>
        <w:jc w:val="both"/>
        <w:outlineLvl w:val="9"/>
        <w:rPr>
          <w:rFonts w:ascii="Times New Roman" w:hAnsi="Times New Roman" w:eastAsia="宋体" w:cs="Times New Roman"/>
          <w:b/>
          <w:kern w:val="2"/>
          <w:sz w:val="28"/>
          <w:szCs w:val="24"/>
          <w:lang w:val="en-US" w:eastAsia="zh-CN" w:bidi="ar-SA"/>
        </w:rPr>
      </w:pPr>
      <w:r>
        <w:rPr>
          <w:rFonts w:hint="eastAsia" w:ascii="Times New Roman" w:hAnsi="Times New Roman" w:eastAsia="宋体" w:cs="Times New Roman"/>
          <w:b/>
          <w:kern w:val="2"/>
          <w:sz w:val="28"/>
          <w:szCs w:val="24"/>
          <w:lang w:val="en-US" w:eastAsia="zh-CN" w:bidi="ar-SA"/>
        </w:rPr>
        <w:t>2.5.2地表水</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根据《环境影响评价技术导则  地表水环境》（</w:t>
      </w:r>
      <w:r>
        <w:rPr>
          <w:rFonts w:hint="default" w:ascii="Times New Roman" w:hAnsi="Times New Roman" w:eastAsia="宋体" w:cs="Times New Roman"/>
          <w:snapToGrid/>
          <w:kern w:val="2"/>
          <w:sz w:val="24"/>
          <w:szCs w:val="24"/>
          <w:lang w:val="en-US" w:eastAsia="zh-CN"/>
        </w:rPr>
        <w:t>HJ/T2.3-2018</w:t>
      </w:r>
      <w:r>
        <w:rPr>
          <w:rFonts w:hint="eastAsia" w:ascii="Times New Roman" w:hAnsi="Times New Roman" w:eastAsia="宋体" w:cs="Times New Roman"/>
          <w:snapToGrid/>
          <w:kern w:val="2"/>
          <w:sz w:val="24"/>
          <w:szCs w:val="24"/>
          <w:lang w:val="en-US" w:eastAsia="zh-CN"/>
        </w:rPr>
        <w:t>），建设项目地表水环境影响评价等级按照影响类型、排放方式、排放量或影响情况、受纳水体环境质量现状、水环境保护目标等综合确定，</w:t>
      </w:r>
      <w:r>
        <w:rPr>
          <w:rFonts w:hint="eastAsia" w:ascii="Times New Roman" w:hAnsi="Times New Roman" w:eastAsia="宋体" w:cs="Times New Roman"/>
          <w:snapToGrid/>
          <w:kern w:val="2"/>
          <w:sz w:val="24"/>
          <w:szCs w:val="24"/>
          <w:highlight w:val="none"/>
          <w:lang w:val="en-US" w:eastAsia="zh-CN"/>
        </w:rPr>
        <w:t>具体如下</w:t>
      </w:r>
      <w:r>
        <w:rPr>
          <w:rFonts w:hint="eastAsia" w:ascii="Times New Roman" w:hAnsi="Times New Roman" w:eastAsia="宋体" w:cs="Times New Roman"/>
          <w:snapToGrid/>
          <w:kern w:val="2"/>
          <w:sz w:val="24"/>
          <w:szCs w:val="24"/>
          <w:lang w:val="en-US" w:eastAsia="zh-CN"/>
        </w:rPr>
        <w:t>：</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直接排放建设项目评价等级分为一级、二级和三级</w:t>
      </w:r>
      <w:r>
        <w:rPr>
          <w:rFonts w:hint="default" w:ascii="Times New Roman" w:hAnsi="Times New Roman" w:eastAsia="宋体" w:cs="Times New Roman"/>
          <w:snapToGrid/>
          <w:kern w:val="2"/>
          <w:sz w:val="24"/>
          <w:szCs w:val="24"/>
          <w:lang w:val="en-US" w:eastAsia="zh-CN"/>
        </w:rPr>
        <w:t>A</w:t>
      </w:r>
      <w:r>
        <w:rPr>
          <w:rFonts w:hint="eastAsia" w:ascii="Times New Roman" w:hAnsi="Times New Roman" w:eastAsia="宋体" w:cs="Times New Roman"/>
          <w:snapToGrid/>
          <w:kern w:val="2"/>
          <w:sz w:val="24"/>
          <w:szCs w:val="24"/>
          <w:lang w:val="en-US" w:eastAsia="zh-CN"/>
        </w:rPr>
        <w:t>，根据废水排放量、水污染量污染当量数确定；间接排放建设项目评价等级为三级</w:t>
      </w:r>
      <w:r>
        <w:rPr>
          <w:rFonts w:hint="default" w:ascii="Times New Roman" w:hAnsi="Times New Roman" w:eastAsia="宋体" w:cs="Times New Roman"/>
          <w:snapToGrid/>
          <w:kern w:val="2"/>
          <w:sz w:val="24"/>
          <w:szCs w:val="24"/>
          <w:lang w:val="en-US" w:eastAsia="zh-CN"/>
        </w:rPr>
        <w:t>B</w:t>
      </w:r>
      <w:r>
        <w:rPr>
          <w:rFonts w:hint="eastAsia" w:ascii="Times New Roman" w:hAnsi="Times New Roman" w:eastAsia="宋体" w:cs="Times New Roman"/>
          <w:snapToGrid/>
          <w:kern w:val="2"/>
          <w:sz w:val="24"/>
          <w:szCs w:val="24"/>
          <w:lang w:val="en-US" w:eastAsia="zh-CN"/>
        </w:rPr>
        <w:t>；建设项目生产工艺中有废水产生，但作为回水利用，不排放到外环境的，按三级</w:t>
      </w:r>
      <w:r>
        <w:rPr>
          <w:rFonts w:hint="default" w:ascii="Times New Roman" w:hAnsi="Times New Roman" w:eastAsia="宋体" w:cs="Times New Roman"/>
          <w:snapToGrid/>
          <w:kern w:val="2"/>
          <w:sz w:val="24"/>
          <w:szCs w:val="24"/>
          <w:lang w:val="en-US" w:eastAsia="zh-CN"/>
        </w:rPr>
        <w:t>B</w:t>
      </w:r>
      <w:r>
        <w:rPr>
          <w:rFonts w:hint="eastAsia" w:ascii="Times New Roman" w:hAnsi="Times New Roman" w:eastAsia="宋体" w:cs="Times New Roman"/>
          <w:snapToGrid/>
          <w:kern w:val="2"/>
          <w:sz w:val="24"/>
          <w:szCs w:val="24"/>
          <w:lang w:val="en-US" w:eastAsia="zh-CN"/>
        </w:rPr>
        <w:t>评价。</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本项目废水主要为生产废水和生活污水，其中生产废水主要为屠宰过程产生的废水，包括</w:t>
      </w:r>
      <w:r>
        <w:rPr>
          <w:rFonts w:hint="eastAsia" w:ascii="Times New Roman" w:hAnsi="Times New Roman" w:eastAsia="宋体" w:cs="Times New Roman"/>
          <w:snapToGrid/>
          <w:kern w:val="2"/>
          <w:sz w:val="24"/>
          <w:szCs w:val="24"/>
          <w:highlight w:val="none"/>
          <w:lang w:val="en-US" w:eastAsia="zh-CN"/>
        </w:rPr>
        <w:t>待宰间冲洗</w:t>
      </w:r>
      <w:r>
        <w:rPr>
          <w:rFonts w:hint="eastAsia" w:ascii="Times New Roman" w:hAnsi="Times New Roman" w:eastAsia="宋体" w:cs="Times New Roman"/>
          <w:snapToGrid/>
          <w:kern w:val="2"/>
          <w:sz w:val="24"/>
          <w:szCs w:val="24"/>
          <w:lang w:val="en-US" w:eastAsia="zh-CN"/>
        </w:rPr>
        <w:t>、内脏洗涤及车间冲洗等过程产生的废水。本项目生活污水经化粪池处理后，与生产废水一起排入自建污水处理站处理，最终通过市政管网排入叶县县城污水处理厂，不直接进入地表水体，为间接排放建设项目。</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经判定，本项目地表水评价等级为三级</w:t>
      </w:r>
      <w:r>
        <w:rPr>
          <w:rFonts w:hint="default" w:ascii="Times New Roman" w:hAnsi="Times New Roman" w:eastAsia="宋体" w:cs="Times New Roman"/>
          <w:snapToGrid/>
          <w:kern w:val="2"/>
          <w:sz w:val="24"/>
          <w:szCs w:val="24"/>
          <w:lang w:val="en-US" w:eastAsia="zh-CN"/>
        </w:rPr>
        <w:t>B</w:t>
      </w:r>
      <w:r>
        <w:rPr>
          <w:rFonts w:hint="eastAsia" w:ascii="Times New Roman" w:hAnsi="Times New Roman" w:eastAsia="宋体" w:cs="Times New Roman"/>
          <w:snapToGrid/>
          <w:kern w:val="2"/>
          <w:sz w:val="24"/>
          <w:szCs w:val="24"/>
          <w:lang w:val="en-US" w:eastAsia="zh-CN"/>
        </w:rPr>
        <w:t>，因此，地表水评价主要内容为：①本项目水污染控制和水环境影响减缓措施的有效性；②依托污水处理设施的环境可行性。</w:t>
      </w:r>
    </w:p>
    <w:p>
      <w:pPr>
        <w:widowControl w:val="0"/>
        <w:kinsoku/>
        <w:autoSpaceDE/>
        <w:autoSpaceDN/>
        <w:adjustRightInd/>
        <w:snapToGrid/>
        <w:spacing w:line="360" w:lineRule="auto"/>
        <w:ind w:left="0" w:leftChars="0" w:firstLine="0" w:firstLineChars="0"/>
        <w:jc w:val="both"/>
        <w:textAlignment w:val="auto"/>
        <w:rPr>
          <w:rFonts w:hint="eastAsia" w:ascii="楷体" w:hAnsi="楷体" w:eastAsia="楷体" w:cs="楷体"/>
          <w:b/>
          <w:bCs/>
          <w:snapToGrid/>
          <w:kern w:val="2"/>
          <w:sz w:val="28"/>
          <w:szCs w:val="28"/>
          <w:lang w:eastAsia="zh-CN"/>
        </w:rPr>
      </w:pPr>
      <w:r>
        <w:rPr>
          <w:rFonts w:hint="eastAsia" w:ascii="楷体" w:hAnsi="楷体" w:eastAsia="楷体" w:cs="楷体"/>
          <w:b/>
          <w:bCs/>
          <w:snapToGrid/>
          <w:kern w:val="2"/>
          <w:sz w:val="28"/>
          <w:szCs w:val="28"/>
          <w:lang w:val="en-US" w:eastAsia="zh-CN"/>
        </w:rPr>
        <w:t>2.5.3</w:t>
      </w:r>
      <w:r>
        <w:rPr>
          <w:rFonts w:hint="eastAsia" w:ascii="楷体" w:hAnsi="楷体" w:eastAsia="楷体" w:cs="楷体"/>
          <w:b/>
          <w:bCs/>
          <w:snapToGrid/>
          <w:kern w:val="2"/>
          <w:sz w:val="28"/>
          <w:szCs w:val="28"/>
          <w:lang w:eastAsia="zh-CN"/>
        </w:rPr>
        <w:t>地下水</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 xml:space="preserve">①项目类别 </w:t>
      </w: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spacing w:val="-1"/>
          <w:kern w:val="2"/>
          <w:sz w:val="24"/>
          <w:szCs w:val="24"/>
          <w:lang w:eastAsia="zh-CN"/>
        </w:rPr>
      </w:pPr>
      <w:r>
        <w:rPr>
          <w:rFonts w:hint="eastAsia" w:ascii="Times New Roman" w:hAnsi="Times New Roman" w:eastAsia="宋体" w:cs="Times New Roman"/>
          <w:snapToGrid/>
          <w:kern w:val="2"/>
          <w:sz w:val="24"/>
          <w:szCs w:val="24"/>
          <w:lang w:val="en-US" w:eastAsia="zh-CN"/>
        </w:rPr>
        <w:t>根据《环境影响评价技术导则——地下水环境》（</w:t>
      </w:r>
      <w:r>
        <w:rPr>
          <w:rFonts w:hint="default" w:ascii="Times New Roman" w:hAnsi="Times New Roman" w:eastAsia="宋体" w:cs="Times New Roman"/>
          <w:snapToGrid/>
          <w:kern w:val="2"/>
          <w:sz w:val="24"/>
          <w:szCs w:val="24"/>
          <w:lang w:val="en-US" w:eastAsia="zh-CN"/>
        </w:rPr>
        <w:t>HJ610-2016</w:t>
      </w:r>
      <w:r>
        <w:rPr>
          <w:rFonts w:hint="eastAsia" w:ascii="Times New Roman" w:hAnsi="Times New Roman" w:eastAsia="宋体" w:cs="Times New Roman"/>
          <w:snapToGrid/>
          <w:kern w:val="2"/>
          <w:sz w:val="24"/>
          <w:szCs w:val="24"/>
          <w:lang w:val="en-US" w:eastAsia="zh-CN"/>
        </w:rPr>
        <w:t>）中有关环境影响评价工作等级划分级原则，并根据建设项目对地下水环境影响的程度，结合《建设项目环境影响评价分类管理名录》，将建设项目分为四类，Ⅰ类、Ⅱ类、Ⅲ类建设项目的地下水环境影响评价应执行该导则，Ⅳ类建设项目不开展地下水环境影响</w:t>
      </w:r>
      <w:r>
        <w:rPr>
          <w:rFonts w:ascii="宋体" w:hAnsi="宋体" w:eastAsia="宋体" w:cs="宋体"/>
          <w:snapToGrid/>
          <w:spacing w:val="-1"/>
          <w:kern w:val="2"/>
          <w:sz w:val="24"/>
          <w:szCs w:val="24"/>
          <w:lang w:eastAsia="zh-CN"/>
        </w:rPr>
        <w:t>价。</w:t>
      </w:r>
    </w:p>
    <w:p>
      <w:pPr>
        <w:widowControl w:val="0"/>
        <w:kinsoku/>
        <w:autoSpaceDE/>
        <w:autoSpaceDN/>
        <w:adjustRightInd/>
        <w:snapToGrid/>
        <w:spacing w:line="360" w:lineRule="auto"/>
        <w:ind w:firstLine="476" w:firstLineChars="200"/>
        <w:jc w:val="both"/>
        <w:textAlignment w:val="auto"/>
        <w:rPr>
          <w:rFonts w:hint="default" w:ascii="Times New Roman" w:hAnsi="Times New Roman" w:eastAsia="宋体" w:cs="Times New Roman"/>
          <w:snapToGrid/>
          <w:spacing w:val="-1"/>
          <w:kern w:val="2"/>
          <w:sz w:val="24"/>
          <w:szCs w:val="24"/>
          <w:lang w:eastAsia="zh-CN"/>
        </w:rPr>
      </w:pPr>
      <w:r>
        <w:rPr>
          <w:rFonts w:hint="default" w:ascii="Times New Roman" w:hAnsi="Times New Roman" w:eastAsia="宋体" w:cs="Times New Roman"/>
          <w:snapToGrid/>
          <w:spacing w:val="-1"/>
          <w:kern w:val="2"/>
          <w:sz w:val="24"/>
          <w:szCs w:val="24"/>
          <w:lang w:val="en-US" w:eastAsia="zh-CN"/>
        </w:rPr>
        <w:t>根据地下水环境影响评价行业分类表，本项目属于屠宰项目，查阅《环境影响评价技术导则  地下水环境》（HJ 610-2016）附录A中对建设项目的分类可知，本项目属于屠宰类中</w:t>
      </w:r>
      <w:r>
        <w:rPr>
          <w:rFonts w:hint="eastAsia" w:ascii="Times New Roman" w:hAnsi="Times New Roman" w:eastAsia="宋体" w:cs="Times New Roman"/>
          <w:snapToGrid/>
          <w:spacing w:val="-1"/>
          <w:kern w:val="2"/>
          <w:sz w:val="24"/>
          <w:szCs w:val="24"/>
          <w:lang w:val="en-US" w:eastAsia="zh-CN"/>
        </w:rPr>
        <w:t>“</w:t>
      </w:r>
      <w:r>
        <w:rPr>
          <w:rFonts w:hint="default" w:ascii="Times New Roman" w:hAnsi="Times New Roman" w:eastAsia="宋体" w:cs="Times New Roman"/>
          <w:snapToGrid/>
          <w:spacing w:val="-1"/>
          <w:kern w:val="2"/>
          <w:sz w:val="24"/>
          <w:szCs w:val="24"/>
          <w:lang w:val="en-US" w:eastAsia="zh-CN"/>
        </w:rPr>
        <w:t>屠宰生猪10万头、肉牛1万头、肉羊15万只、禽类1000万只及以上</w:t>
      </w:r>
      <w:r>
        <w:rPr>
          <w:rFonts w:hint="eastAsia" w:ascii="Times New Roman" w:hAnsi="Times New Roman" w:eastAsia="宋体" w:cs="Times New Roman"/>
          <w:snapToGrid/>
          <w:spacing w:val="-1"/>
          <w:kern w:val="2"/>
          <w:sz w:val="24"/>
          <w:szCs w:val="24"/>
          <w:lang w:val="en-US" w:eastAsia="zh-CN"/>
        </w:rPr>
        <w:t>”</w:t>
      </w:r>
      <w:r>
        <w:rPr>
          <w:rFonts w:hint="default" w:ascii="Times New Roman" w:hAnsi="Times New Roman" w:eastAsia="宋体" w:cs="Times New Roman"/>
          <w:snapToGrid/>
          <w:spacing w:val="-1"/>
          <w:kern w:val="2"/>
          <w:sz w:val="24"/>
          <w:szCs w:val="24"/>
          <w:lang w:val="en-US" w:eastAsia="zh-CN"/>
        </w:rPr>
        <w:t>，环评类别属于报告书，项目为Ⅲ类。</w:t>
      </w:r>
    </w:p>
    <w:p>
      <w:pPr>
        <w:widowControl w:val="0"/>
        <w:kinsoku/>
        <w:autoSpaceDE/>
        <w:autoSpaceDN/>
        <w:adjustRightInd/>
        <w:snapToGrid/>
        <w:spacing w:line="360" w:lineRule="auto"/>
        <w:ind w:firstLine="476" w:firstLineChars="200"/>
        <w:jc w:val="both"/>
        <w:textAlignment w:val="auto"/>
        <w:rPr>
          <w:rFonts w:hint="eastAsia" w:ascii="宋体" w:hAnsi="宋体" w:eastAsia="宋体" w:cs="宋体"/>
          <w:snapToGrid/>
          <w:spacing w:val="-1"/>
          <w:kern w:val="2"/>
          <w:sz w:val="24"/>
          <w:szCs w:val="24"/>
          <w:lang w:eastAsia="zh-CN"/>
        </w:rPr>
      </w:pPr>
      <w:r>
        <w:rPr>
          <w:rFonts w:hint="eastAsia" w:ascii="宋体" w:hAnsi="宋体" w:eastAsia="宋体" w:cs="宋体"/>
          <w:snapToGrid/>
          <w:spacing w:val="-1"/>
          <w:kern w:val="2"/>
          <w:sz w:val="24"/>
          <w:szCs w:val="24"/>
          <w:lang w:val="en-US" w:eastAsia="zh-CN"/>
        </w:rPr>
        <w:t>②评价等级判定</w:t>
      </w:r>
    </w:p>
    <w:p>
      <w:pPr>
        <w:widowControl w:val="0"/>
        <w:kinsoku/>
        <w:autoSpaceDE/>
        <w:autoSpaceDN/>
        <w:adjustRightInd/>
        <w:snapToGrid/>
        <w:spacing w:line="360" w:lineRule="auto"/>
        <w:ind w:firstLine="476" w:firstLineChars="200"/>
        <w:jc w:val="both"/>
        <w:textAlignment w:val="auto"/>
        <w:rPr>
          <w:rFonts w:hint="default" w:ascii="Times New Roman" w:hAnsi="Times New Roman" w:eastAsia="宋体" w:cs="Times New Roman"/>
          <w:snapToGrid/>
          <w:spacing w:val="-1"/>
          <w:kern w:val="2"/>
          <w:sz w:val="24"/>
          <w:szCs w:val="24"/>
          <w:lang w:eastAsia="zh-CN"/>
        </w:rPr>
      </w:pPr>
      <w:r>
        <w:rPr>
          <w:rFonts w:hint="default" w:ascii="Times New Roman" w:hAnsi="Times New Roman" w:eastAsia="宋体" w:cs="Times New Roman"/>
          <w:snapToGrid/>
          <w:spacing w:val="-1"/>
          <w:kern w:val="2"/>
          <w:sz w:val="24"/>
          <w:szCs w:val="24"/>
          <w:lang w:val="en-US" w:eastAsia="zh-CN"/>
        </w:rPr>
        <w:t>根据《环境影响评价技术导则 地下水环境》（HJ610-2016），建设项目的地下水环境敏感程度可分为敏感、较敏感、不敏感三类，分级原则见表2-1</w:t>
      </w:r>
      <w:r>
        <w:rPr>
          <w:rFonts w:hint="eastAsia" w:ascii="Times New Roman" w:hAnsi="Times New Roman" w:eastAsia="宋体" w:cs="Times New Roman"/>
          <w:snapToGrid/>
          <w:spacing w:val="-1"/>
          <w:kern w:val="2"/>
          <w:sz w:val="24"/>
          <w:szCs w:val="24"/>
          <w:lang w:val="en-US" w:eastAsia="zh-CN"/>
        </w:rPr>
        <w:t>5</w:t>
      </w:r>
      <w:r>
        <w:rPr>
          <w:rFonts w:hint="default" w:ascii="Times New Roman" w:hAnsi="Times New Roman" w:eastAsia="宋体" w:cs="Times New Roman"/>
          <w:snapToGrid/>
          <w:spacing w:val="-1"/>
          <w:kern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napToGrid/>
          <w:spacing w:val="-1"/>
          <w:kern w:val="2"/>
          <w:sz w:val="24"/>
          <w:szCs w:val="24"/>
          <w:lang w:eastAsia="zh-CN"/>
        </w:rPr>
      </w:pPr>
      <w:r>
        <w:rPr>
          <w:rFonts w:hint="default" w:ascii="Times New Roman" w:hAnsi="Times New Roman" w:eastAsia="宋体" w:cs="Times New Roman"/>
          <w:b/>
          <w:bCs/>
          <w:snapToGrid/>
          <w:spacing w:val="-1"/>
          <w:kern w:val="2"/>
          <w:sz w:val="24"/>
          <w:szCs w:val="24"/>
          <w:lang w:val="en-US" w:eastAsia="zh-CN"/>
        </w:rPr>
        <w:t>表2-1</w:t>
      </w:r>
      <w:r>
        <w:rPr>
          <w:rFonts w:hint="eastAsia" w:ascii="Times New Roman" w:hAnsi="Times New Roman" w:eastAsia="宋体" w:cs="Times New Roman"/>
          <w:b/>
          <w:bCs/>
          <w:snapToGrid/>
          <w:spacing w:val="-1"/>
          <w:kern w:val="2"/>
          <w:sz w:val="24"/>
          <w:szCs w:val="24"/>
          <w:lang w:val="en-US" w:eastAsia="zh-CN"/>
        </w:rPr>
        <w:t>5</w:t>
      </w:r>
      <w:r>
        <w:rPr>
          <w:rFonts w:hint="default" w:ascii="Times New Roman" w:hAnsi="Times New Roman" w:eastAsia="宋体" w:cs="Times New Roman"/>
          <w:b/>
          <w:bCs/>
          <w:snapToGrid/>
          <w:spacing w:val="-1"/>
          <w:kern w:val="2"/>
          <w:sz w:val="24"/>
          <w:szCs w:val="24"/>
          <w:lang w:val="en-US" w:eastAsia="zh-CN"/>
        </w:rPr>
        <w:t xml:space="preserve">    地下水敏感程度分级表</w:t>
      </w:r>
    </w:p>
    <w:tbl>
      <w:tblPr>
        <w:tblStyle w:val="21"/>
        <w:tblW w:w="90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79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eastAsia="zh-CN"/>
              </w:rPr>
              <w:t>敏感程度</w:t>
            </w:r>
          </w:p>
        </w:tc>
        <w:tc>
          <w:tcPr>
            <w:tcW w:w="7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eastAsia="zh-CN"/>
              </w:rPr>
              <w:t>敏感</w:t>
            </w:r>
          </w:p>
        </w:tc>
        <w:tc>
          <w:tcPr>
            <w:tcW w:w="7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 xml:space="preserve">集中式饮用水水源（包括已建成的在用、备用、应急水源，在建和规划的饮用水水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 xml:space="preserve">源）准保护区；除集中式饮用水水源以外的国家或地方政府设定的与地下水环境相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eastAsia="zh-CN"/>
              </w:rPr>
              <w:t>较敏感</w:t>
            </w:r>
          </w:p>
        </w:tc>
        <w:tc>
          <w:tcPr>
            <w:tcW w:w="7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 xml:space="preserve">集中式饮用水水源（包括已建成的在用、备用、应急水源，在建和规划的饮用水水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 xml:space="preserve">源）准保护区以外的补给径流区；为划定准保护区的集中水式饮用水水源，其保护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 xml:space="preserve">区以外的补给径流区；分散式饮用水水源地；特殊地下水资源（如矿泉水、温泉等）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保护区以外的分布区等其他未列入上述敏感分级的环境敏感区。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eastAsia="zh-CN"/>
              </w:rPr>
              <w:t>不敏感</w:t>
            </w:r>
          </w:p>
        </w:tc>
        <w:tc>
          <w:tcPr>
            <w:tcW w:w="7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上述地区之外的其它区域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napToGrid/>
                <w:kern w:val="2"/>
                <w:sz w:val="21"/>
                <w:szCs w:val="21"/>
                <w:vertAlign w:val="baseline"/>
                <w:lang w:eastAsia="zh-CN"/>
              </w:rPr>
            </w:pPr>
            <w:r>
              <w:rPr>
                <w:rFonts w:hint="default" w:ascii="Times New Roman" w:hAnsi="Times New Roman" w:eastAsia="宋体" w:cs="Times New Roman"/>
                <w:snapToGrid/>
                <w:kern w:val="2"/>
                <w:sz w:val="21"/>
                <w:szCs w:val="21"/>
                <w:vertAlign w:val="baseline"/>
                <w:lang w:val="en-US" w:eastAsia="zh-CN"/>
              </w:rPr>
              <w:t>注：a</w:t>
            </w:r>
            <w:r>
              <w:rPr>
                <w:rFonts w:hint="eastAsia" w:ascii="Times New Roman" w:hAnsi="Times New Roman" w:eastAsia="宋体" w:cs="Times New Roman"/>
                <w:snapToGrid/>
                <w:kern w:val="2"/>
                <w:sz w:val="21"/>
                <w:szCs w:val="21"/>
                <w:vertAlign w:val="baseline"/>
                <w:lang w:val="en-US" w:eastAsia="zh-CN"/>
              </w:rPr>
              <w:t>“</w:t>
            </w:r>
            <w:r>
              <w:rPr>
                <w:rFonts w:hint="default" w:ascii="Times New Roman" w:hAnsi="Times New Roman" w:eastAsia="宋体" w:cs="Times New Roman"/>
                <w:snapToGrid/>
                <w:kern w:val="2"/>
                <w:sz w:val="21"/>
                <w:szCs w:val="21"/>
                <w:vertAlign w:val="baseline"/>
                <w:lang w:val="en-US" w:eastAsia="zh-CN"/>
              </w:rPr>
              <w:t>环境敏感区</w:t>
            </w:r>
            <w:r>
              <w:rPr>
                <w:rFonts w:hint="eastAsia" w:ascii="Times New Roman" w:hAnsi="Times New Roman" w:eastAsia="宋体" w:cs="Times New Roman"/>
                <w:snapToGrid/>
                <w:kern w:val="2"/>
                <w:sz w:val="21"/>
                <w:szCs w:val="21"/>
                <w:vertAlign w:val="baseline"/>
                <w:lang w:val="en-US" w:eastAsia="zh-CN"/>
              </w:rPr>
              <w:t>”</w:t>
            </w:r>
            <w:r>
              <w:rPr>
                <w:rFonts w:hint="default" w:ascii="Times New Roman" w:hAnsi="Times New Roman" w:eastAsia="宋体" w:cs="Times New Roman"/>
                <w:snapToGrid/>
                <w:kern w:val="2"/>
                <w:sz w:val="21"/>
                <w:szCs w:val="21"/>
                <w:vertAlign w:val="baseline"/>
                <w:lang w:val="en-US" w:eastAsia="zh-CN"/>
              </w:rPr>
              <w:t>是指《建设项目环境影响评价分类管理名录》中所界定的设计地下水的环境敏感区</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480" w:firstLineChars="200"/>
        <w:jc w:val="both"/>
        <w:textAlignment w:val="auto"/>
        <w:rPr>
          <w:rFonts w:hint="default"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根据</w:t>
      </w:r>
      <w:r>
        <w:rPr>
          <w:rFonts w:hint="default" w:ascii="Times New Roman" w:hAnsi="Times New Roman" w:eastAsia="宋体" w:cs="Times New Roman"/>
          <w:snapToGrid/>
          <w:kern w:val="2"/>
          <w:sz w:val="24"/>
          <w:szCs w:val="24"/>
          <w:lang w:val="en-US" w:eastAsia="zh-CN"/>
        </w:rPr>
        <w:t>《河南省乡镇集中式饮用水水源保护区划的通知》（豫政办[2016]23号），</w:t>
      </w:r>
      <w:r>
        <w:rPr>
          <w:rFonts w:hint="eastAsia" w:ascii="Times New Roman" w:hAnsi="Times New Roman" w:eastAsia="宋体" w:cs="Times New Roman"/>
          <w:snapToGrid/>
          <w:kern w:val="2"/>
          <w:sz w:val="24"/>
          <w:szCs w:val="24"/>
          <w:lang w:val="en-US" w:eastAsia="zh-CN"/>
        </w:rPr>
        <w:t>马庄乡无</w:t>
      </w:r>
      <w:r>
        <w:rPr>
          <w:rFonts w:hint="default" w:ascii="Times New Roman" w:hAnsi="Times New Roman" w:eastAsia="宋体" w:cs="Times New Roman"/>
          <w:snapToGrid/>
          <w:kern w:val="2"/>
          <w:sz w:val="24"/>
          <w:szCs w:val="24"/>
          <w:lang w:val="en-US" w:eastAsia="zh-CN"/>
        </w:rPr>
        <w:t>乡镇集中式饮用水源，</w:t>
      </w:r>
      <w:r>
        <w:rPr>
          <w:rFonts w:hint="eastAsia" w:ascii="Times New Roman" w:hAnsi="Times New Roman" w:eastAsia="宋体" w:cs="Times New Roman"/>
          <w:snapToGrid/>
          <w:kern w:val="2"/>
          <w:sz w:val="24"/>
          <w:szCs w:val="24"/>
          <w:lang w:val="en-US" w:eastAsia="zh-CN"/>
        </w:rPr>
        <w:t>未</w:t>
      </w:r>
      <w:r>
        <w:rPr>
          <w:rFonts w:hint="default" w:ascii="Times New Roman" w:hAnsi="Times New Roman" w:eastAsia="宋体" w:cs="Times New Roman"/>
          <w:snapToGrid/>
          <w:kern w:val="2"/>
          <w:sz w:val="24"/>
          <w:szCs w:val="24"/>
          <w:lang w:val="en-US" w:eastAsia="zh-CN"/>
        </w:rPr>
        <w:t>划定乡镇集中式饮用水水源保护区。项目区位于</w:t>
      </w:r>
      <w:r>
        <w:rPr>
          <w:rFonts w:hint="eastAsia" w:ascii="Times New Roman" w:hAnsi="Times New Roman" w:eastAsia="宋体" w:cs="Times New Roman"/>
          <w:snapToGrid/>
          <w:kern w:val="2"/>
          <w:sz w:val="24"/>
          <w:szCs w:val="24"/>
          <w:lang w:val="en-US" w:eastAsia="zh-CN"/>
        </w:rPr>
        <w:t>叶县马庄乡张庄村</w:t>
      </w:r>
      <w:r>
        <w:rPr>
          <w:rFonts w:hint="default" w:ascii="Times New Roman" w:hAnsi="Times New Roman" w:eastAsia="宋体" w:cs="Times New Roman"/>
          <w:snapToGrid/>
          <w:kern w:val="2"/>
          <w:sz w:val="24"/>
          <w:szCs w:val="24"/>
          <w:lang w:val="en-US" w:eastAsia="zh-CN"/>
        </w:rPr>
        <w:t>，距离</w:t>
      </w:r>
      <w:r>
        <w:rPr>
          <w:rFonts w:hint="eastAsia" w:ascii="Times New Roman" w:hAnsi="Times New Roman" w:eastAsia="宋体" w:cs="Times New Roman"/>
          <w:snapToGrid/>
          <w:kern w:val="2"/>
          <w:sz w:val="24"/>
          <w:szCs w:val="24"/>
          <w:lang w:val="en-US" w:eastAsia="zh-CN"/>
        </w:rPr>
        <w:t>北侧最近的叶县</w:t>
      </w:r>
      <w:r>
        <w:rPr>
          <w:rFonts w:hint="default" w:ascii="Times New Roman" w:hAnsi="Times New Roman" w:eastAsia="宋体" w:cs="Times New Roman"/>
          <w:snapToGrid/>
          <w:kern w:val="2"/>
          <w:sz w:val="24"/>
          <w:szCs w:val="24"/>
          <w:lang w:val="en-US" w:eastAsia="zh-CN"/>
        </w:rPr>
        <w:t>集中式饮用水源保护区地下水饮用水源约</w:t>
      </w:r>
      <w:r>
        <w:rPr>
          <w:rFonts w:hint="default" w:ascii="Times New Roman" w:hAnsi="Times New Roman" w:eastAsia="宋体" w:cs="Times New Roman"/>
          <w:snapToGrid/>
          <w:kern w:val="2"/>
          <w:sz w:val="24"/>
          <w:szCs w:val="24"/>
          <w:highlight w:val="none"/>
          <w:lang w:val="en-US" w:eastAsia="zh-CN"/>
        </w:rPr>
        <w:t>2</w:t>
      </w:r>
      <w:r>
        <w:rPr>
          <w:rFonts w:hint="eastAsia" w:ascii="Times New Roman" w:hAnsi="Times New Roman" w:eastAsia="宋体" w:cs="Times New Roman"/>
          <w:snapToGrid/>
          <w:kern w:val="2"/>
          <w:sz w:val="24"/>
          <w:szCs w:val="24"/>
          <w:highlight w:val="none"/>
          <w:lang w:val="en-US" w:eastAsia="zh-CN"/>
        </w:rPr>
        <w:t>20</w:t>
      </w:r>
      <w:r>
        <w:rPr>
          <w:rFonts w:hint="default" w:ascii="Times New Roman" w:hAnsi="Times New Roman" w:eastAsia="宋体" w:cs="Times New Roman"/>
          <w:snapToGrid/>
          <w:kern w:val="2"/>
          <w:sz w:val="24"/>
          <w:szCs w:val="24"/>
          <w:highlight w:val="none"/>
          <w:lang w:val="en-US" w:eastAsia="zh-CN"/>
        </w:rPr>
        <w:t>0m</w:t>
      </w:r>
      <w:r>
        <w:rPr>
          <w:rFonts w:hint="eastAsia" w:ascii="Times New Roman" w:hAnsi="Times New Roman" w:eastAsia="宋体" w:cs="Times New Roman"/>
          <w:snapToGrid/>
          <w:kern w:val="2"/>
          <w:sz w:val="24"/>
          <w:szCs w:val="24"/>
          <w:lang w:val="en-US" w:eastAsia="zh-CN"/>
        </w:rPr>
        <w:t>。</w:t>
      </w:r>
    </w:p>
    <w:p>
      <w:pPr>
        <w:widowControl w:val="0"/>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kern w:val="2"/>
          <w:sz w:val="24"/>
          <w:szCs w:val="24"/>
          <w:lang w:eastAsia="zh-CN"/>
        </w:rPr>
      </w:pPr>
      <w:r>
        <w:rPr>
          <w:rFonts w:hint="default" w:ascii="Times New Roman" w:hAnsi="Times New Roman" w:eastAsia="宋体" w:cs="Times New Roman"/>
          <w:snapToGrid/>
          <w:kern w:val="2"/>
          <w:sz w:val="24"/>
          <w:szCs w:val="24"/>
          <w:lang w:val="en-US" w:eastAsia="zh-CN"/>
        </w:rPr>
        <w:t>本项目区域地势平坦，</w:t>
      </w:r>
      <w:r>
        <w:rPr>
          <w:rFonts w:hint="eastAsia" w:ascii="Times New Roman" w:hAnsi="Times New Roman" w:eastAsia="宋体" w:cs="Times New Roman"/>
          <w:snapToGrid/>
          <w:kern w:val="2"/>
          <w:sz w:val="24"/>
          <w:szCs w:val="24"/>
          <w:lang w:val="en-US" w:eastAsia="zh-CN"/>
        </w:rPr>
        <w:t>资料显示</w:t>
      </w:r>
      <w:r>
        <w:rPr>
          <w:rFonts w:hint="default" w:ascii="Times New Roman" w:hAnsi="Times New Roman" w:eastAsia="宋体" w:cs="Times New Roman"/>
          <w:snapToGrid/>
          <w:kern w:val="2"/>
          <w:sz w:val="24"/>
          <w:szCs w:val="24"/>
          <w:lang w:val="en-US" w:eastAsia="zh-CN"/>
        </w:rPr>
        <w:t>地下水流向为自西北到东南。经现场调查，</w:t>
      </w:r>
      <w:r>
        <w:rPr>
          <w:rFonts w:hint="eastAsia" w:ascii="Times New Roman" w:hAnsi="Times New Roman" w:eastAsia="宋体" w:cs="Times New Roman"/>
          <w:snapToGrid/>
          <w:kern w:val="2"/>
          <w:sz w:val="24"/>
          <w:szCs w:val="24"/>
          <w:lang w:val="en-US" w:eastAsia="zh-CN"/>
        </w:rPr>
        <w:t>马庄乡及</w:t>
      </w:r>
      <w:r>
        <w:rPr>
          <w:rFonts w:hint="default" w:ascii="Times New Roman" w:hAnsi="Times New Roman" w:eastAsia="宋体" w:cs="Times New Roman"/>
          <w:snapToGrid/>
          <w:kern w:val="2"/>
          <w:sz w:val="24"/>
          <w:szCs w:val="24"/>
          <w:lang w:val="en-US" w:eastAsia="zh-CN"/>
        </w:rPr>
        <w:t>本项目周边各村庄供水方式主要为</w:t>
      </w:r>
      <w:r>
        <w:rPr>
          <w:rFonts w:hint="eastAsia" w:ascii="Times New Roman" w:hAnsi="Times New Roman" w:eastAsia="宋体" w:cs="Times New Roman"/>
          <w:snapToGrid/>
          <w:kern w:val="2"/>
          <w:sz w:val="24"/>
          <w:szCs w:val="24"/>
          <w:lang w:val="en-US" w:eastAsia="zh-CN"/>
        </w:rPr>
        <w:t>城市自来水</w:t>
      </w:r>
      <w:r>
        <w:rPr>
          <w:rFonts w:hint="default" w:ascii="Times New Roman" w:hAnsi="Times New Roman" w:eastAsia="宋体" w:cs="Times New Roman"/>
          <w:snapToGrid/>
          <w:kern w:val="2"/>
          <w:sz w:val="24"/>
          <w:szCs w:val="24"/>
          <w:lang w:val="en-US" w:eastAsia="zh-CN"/>
        </w:rPr>
        <w:t>，但周边</w:t>
      </w:r>
      <w:r>
        <w:rPr>
          <w:rFonts w:hint="eastAsia" w:ascii="Times New Roman" w:hAnsi="Times New Roman" w:eastAsia="宋体" w:cs="Times New Roman"/>
          <w:snapToGrid/>
          <w:kern w:val="2"/>
          <w:sz w:val="24"/>
          <w:szCs w:val="24"/>
          <w:lang w:val="en-US" w:eastAsia="zh-CN"/>
        </w:rPr>
        <w:t>村庄</w:t>
      </w:r>
      <w:r>
        <w:rPr>
          <w:rFonts w:hint="default" w:ascii="Times New Roman" w:hAnsi="Times New Roman" w:eastAsia="宋体" w:cs="Times New Roman"/>
          <w:snapToGrid/>
          <w:kern w:val="2"/>
          <w:sz w:val="24"/>
          <w:szCs w:val="24"/>
          <w:lang w:val="en-US" w:eastAsia="zh-CN"/>
        </w:rPr>
        <w:t>部分</w:t>
      </w:r>
      <w:r>
        <w:rPr>
          <w:rFonts w:hint="eastAsia" w:ascii="Times New Roman" w:hAnsi="Times New Roman" w:eastAsia="宋体" w:cs="Times New Roman"/>
          <w:snapToGrid/>
          <w:kern w:val="2"/>
          <w:sz w:val="24"/>
          <w:szCs w:val="24"/>
          <w:lang w:val="en-US" w:eastAsia="zh-CN"/>
        </w:rPr>
        <w:t>农户</w:t>
      </w:r>
      <w:r>
        <w:rPr>
          <w:rFonts w:hint="default" w:ascii="Times New Roman" w:hAnsi="Times New Roman" w:eastAsia="宋体" w:cs="Times New Roman"/>
          <w:snapToGrid/>
          <w:kern w:val="2"/>
          <w:sz w:val="24"/>
          <w:szCs w:val="24"/>
          <w:lang w:val="en-US" w:eastAsia="zh-CN"/>
        </w:rPr>
        <w:t>有自备水井</w:t>
      </w:r>
      <w:r>
        <w:rPr>
          <w:rFonts w:hint="eastAsia" w:ascii="Times New Roman" w:hAnsi="Times New Roman" w:eastAsia="宋体" w:cs="Times New Roman"/>
          <w:snapToGrid/>
          <w:kern w:val="2"/>
          <w:sz w:val="24"/>
          <w:szCs w:val="24"/>
          <w:lang w:val="en-US" w:eastAsia="zh-CN"/>
        </w:rPr>
        <w:t>，主要用于农田灌溉，少量用于日常生活饮用</w:t>
      </w:r>
      <w:r>
        <w:rPr>
          <w:rFonts w:hint="default" w:ascii="Times New Roman" w:hAnsi="Times New Roman" w:eastAsia="宋体" w:cs="Times New Roman"/>
          <w:snapToGrid/>
          <w:kern w:val="2"/>
          <w:sz w:val="24"/>
          <w:szCs w:val="24"/>
          <w:lang w:val="en-US" w:eastAsia="zh-CN"/>
        </w:rPr>
        <w:t>。根据地下水敏感程度分级表本项目所在区域地下水敏感程度</w:t>
      </w:r>
      <w:r>
        <w:rPr>
          <w:rFonts w:hint="eastAsia" w:ascii="Times New Roman" w:hAnsi="Times New Roman" w:eastAsia="宋体" w:cs="Times New Roman"/>
          <w:snapToGrid/>
          <w:kern w:val="2"/>
          <w:sz w:val="24"/>
          <w:szCs w:val="24"/>
          <w:lang w:val="en-US" w:eastAsia="zh-CN"/>
        </w:rPr>
        <w:t>应</w:t>
      </w:r>
      <w:r>
        <w:rPr>
          <w:rFonts w:hint="default" w:ascii="Times New Roman" w:hAnsi="Times New Roman" w:eastAsia="宋体" w:cs="Times New Roman"/>
          <w:snapToGrid/>
          <w:kern w:val="2"/>
          <w:sz w:val="24"/>
          <w:szCs w:val="24"/>
          <w:lang w:val="en-US" w:eastAsia="zh-CN"/>
        </w:rPr>
        <w:t>为较敏感。</w:t>
      </w:r>
    </w:p>
    <w:p>
      <w:pPr>
        <w:widowControl w:val="0"/>
        <w:kinsoku/>
        <w:autoSpaceDE/>
        <w:autoSpaceDN/>
        <w:adjustRightInd/>
        <w:snapToGrid/>
        <w:spacing w:line="360" w:lineRule="auto"/>
        <w:ind w:left="0" w:leftChars="0" w:firstLine="480" w:firstLineChars="200"/>
        <w:jc w:val="both"/>
        <w:textAlignment w:val="auto"/>
        <w:rPr>
          <w:rFonts w:hint="eastAsia" w:ascii="宋体" w:hAnsi="宋体" w:eastAsia="宋体" w:cs="宋体"/>
          <w:snapToGrid/>
          <w:kern w:val="2"/>
          <w:sz w:val="24"/>
          <w:szCs w:val="24"/>
          <w:lang w:eastAsia="zh-CN"/>
        </w:rPr>
      </w:pPr>
      <w:r>
        <w:rPr>
          <w:rFonts w:hint="eastAsia" w:ascii="宋体" w:hAnsi="宋体" w:eastAsia="宋体" w:cs="宋体"/>
          <w:snapToGrid/>
          <w:kern w:val="2"/>
          <w:sz w:val="24"/>
          <w:szCs w:val="24"/>
          <w:lang w:val="en-US" w:eastAsia="zh-CN"/>
        </w:rPr>
        <w:t>建设项目地下水环境影响评价工作等级划分情况见表</w:t>
      </w:r>
      <w:r>
        <w:rPr>
          <w:rFonts w:hint="default" w:ascii="Times New Roman" w:hAnsi="Times New Roman" w:eastAsia="宋体" w:cs="Times New Roman"/>
          <w:snapToGrid/>
          <w:kern w:val="2"/>
          <w:sz w:val="24"/>
          <w:szCs w:val="24"/>
          <w:lang w:val="en-US" w:eastAsia="zh-CN"/>
        </w:rPr>
        <w:t>2-1</w:t>
      </w:r>
      <w:r>
        <w:rPr>
          <w:rFonts w:hint="eastAsia" w:ascii="Times New Roman" w:hAnsi="Times New Roman" w:eastAsia="宋体" w:cs="Times New Roman"/>
          <w:snapToGrid/>
          <w:kern w:val="2"/>
          <w:sz w:val="24"/>
          <w:szCs w:val="24"/>
          <w:lang w:val="en-US" w:eastAsia="zh-CN"/>
        </w:rPr>
        <w:t>6</w:t>
      </w:r>
      <w:r>
        <w:rPr>
          <w:rFonts w:hint="eastAsia" w:ascii="宋体" w:hAnsi="宋体" w:eastAsia="宋体" w:cs="宋体"/>
          <w:snapToGrid/>
          <w:kern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snapToGrid/>
          <w:kern w:val="2"/>
          <w:sz w:val="24"/>
          <w:szCs w:val="24"/>
          <w:lang w:eastAsia="zh-CN"/>
        </w:rPr>
      </w:pPr>
      <w:r>
        <w:rPr>
          <w:rFonts w:hint="eastAsia" w:ascii="宋体" w:hAnsi="宋体" w:eastAsia="宋体" w:cs="宋体"/>
          <w:b/>
          <w:bCs/>
          <w:snapToGrid/>
          <w:kern w:val="2"/>
          <w:sz w:val="24"/>
          <w:szCs w:val="24"/>
          <w:lang w:val="en-US" w:eastAsia="zh-CN"/>
        </w:rPr>
        <w:t>表</w:t>
      </w:r>
      <w:r>
        <w:rPr>
          <w:rFonts w:hint="default" w:ascii="Times New Roman" w:hAnsi="Times New Roman" w:eastAsia="宋体" w:cs="Times New Roman"/>
          <w:b/>
          <w:bCs/>
          <w:snapToGrid/>
          <w:kern w:val="2"/>
          <w:sz w:val="24"/>
          <w:szCs w:val="24"/>
          <w:lang w:val="en-US" w:eastAsia="zh-CN"/>
        </w:rPr>
        <w:t>2-1</w:t>
      </w:r>
      <w:r>
        <w:rPr>
          <w:rFonts w:hint="eastAsia" w:ascii="Times New Roman" w:hAnsi="Times New Roman" w:eastAsia="宋体" w:cs="Times New Roman"/>
          <w:b/>
          <w:bCs/>
          <w:snapToGrid/>
          <w:kern w:val="2"/>
          <w:sz w:val="24"/>
          <w:szCs w:val="24"/>
          <w:lang w:val="en-US" w:eastAsia="zh-CN"/>
        </w:rPr>
        <w:t>6</w:t>
      </w:r>
      <w:r>
        <w:rPr>
          <w:rFonts w:hint="eastAsia" w:ascii="宋体" w:hAnsi="宋体" w:eastAsia="宋体" w:cs="宋体"/>
          <w:b/>
          <w:bCs/>
          <w:snapToGrid/>
          <w:kern w:val="2"/>
          <w:sz w:val="24"/>
          <w:szCs w:val="24"/>
          <w:lang w:val="en-US" w:eastAsia="zh-CN"/>
        </w:rPr>
        <w:t xml:space="preserve">  本项目地下水环境影响评价工作等级划分一览表</w:t>
      </w:r>
    </w:p>
    <w:tbl>
      <w:tblPr>
        <w:tblStyle w:val="24"/>
        <w:tblW w:w="9288"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2417"/>
        <w:gridCol w:w="1981"/>
        <w:gridCol w:w="2437"/>
        <w:gridCol w:w="24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97" w:hRule="atLeast"/>
        </w:trPr>
        <w:tc>
          <w:tcPr>
            <w:tcW w:w="2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right"/>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项目类别</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8"/>
                <w:kern w:val="2"/>
                <w:sz w:val="21"/>
                <w:szCs w:val="21"/>
                <w:lang w:eastAsia="zh-CN"/>
              </w:rPr>
              <w:t>环境敏感程度</w:t>
            </w:r>
          </w:p>
        </w:tc>
        <w:tc>
          <w:tcPr>
            <w:tcW w:w="19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6"/>
                <w:kern w:val="2"/>
                <w:sz w:val="21"/>
                <w:szCs w:val="21"/>
                <w:lang w:val="en-US" w:eastAsia="en-US" w:bidi="ar-SA"/>
              </w:rPr>
              <w:t>Ⅰ</w:t>
            </w:r>
            <w:r>
              <w:rPr>
                <w:rFonts w:hint="default" w:ascii="Times New Roman" w:hAnsi="Times New Roman" w:eastAsia="宋体" w:cs="Times New Roman"/>
                <w:spacing w:val="6"/>
                <w:kern w:val="2"/>
                <w:sz w:val="21"/>
                <w:szCs w:val="21"/>
                <w:lang w:val="en-US" w:eastAsia="en-US" w:bidi="ar-SA"/>
              </w:rPr>
              <w:t>类项目</w:t>
            </w:r>
          </w:p>
        </w:tc>
        <w:tc>
          <w:tcPr>
            <w:tcW w:w="24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7"/>
                <w:kern w:val="2"/>
                <w:sz w:val="21"/>
                <w:szCs w:val="21"/>
                <w:lang w:val="en-US" w:eastAsia="en-US" w:bidi="ar-SA"/>
              </w:rPr>
              <w:t>Ⅱ</w:t>
            </w:r>
            <w:r>
              <w:rPr>
                <w:rFonts w:hint="default" w:ascii="Times New Roman" w:hAnsi="Times New Roman" w:eastAsia="宋体" w:cs="Times New Roman"/>
                <w:spacing w:val="7"/>
                <w:kern w:val="2"/>
                <w:sz w:val="21"/>
                <w:szCs w:val="21"/>
                <w:lang w:val="en-US" w:eastAsia="en-US" w:bidi="ar-SA"/>
              </w:rPr>
              <w:t>类项目</w:t>
            </w:r>
          </w:p>
        </w:tc>
        <w:tc>
          <w:tcPr>
            <w:tcW w:w="245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8"/>
                <w:kern w:val="2"/>
                <w:sz w:val="21"/>
                <w:szCs w:val="21"/>
                <w:lang w:val="en-US" w:eastAsia="en-US" w:bidi="ar-SA"/>
              </w:rPr>
              <w:t>Ⅲ</w:t>
            </w:r>
            <w:r>
              <w:rPr>
                <w:rFonts w:hint="default" w:ascii="Times New Roman" w:hAnsi="Times New Roman" w:eastAsia="宋体" w:cs="Times New Roman"/>
                <w:spacing w:val="8"/>
                <w:kern w:val="2"/>
                <w:sz w:val="21"/>
                <w:szCs w:val="21"/>
                <w:lang w:val="en-US" w:eastAsia="en-US" w:bidi="ar-SA"/>
              </w:rPr>
              <w:t>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2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4"/>
                <w:kern w:val="2"/>
                <w:sz w:val="21"/>
                <w:szCs w:val="21"/>
                <w:lang w:eastAsia="zh-CN"/>
              </w:rPr>
              <w:t>敏感</w:t>
            </w:r>
          </w:p>
        </w:tc>
        <w:tc>
          <w:tcPr>
            <w:tcW w:w="19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position w:val="-4"/>
                <w:sz w:val="21"/>
                <w:szCs w:val="21"/>
                <w:lang w:eastAsia="zh-CN"/>
              </w:rPr>
              <w:t>一</w:t>
            </w:r>
          </w:p>
        </w:tc>
        <w:tc>
          <w:tcPr>
            <w:tcW w:w="24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position w:val="-4"/>
                <w:sz w:val="21"/>
                <w:szCs w:val="21"/>
                <w:lang w:eastAsia="zh-CN"/>
              </w:rPr>
              <w:t>一</w:t>
            </w:r>
          </w:p>
        </w:tc>
        <w:tc>
          <w:tcPr>
            <w:tcW w:w="245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2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6"/>
                <w:kern w:val="2"/>
                <w:sz w:val="21"/>
                <w:szCs w:val="21"/>
                <w:lang w:eastAsia="zh-CN"/>
              </w:rPr>
              <w:t>较敏感</w:t>
            </w:r>
          </w:p>
        </w:tc>
        <w:tc>
          <w:tcPr>
            <w:tcW w:w="19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position w:val="-4"/>
                <w:sz w:val="21"/>
                <w:szCs w:val="21"/>
                <w:lang w:eastAsia="zh-CN"/>
              </w:rPr>
              <w:t>一</w:t>
            </w:r>
          </w:p>
        </w:tc>
        <w:tc>
          <w:tcPr>
            <w:tcW w:w="24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二</w:t>
            </w:r>
          </w:p>
        </w:tc>
        <w:tc>
          <w:tcPr>
            <w:tcW w:w="2453" w:type="dxa"/>
            <w:tcBorders>
              <w:tl2br w:val="nil"/>
              <w:tr2bl w:val="nil"/>
            </w:tcBorders>
            <w:shd w:val="clear" w:color="auto" w:fill="5B9BD5"/>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2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spacing w:val="5"/>
                <w:kern w:val="2"/>
                <w:sz w:val="21"/>
                <w:szCs w:val="21"/>
                <w:lang w:eastAsia="zh-CN"/>
              </w:rPr>
              <w:t>不敏感</w:t>
            </w:r>
          </w:p>
        </w:tc>
        <w:tc>
          <w:tcPr>
            <w:tcW w:w="19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二</w:t>
            </w:r>
          </w:p>
        </w:tc>
        <w:tc>
          <w:tcPr>
            <w:tcW w:w="24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三</w:t>
            </w:r>
          </w:p>
        </w:tc>
        <w:tc>
          <w:tcPr>
            <w:tcW w:w="245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三</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480" w:firstLineChars="200"/>
        <w:jc w:val="both"/>
        <w:textAlignment w:val="auto"/>
        <w:rPr>
          <w:rFonts w:hint="eastAsia" w:ascii="宋体" w:hAnsi="宋体" w:eastAsia="宋体" w:cs="宋体"/>
          <w:snapToGrid/>
          <w:kern w:val="2"/>
          <w:sz w:val="24"/>
          <w:szCs w:val="24"/>
          <w:lang w:eastAsia="zh-CN"/>
        </w:rPr>
      </w:pPr>
      <w:r>
        <w:rPr>
          <w:rFonts w:hint="eastAsia" w:ascii="宋体" w:hAnsi="宋体" w:eastAsia="宋体" w:cs="宋体"/>
          <w:snapToGrid/>
          <w:kern w:val="2"/>
          <w:sz w:val="24"/>
          <w:szCs w:val="24"/>
          <w:lang w:val="en-US" w:eastAsia="zh-CN"/>
        </w:rPr>
        <w:t>综上分析，本项目地下水评价工作等级确定为三级。</w:t>
      </w:r>
    </w:p>
    <w:p>
      <w:pPr>
        <w:keepNext w:val="0"/>
        <w:keepLines w:val="0"/>
        <w:widowControl w:val="0"/>
        <w:autoSpaceDE w:val="0"/>
        <w:autoSpaceDN w:val="0"/>
        <w:spacing w:line="360" w:lineRule="auto"/>
        <w:ind w:left="0" w:leftChars="0" w:firstLine="0" w:firstLineChars="0"/>
        <w:jc w:val="both"/>
        <w:outlineLvl w:val="9"/>
        <w:rPr>
          <w:rFonts w:ascii="Times New Roman" w:hAnsi="Times New Roman" w:eastAsia="宋体" w:cs="Times New Roman"/>
          <w:b/>
          <w:kern w:val="2"/>
          <w:sz w:val="28"/>
          <w:szCs w:val="24"/>
          <w:lang w:val="en-US" w:eastAsia="zh-CN" w:bidi="ar-SA"/>
        </w:rPr>
      </w:pPr>
      <w:r>
        <w:rPr>
          <w:rFonts w:hint="eastAsia" w:ascii="Times New Roman" w:hAnsi="Times New Roman" w:eastAsia="宋体" w:cs="Times New Roman"/>
          <w:b/>
          <w:kern w:val="2"/>
          <w:sz w:val="28"/>
          <w:szCs w:val="24"/>
          <w:lang w:val="en-US" w:eastAsia="zh-CN" w:bidi="ar-SA"/>
        </w:rPr>
        <w:t>2.5.4 声环境</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b w:val="0"/>
          <w:bCs/>
          <w:kern w:val="2"/>
          <w:sz w:val="24"/>
          <w:szCs w:val="22"/>
          <w:lang w:val="en-US" w:eastAsia="zh-CN" w:bidi="ar-SA"/>
        </w:rPr>
      </w:pPr>
      <w:r>
        <w:rPr>
          <w:rFonts w:hint="eastAsia" w:ascii="Times New Roman" w:hAnsi="Times New Roman" w:eastAsia="宋体" w:cs="Times New Roman"/>
          <w:b w:val="0"/>
          <w:bCs/>
          <w:kern w:val="2"/>
          <w:sz w:val="24"/>
          <w:szCs w:val="22"/>
          <w:lang w:val="en-US" w:eastAsia="zh-CN" w:bidi="ar-SA"/>
        </w:rPr>
        <w:t>项目场址所处的声环境功能区为GB3096－2008中的2类功能区。根据本项目特点，结合厂址周围环境概况，按照《环境影响评价技术导则 声环境》（HJ2.4-2021）要求“建设项目所处的声环境功能区为GB3096规定的1类、2类地区，或建设项目建设前后评价范围内声环境保护目标噪声级增量达3dB（A）～5dB（A），或受噪声影响人口数量增加较多时，按二级评价。”营运期噪声源主要来自屠宰间机械设备运行产生的设备噪声及牛叫声，工程建设前后，噪声级增加量不大，根据《环境影响评价技术导则 声环境》（HJ2.4-2021），声环境影响评价等级为二级。</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b w:val="0"/>
          <w:bCs/>
          <w:kern w:val="2"/>
          <w:sz w:val="24"/>
          <w:szCs w:val="22"/>
          <w:lang w:val="en-US" w:eastAsia="zh-CN" w:bidi="ar-SA"/>
        </w:rPr>
      </w:pPr>
      <w:r>
        <w:rPr>
          <w:rFonts w:hint="eastAsia" w:ascii="Times New Roman" w:hAnsi="Times New Roman" w:eastAsia="宋体" w:cs="Times New Roman"/>
          <w:b w:val="0"/>
          <w:bCs/>
          <w:kern w:val="2"/>
          <w:sz w:val="24"/>
          <w:szCs w:val="22"/>
          <w:lang w:val="en-US" w:eastAsia="zh-CN" w:bidi="ar-SA"/>
        </w:rPr>
        <w:t>本项目声环境评价等级划分详见表2-17。</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eastAsia="宋体" w:cs="Times New Roman"/>
          <w:b/>
          <w:bCs w:val="0"/>
          <w:kern w:val="2"/>
          <w:sz w:val="24"/>
          <w:szCs w:val="22"/>
          <w:lang w:val="en-US" w:eastAsia="zh-CN" w:bidi="ar-SA"/>
        </w:rPr>
        <w:t>表2-17    声环境评价等级划分表</w:t>
      </w:r>
    </w:p>
    <w:tbl>
      <w:tblPr>
        <w:tblStyle w:val="21"/>
        <w:tblW w:w="90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09"/>
        <w:gridCol w:w="4030"/>
        <w:gridCol w:w="2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66" w:name="_Toc30479"/>
            <w:r>
              <w:rPr>
                <w:rFonts w:hint="eastAsia" w:ascii="Times New Roman" w:hAnsi="Times New Roman" w:eastAsia="宋体" w:cs="Times New Roman"/>
                <w:b w:val="0"/>
                <w:bCs/>
                <w:kern w:val="2"/>
                <w:sz w:val="21"/>
                <w:szCs w:val="21"/>
                <w:vertAlign w:val="baseline"/>
                <w:lang w:val="en-US" w:eastAsia="zh-CN" w:bidi="ar-SA"/>
              </w:rPr>
              <w:t>评价类比</w:t>
            </w:r>
            <w:bookmarkEnd w:id="66"/>
          </w:p>
        </w:tc>
        <w:tc>
          <w:tcPr>
            <w:tcW w:w="4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67" w:name="_Toc23402"/>
            <w:r>
              <w:rPr>
                <w:rFonts w:hint="eastAsia" w:ascii="Times New Roman" w:hAnsi="Times New Roman" w:eastAsia="宋体" w:cs="Times New Roman"/>
                <w:b w:val="0"/>
                <w:bCs/>
                <w:kern w:val="2"/>
                <w:sz w:val="21"/>
                <w:szCs w:val="21"/>
                <w:vertAlign w:val="baseline"/>
                <w:lang w:val="en-US" w:eastAsia="zh-CN" w:bidi="ar-SA"/>
              </w:rPr>
              <w:t>指标</w:t>
            </w:r>
            <w:bookmarkEnd w:id="67"/>
          </w:p>
        </w:tc>
        <w:tc>
          <w:tcPr>
            <w:tcW w:w="24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68" w:name="_Toc25620"/>
            <w:r>
              <w:rPr>
                <w:rFonts w:hint="eastAsia" w:ascii="Times New Roman" w:hAnsi="Times New Roman" w:eastAsia="宋体" w:cs="Times New Roman"/>
                <w:b w:val="0"/>
                <w:bCs/>
                <w:kern w:val="2"/>
                <w:sz w:val="21"/>
                <w:szCs w:val="21"/>
                <w:vertAlign w:val="baseline"/>
                <w:lang w:val="en-US" w:eastAsia="zh-CN" w:bidi="ar-SA"/>
              </w:rPr>
              <w:t>评价等级</w:t>
            </w:r>
            <w:bookmarkEnd w:id="6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69" w:name="_Toc28379"/>
            <w:r>
              <w:rPr>
                <w:rFonts w:hint="eastAsia" w:ascii="Times New Roman" w:hAnsi="Times New Roman" w:eastAsia="宋体" w:cs="Times New Roman"/>
                <w:b w:val="0"/>
                <w:bCs/>
                <w:kern w:val="2"/>
                <w:sz w:val="21"/>
                <w:szCs w:val="21"/>
                <w:vertAlign w:val="baseline"/>
                <w:lang w:val="en-US" w:eastAsia="zh-CN" w:bidi="ar-SA"/>
              </w:rPr>
              <w:t>所在区域环境功能区划</w:t>
            </w:r>
            <w:bookmarkEnd w:id="69"/>
          </w:p>
        </w:tc>
        <w:tc>
          <w:tcPr>
            <w:tcW w:w="4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70" w:name="_Toc20067"/>
            <w:r>
              <w:rPr>
                <w:rFonts w:hint="eastAsia" w:ascii="Times New Roman" w:hAnsi="Times New Roman" w:eastAsia="宋体" w:cs="Times New Roman"/>
                <w:b w:val="0"/>
                <w:bCs/>
                <w:kern w:val="2"/>
                <w:sz w:val="21"/>
                <w:szCs w:val="21"/>
                <w:vertAlign w:val="baseline"/>
                <w:lang w:val="en-US" w:eastAsia="zh-CN" w:bidi="ar-SA"/>
              </w:rPr>
              <w:t>2类声环境功能区</w:t>
            </w:r>
            <w:bookmarkEnd w:id="70"/>
          </w:p>
        </w:tc>
        <w:tc>
          <w:tcPr>
            <w:tcW w:w="243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71" w:name="_Toc9633"/>
            <w:r>
              <w:rPr>
                <w:rFonts w:hint="eastAsia" w:ascii="Times New Roman" w:hAnsi="Times New Roman" w:eastAsia="宋体" w:cs="Times New Roman"/>
                <w:b w:val="0"/>
                <w:bCs/>
                <w:kern w:val="2"/>
                <w:sz w:val="21"/>
                <w:szCs w:val="21"/>
                <w:vertAlign w:val="baseline"/>
                <w:lang w:val="en-US" w:eastAsia="zh-CN" w:bidi="ar-SA"/>
              </w:rPr>
              <w:t>二级</w:t>
            </w:r>
            <w:bookmarkEnd w:id="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72" w:name="_Toc7705"/>
            <w:r>
              <w:rPr>
                <w:rFonts w:hint="eastAsia" w:ascii="Times New Roman" w:hAnsi="Times New Roman" w:eastAsia="宋体" w:cs="Times New Roman"/>
                <w:b w:val="0"/>
                <w:bCs/>
                <w:kern w:val="2"/>
                <w:sz w:val="21"/>
                <w:szCs w:val="21"/>
                <w:vertAlign w:val="baseline"/>
                <w:lang w:val="en-US" w:eastAsia="zh-CN" w:bidi="ar-SA"/>
              </w:rPr>
              <w:t>噪声级变化</w:t>
            </w:r>
            <w:bookmarkEnd w:id="72"/>
          </w:p>
        </w:tc>
        <w:tc>
          <w:tcPr>
            <w:tcW w:w="4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73" w:name="_Toc23303"/>
            <w:r>
              <w:rPr>
                <w:rFonts w:hint="eastAsia" w:ascii="Times New Roman" w:hAnsi="Times New Roman" w:eastAsia="宋体" w:cs="Times New Roman"/>
                <w:b w:val="0"/>
                <w:bCs/>
                <w:kern w:val="2"/>
                <w:sz w:val="21"/>
                <w:szCs w:val="21"/>
                <w:vertAlign w:val="baseline"/>
                <w:lang w:val="en-US" w:eastAsia="zh-CN" w:bidi="ar-SA"/>
              </w:rPr>
              <w:t>建设项目建设前后评价范围内敏感目标噪声级增高量值小于3dB（A）</w:t>
            </w:r>
            <w:bookmarkEnd w:id="73"/>
          </w:p>
        </w:tc>
        <w:tc>
          <w:tcPr>
            <w:tcW w:w="243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74" w:name="_Toc3691"/>
            <w:r>
              <w:rPr>
                <w:rFonts w:hint="eastAsia" w:ascii="Times New Roman" w:hAnsi="Times New Roman" w:eastAsia="宋体" w:cs="Times New Roman"/>
                <w:b w:val="0"/>
                <w:bCs/>
                <w:kern w:val="2"/>
                <w:sz w:val="21"/>
                <w:szCs w:val="21"/>
                <w:vertAlign w:val="baseline"/>
                <w:lang w:val="en-US" w:eastAsia="zh-CN" w:bidi="ar-SA"/>
              </w:rPr>
              <w:t>受影响人口</w:t>
            </w:r>
            <w:bookmarkEnd w:id="74"/>
          </w:p>
        </w:tc>
        <w:tc>
          <w:tcPr>
            <w:tcW w:w="4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bookmarkStart w:id="75" w:name="_Toc24099"/>
            <w:r>
              <w:rPr>
                <w:rFonts w:hint="eastAsia" w:ascii="Times New Roman" w:hAnsi="Times New Roman" w:eastAsia="宋体" w:cs="Times New Roman"/>
                <w:b w:val="0"/>
                <w:bCs/>
                <w:kern w:val="2"/>
                <w:sz w:val="21"/>
                <w:szCs w:val="21"/>
                <w:vertAlign w:val="baseline"/>
                <w:lang w:val="en-US" w:eastAsia="zh-CN" w:bidi="ar-SA"/>
              </w:rPr>
              <w:t>受噪声影响人口数量变化不大</w:t>
            </w:r>
            <w:bookmarkEnd w:id="75"/>
          </w:p>
        </w:tc>
        <w:tc>
          <w:tcPr>
            <w:tcW w:w="243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eastAsia" w:ascii="Times New Roman" w:hAnsi="Times New Roman" w:eastAsia="宋体" w:cs="Times New Roman"/>
                <w:b w:val="0"/>
                <w:bCs/>
                <w:kern w:val="2"/>
                <w:sz w:val="21"/>
                <w:szCs w:val="21"/>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jc w:val="both"/>
        <w:textAlignment w:val="auto"/>
        <w:rPr>
          <w:rFonts w:hint="eastAsia" w:ascii="楷体" w:hAnsi="楷体" w:eastAsia="楷体" w:cs="楷体"/>
          <w:snapToGrid/>
          <w:kern w:val="2"/>
          <w:sz w:val="28"/>
          <w:szCs w:val="28"/>
          <w:lang w:eastAsia="zh-CN"/>
        </w:rPr>
      </w:pPr>
      <w:r>
        <w:rPr>
          <w:rFonts w:hint="eastAsia" w:ascii="楷体" w:hAnsi="楷体" w:eastAsia="楷体" w:cs="楷体"/>
          <w:snapToGrid/>
          <w:kern w:val="2"/>
          <w:sz w:val="28"/>
          <w:szCs w:val="28"/>
          <w:lang w:eastAsia="zh-CN"/>
        </w:rPr>
        <w:t>2.5.5生态环境</w:t>
      </w:r>
    </w:p>
    <w:p>
      <w:pPr>
        <w:keepNext w:val="0"/>
        <w:keepLines w:val="0"/>
        <w:pageBreakBefore w:val="0"/>
        <w:widowControl w:val="0"/>
        <w:kinsoku/>
        <w:wordWrap/>
        <w:overflowPunct/>
        <w:topLinePunct w:val="0"/>
        <w:autoSpaceDE/>
        <w:autoSpaceDN/>
        <w:bidi w:val="0"/>
        <w:adjustRightInd/>
        <w:snapToGrid/>
        <w:spacing w:line="360" w:lineRule="auto"/>
        <w:ind w:left="11" w:firstLine="472" w:firstLineChars="200"/>
        <w:jc w:val="both"/>
        <w:textAlignment w:val="auto"/>
        <w:rPr>
          <w:rFonts w:ascii="宋体" w:hAnsi="宋体" w:eastAsia="宋体" w:cs="宋体"/>
          <w:snapToGrid/>
          <w:kern w:val="2"/>
          <w:sz w:val="24"/>
          <w:szCs w:val="24"/>
          <w:lang w:eastAsia="zh-CN"/>
        </w:rPr>
      </w:pPr>
      <w:r>
        <w:rPr>
          <w:rFonts w:ascii="宋体" w:hAnsi="宋体" w:eastAsia="宋体" w:cs="宋体"/>
          <w:snapToGrid/>
          <w:spacing w:val="-2"/>
          <w:kern w:val="2"/>
          <w:sz w:val="24"/>
          <w:szCs w:val="24"/>
          <w:lang w:eastAsia="zh-CN"/>
        </w:rPr>
        <w:t>项目位于</w:t>
      </w:r>
      <w:r>
        <w:rPr>
          <w:rFonts w:hint="eastAsia" w:ascii="宋体" w:hAnsi="宋体" w:eastAsia="宋体" w:cs="宋体"/>
          <w:snapToGrid/>
          <w:spacing w:val="-2"/>
          <w:kern w:val="2"/>
          <w:sz w:val="24"/>
          <w:szCs w:val="24"/>
          <w:lang w:val="en-US" w:eastAsia="zh-CN"/>
        </w:rPr>
        <w:t>叶县马庄乡张庄村（河南省平顶山市迪可集团食品有限公司厂区院内）</w:t>
      </w:r>
      <w:r>
        <w:rPr>
          <w:rFonts w:ascii="宋体" w:hAnsi="宋体" w:eastAsia="宋体" w:cs="宋体"/>
          <w:snapToGrid/>
          <w:spacing w:val="-2"/>
          <w:kern w:val="2"/>
          <w:sz w:val="24"/>
          <w:szCs w:val="24"/>
          <w:lang w:eastAsia="zh-CN"/>
        </w:rPr>
        <w:t>，所在区域不涉及导则中特殊生态敏感区所含的自然保护区，世界文化和自然遗产地；不涉及重要生态敏感区中所含的风景名胜区、森林</w:t>
      </w:r>
      <w:r>
        <w:rPr>
          <w:rFonts w:ascii="宋体" w:hAnsi="宋体" w:eastAsia="宋体" w:cs="宋体"/>
          <w:snapToGrid/>
          <w:spacing w:val="2"/>
          <w:kern w:val="2"/>
          <w:sz w:val="24"/>
          <w:szCs w:val="24"/>
          <w:lang w:eastAsia="zh-CN"/>
        </w:rPr>
        <w:t>公园、地质公园、重要湿地等，因此属于一般</w:t>
      </w:r>
      <w:r>
        <w:rPr>
          <w:rFonts w:ascii="宋体" w:hAnsi="宋体" w:eastAsia="宋体" w:cs="宋体"/>
          <w:snapToGrid/>
          <w:spacing w:val="1"/>
          <w:kern w:val="2"/>
          <w:sz w:val="24"/>
          <w:szCs w:val="24"/>
          <w:lang w:eastAsia="zh-CN"/>
        </w:rPr>
        <w:t>区域，本项目影响范围远小于</w:t>
      </w:r>
      <w:r>
        <w:rPr>
          <w:rFonts w:ascii="Times New Roman" w:hAnsi="Times New Roman" w:eastAsia="Times New Roman" w:cs="Times New Roman"/>
          <w:snapToGrid/>
          <w:spacing w:val="1"/>
          <w:kern w:val="2"/>
          <w:sz w:val="24"/>
          <w:szCs w:val="24"/>
          <w:lang w:eastAsia="zh-CN"/>
        </w:rPr>
        <w:t>2</w:t>
      </w:r>
      <w:r>
        <w:rPr>
          <w:rFonts w:ascii="Times New Roman" w:hAnsi="Times New Roman" w:eastAsia="Times New Roman" w:cs="Times New Roman"/>
          <w:snapToGrid/>
          <w:kern w:val="2"/>
          <w:sz w:val="24"/>
          <w:szCs w:val="24"/>
          <w:lang w:eastAsia="zh-CN"/>
        </w:rPr>
        <w:t>km</w:t>
      </w:r>
      <w:r>
        <w:rPr>
          <w:rFonts w:ascii="Times New Roman" w:hAnsi="Times New Roman" w:eastAsia="Times New Roman" w:cs="Times New Roman"/>
          <w:snapToGrid/>
          <w:spacing w:val="1"/>
          <w:kern w:val="2"/>
          <w:position w:val="7"/>
          <w:sz w:val="15"/>
          <w:szCs w:val="15"/>
          <w:lang w:eastAsia="zh-CN"/>
        </w:rPr>
        <w:t>2</w:t>
      </w:r>
      <w:r>
        <w:rPr>
          <w:rFonts w:ascii="宋体" w:hAnsi="宋体" w:eastAsia="宋体" w:cs="宋体"/>
          <w:snapToGrid/>
          <w:spacing w:val="1"/>
          <w:kern w:val="2"/>
          <w:sz w:val="24"/>
          <w:szCs w:val="24"/>
          <w:lang w:eastAsia="zh-CN"/>
        </w:rPr>
        <w:t>，生</w:t>
      </w:r>
      <w:r>
        <w:rPr>
          <w:rFonts w:ascii="宋体" w:hAnsi="宋体" w:eastAsia="宋体" w:cs="宋体"/>
          <w:snapToGrid/>
          <w:spacing w:val="-1"/>
          <w:kern w:val="2"/>
          <w:sz w:val="24"/>
          <w:szCs w:val="24"/>
          <w:lang w:eastAsia="zh-CN"/>
        </w:rPr>
        <w:t>态环境影响范围较小。根据《环境影响评价技术导则生态影响》（</w:t>
      </w:r>
      <w:r>
        <w:rPr>
          <w:rFonts w:ascii="Times New Roman" w:hAnsi="Times New Roman" w:eastAsia="Times New Roman" w:cs="Times New Roman"/>
          <w:snapToGrid/>
          <w:spacing w:val="-1"/>
          <w:kern w:val="2"/>
          <w:sz w:val="24"/>
          <w:szCs w:val="24"/>
          <w:lang w:eastAsia="zh-CN"/>
        </w:rPr>
        <w:t>HJ19-2022</w:t>
      </w:r>
      <w:r>
        <w:rPr>
          <w:rFonts w:ascii="宋体" w:hAnsi="宋体" w:eastAsia="宋体" w:cs="宋体"/>
          <w:snapToGrid/>
          <w:spacing w:val="-1"/>
          <w:kern w:val="2"/>
          <w:sz w:val="24"/>
          <w:szCs w:val="24"/>
          <w:lang w:eastAsia="zh-CN"/>
        </w:rPr>
        <w:t>），本项目生态评价工作等级为三级评</w:t>
      </w:r>
      <w:r>
        <w:rPr>
          <w:rFonts w:ascii="宋体" w:hAnsi="宋体" w:eastAsia="宋体" w:cs="宋体"/>
          <w:snapToGrid/>
          <w:spacing w:val="-2"/>
          <w:kern w:val="2"/>
          <w:sz w:val="24"/>
          <w:szCs w:val="24"/>
          <w:lang w:eastAsia="zh-CN"/>
        </w:rPr>
        <w:t>价。</w:t>
      </w:r>
    </w:p>
    <w:p>
      <w:pPr>
        <w:keepNext w:val="0"/>
        <w:keepLines w:val="0"/>
        <w:widowControl w:val="0"/>
        <w:autoSpaceDE w:val="0"/>
        <w:autoSpaceDN w:val="0"/>
        <w:spacing w:line="360" w:lineRule="auto"/>
        <w:ind w:left="0" w:leftChars="0" w:firstLine="0" w:firstLineChars="0"/>
        <w:jc w:val="both"/>
        <w:outlineLvl w:val="9"/>
        <w:rPr>
          <w:rFonts w:hint="eastAsia" w:ascii="楷体" w:hAnsi="楷体" w:eastAsia="楷体" w:cs="楷体"/>
          <w:b/>
          <w:kern w:val="2"/>
          <w:sz w:val="28"/>
          <w:szCs w:val="24"/>
          <w:lang w:val="en-US" w:eastAsia="zh-CN" w:bidi="ar-SA"/>
        </w:rPr>
      </w:pPr>
      <w:r>
        <w:rPr>
          <w:rFonts w:hint="eastAsia" w:ascii="楷体" w:hAnsi="楷体" w:eastAsia="楷体" w:cs="楷体"/>
          <w:b/>
          <w:kern w:val="2"/>
          <w:sz w:val="28"/>
          <w:szCs w:val="24"/>
          <w:lang w:val="en-US" w:eastAsia="zh-CN" w:bidi="ar-SA"/>
        </w:rPr>
        <w:t>2.5.6环境风险评价</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（1）</w:t>
      </w:r>
      <w:r>
        <w:rPr>
          <w:rFonts w:hint="eastAsia" w:ascii="Times New Roman" w:hAnsi="Times New Roman" w:eastAsia="宋体" w:cs="Times New Roman"/>
          <w:snapToGrid/>
          <w:kern w:val="2"/>
          <w:sz w:val="24"/>
          <w:szCs w:val="24"/>
          <w:lang w:val="en-US" w:eastAsia="zh-CN"/>
        </w:rPr>
        <w:t>风险物质识别</w:t>
      </w:r>
    </w:p>
    <w:p>
      <w:pPr>
        <w:widowControl w:val="0"/>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本项目所涉及的主要化学品包括消毒剂、除臭剂、制冷剂，其中消毒剂以次氯酸钠为主，除臭剂以微生物除臭剂为主，制冷剂为R507，为混合制冷剂，主要成分为R125五氟乙烷和R143三氟乙烷。经查阅《建设项目环境风险评价技术导则》（HJ169-2018），除次氯酸钠外，本项目使用的其它化学品均不在导则附录B所列危险物质之中</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（2）环境风险潜势判定</w:t>
      </w:r>
    </w:p>
    <w:p>
      <w:pPr>
        <w:widowControl w:val="0"/>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根据《建设项目环境风险评价技术导则》（HJ169-2018）附录C中提出的</w:t>
      </w:r>
      <w:r>
        <w:rPr>
          <w:rFonts w:hint="eastAsia" w:ascii="Times New Roman" w:hAnsi="Times New Roman" w:eastAsia="宋体" w:cs="Times New Roman"/>
          <w:i/>
          <w:iCs/>
          <w:snapToGrid/>
          <w:kern w:val="2"/>
          <w:sz w:val="24"/>
          <w:szCs w:val="24"/>
          <w:lang w:val="en-US" w:eastAsia="zh-CN"/>
        </w:rPr>
        <w:t>Q</w:t>
      </w:r>
      <w:r>
        <w:rPr>
          <w:rFonts w:hint="eastAsia" w:ascii="Times New Roman" w:hAnsi="Times New Roman" w:eastAsia="宋体" w:cs="Times New Roman"/>
          <w:snapToGrid/>
          <w:kern w:val="2"/>
          <w:sz w:val="24"/>
          <w:szCs w:val="24"/>
          <w:lang w:val="en-US" w:eastAsia="zh-CN"/>
        </w:rPr>
        <w:t>值计算公式对本项目所涉及风险物质Q值进行计算，计算公式如下：</w:t>
      </w:r>
    </w:p>
    <w:p>
      <w:pPr>
        <w:widowControl w:val="0"/>
        <w:kinsoku/>
        <w:autoSpaceDE/>
        <w:autoSpaceDN/>
        <w:adjustRightInd/>
        <w:snapToGrid/>
        <w:spacing w:line="360" w:lineRule="auto"/>
        <w:ind w:left="0" w:leftChars="0" w:firstLine="0" w:firstLineChars="0"/>
        <w:jc w:val="center"/>
        <w:textAlignment w:val="auto"/>
        <w:rPr>
          <w:rFonts w:hint="eastAsia" w:ascii="Times New Roman" w:hAnsi="Times New Roman" w:eastAsia="宋体" w:cs="Times New Roman"/>
          <w:snapToGrid/>
          <w:kern w:val="2"/>
          <w:sz w:val="24"/>
          <w:szCs w:val="24"/>
          <w:lang w:val="en-US" w:eastAsia="zh-CN"/>
        </w:rPr>
      </w:pPr>
      <w:r>
        <w:rPr>
          <w:rFonts w:ascii="Times New Roman" w:hAnsi="Times New Roman" w:eastAsia="宋体" w:cs="Times New Roman"/>
          <w:snapToGrid/>
          <w:kern w:val="2"/>
          <w:sz w:val="24"/>
          <w:szCs w:val="24"/>
          <w:lang w:eastAsia="zh-CN"/>
        </w:rPr>
        <w:drawing>
          <wp:inline distT="0" distB="0" distL="114300" distR="114300">
            <wp:extent cx="2116455" cy="574675"/>
            <wp:effectExtent l="0" t="0" r="17145" b="158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9"/>
                    <a:stretch>
                      <a:fillRect/>
                    </a:stretch>
                  </pic:blipFill>
                  <pic:spPr>
                    <a:xfrm>
                      <a:off x="0" y="0"/>
                      <a:ext cx="2116455" cy="574675"/>
                    </a:xfrm>
                    <a:prstGeom prst="rect">
                      <a:avLst/>
                    </a:prstGeom>
                    <a:noFill/>
                    <a:ln>
                      <a:noFill/>
                    </a:ln>
                  </pic:spPr>
                </pic:pic>
              </a:graphicData>
            </a:graphic>
          </wp:inline>
        </w:drawing>
      </w:r>
    </w:p>
    <w:p>
      <w:pPr>
        <w:widowControl w:val="0"/>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式中：</w:t>
      </w:r>
      <w:r>
        <w:rPr>
          <w:rFonts w:hint="eastAsia" w:ascii="Times New Roman" w:hAnsi="Times New Roman" w:eastAsia="宋体" w:cs="Times New Roman"/>
          <w:i/>
          <w:iCs/>
          <w:snapToGrid/>
          <w:kern w:val="2"/>
          <w:sz w:val="24"/>
          <w:szCs w:val="24"/>
          <w:lang w:val="en-US" w:eastAsia="zh-CN"/>
        </w:rPr>
        <w:t>q</w:t>
      </w:r>
      <w:r>
        <w:rPr>
          <w:rFonts w:hint="eastAsia" w:ascii="Times New Roman" w:hAnsi="Times New Roman" w:eastAsia="宋体" w:cs="Times New Roman"/>
          <w:i/>
          <w:iCs/>
          <w:snapToGrid/>
          <w:kern w:val="2"/>
          <w:sz w:val="24"/>
          <w:szCs w:val="24"/>
          <w:vertAlign w:val="subscript"/>
          <w:lang w:val="en-US" w:eastAsia="zh-CN"/>
        </w:rPr>
        <w:t>1</w:t>
      </w:r>
      <w:r>
        <w:rPr>
          <w:rFonts w:hint="eastAsia" w:ascii="Times New Roman" w:hAnsi="Times New Roman" w:eastAsia="宋体" w:cs="Times New Roman"/>
          <w:i/>
          <w:iCs/>
          <w:snapToGrid/>
          <w:kern w:val="2"/>
          <w:sz w:val="24"/>
          <w:szCs w:val="24"/>
          <w:lang w:val="en-US" w:eastAsia="zh-CN"/>
        </w:rPr>
        <w:t>，q</w:t>
      </w:r>
      <w:r>
        <w:rPr>
          <w:rFonts w:hint="eastAsia" w:ascii="Times New Roman" w:hAnsi="Times New Roman" w:eastAsia="宋体" w:cs="Times New Roman"/>
          <w:i/>
          <w:iCs/>
          <w:snapToGrid/>
          <w:kern w:val="2"/>
          <w:sz w:val="24"/>
          <w:szCs w:val="24"/>
          <w:vertAlign w:val="subscript"/>
          <w:lang w:val="en-US" w:eastAsia="zh-CN"/>
        </w:rPr>
        <w:t>2</w:t>
      </w:r>
      <w:r>
        <w:rPr>
          <w:rFonts w:hint="eastAsia" w:ascii="Times New Roman" w:hAnsi="Times New Roman" w:eastAsia="宋体" w:cs="Times New Roman"/>
          <w:i/>
          <w:iCs/>
          <w:snapToGrid/>
          <w:kern w:val="2"/>
          <w:sz w:val="24"/>
          <w:szCs w:val="24"/>
          <w:lang w:val="en-US" w:eastAsia="zh-CN"/>
        </w:rPr>
        <w:t>…qn</w:t>
      </w:r>
      <w:r>
        <w:rPr>
          <w:rFonts w:hint="eastAsia" w:ascii="Times New Roman" w:hAnsi="Times New Roman" w:eastAsia="宋体" w:cs="Times New Roman"/>
          <w:snapToGrid/>
          <w:kern w:val="2"/>
          <w:sz w:val="24"/>
          <w:szCs w:val="24"/>
          <w:lang w:val="en-US" w:eastAsia="zh-CN"/>
        </w:rPr>
        <w:t xml:space="preserve">—每种危险物质的最大存在总量，t； </w:t>
      </w:r>
    </w:p>
    <w:p>
      <w:pPr>
        <w:widowControl w:val="0"/>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i/>
          <w:iCs/>
          <w:snapToGrid/>
          <w:kern w:val="2"/>
          <w:sz w:val="24"/>
          <w:szCs w:val="24"/>
          <w:lang w:val="en-US" w:eastAsia="zh-CN"/>
        </w:rPr>
        <w:t>Q，Q</w:t>
      </w:r>
      <w:r>
        <w:rPr>
          <w:rFonts w:hint="eastAsia" w:ascii="Times New Roman" w:hAnsi="Times New Roman" w:eastAsia="宋体" w:cs="Times New Roman"/>
          <w:i/>
          <w:iCs/>
          <w:snapToGrid/>
          <w:kern w:val="2"/>
          <w:sz w:val="24"/>
          <w:szCs w:val="24"/>
          <w:vertAlign w:val="subscript"/>
          <w:lang w:val="en-US" w:eastAsia="zh-CN"/>
        </w:rPr>
        <w:t>2</w:t>
      </w:r>
      <w:r>
        <w:rPr>
          <w:rFonts w:hint="eastAsia" w:ascii="Times New Roman" w:hAnsi="Times New Roman" w:eastAsia="宋体" w:cs="Times New Roman"/>
          <w:i/>
          <w:iCs/>
          <w:snapToGrid/>
          <w:kern w:val="2"/>
          <w:sz w:val="24"/>
          <w:szCs w:val="24"/>
          <w:lang w:val="en-US" w:eastAsia="zh-CN"/>
        </w:rPr>
        <w:t>…Q</w:t>
      </w:r>
      <w:r>
        <w:rPr>
          <w:rFonts w:hint="eastAsia" w:ascii="Times New Roman" w:hAnsi="Times New Roman" w:eastAsia="宋体" w:cs="Times New Roman"/>
          <w:i/>
          <w:iCs/>
          <w:snapToGrid/>
          <w:kern w:val="2"/>
          <w:sz w:val="24"/>
          <w:szCs w:val="24"/>
          <w:vertAlign w:val="subscript"/>
          <w:lang w:val="en-US" w:eastAsia="zh-CN"/>
        </w:rPr>
        <w:t>n</w:t>
      </w:r>
      <w:r>
        <w:rPr>
          <w:rFonts w:hint="eastAsia" w:ascii="Times New Roman" w:hAnsi="Times New Roman" w:eastAsia="宋体" w:cs="Times New Roman"/>
          <w:snapToGrid/>
          <w:kern w:val="2"/>
          <w:sz w:val="24"/>
          <w:szCs w:val="24"/>
          <w:lang w:val="en-US" w:eastAsia="zh-CN"/>
        </w:rPr>
        <w:t xml:space="preserve">—每种危险物质的临界量，t。 </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根据工程分析，次氯酸钠厂区的最大存储量为0.08t，其临界量为5t。因此，本项目</w:t>
      </w:r>
      <w:r>
        <w:rPr>
          <w:rFonts w:hint="eastAsia" w:ascii="Times New Roman" w:hAnsi="Times New Roman" w:eastAsia="宋体" w:cs="Times New Roman"/>
          <w:i/>
          <w:iCs/>
          <w:snapToGrid/>
          <w:kern w:val="2"/>
          <w:sz w:val="24"/>
          <w:szCs w:val="24"/>
          <w:lang w:val="en-US" w:eastAsia="zh-CN"/>
        </w:rPr>
        <w:t>Q</w:t>
      </w:r>
      <w:r>
        <w:rPr>
          <w:rFonts w:hint="eastAsia" w:ascii="Times New Roman" w:hAnsi="Times New Roman" w:eastAsia="宋体" w:cs="Times New Roman"/>
          <w:i w:val="0"/>
          <w:iCs w:val="0"/>
          <w:snapToGrid/>
          <w:kern w:val="2"/>
          <w:sz w:val="24"/>
          <w:szCs w:val="24"/>
          <w:lang w:val="en-US" w:eastAsia="zh-CN"/>
        </w:rPr>
        <w:t>=0.016</w:t>
      </w:r>
      <w:r>
        <w:rPr>
          <w:rFonts w:hint="eastAsia" w:ascii="Times New Roman" w:hAnsi="Times New Roman" w:eastAsia="宋体" w:cs="Times New Roman"/>
          <w:snapToGrid/>
          <w:kern w:val="2"/>
          <w:sz w:val="24"/>
          <w:szCs w:val="24"/>
          <w:lang w:val="en-US" w:eastAsia="zh-CN"/>
        </w:rPr>
        <w:t>＜1，确定本项目环境风险潜势为I。</w:t>
      </w:r>
    </w:p>
    <w:p>
      <w:pPr>
        <w:widowControl w:val="0"/>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snapToGrid/>
          <w:kern w:val="2"/>
          <w:sz w:val="24"/>
          <w:szCs w:val="24"/>
          <w:lang w:eastAsia="zh-CN"/>
        </w:rPr>
      </w:pPr>
      <w:r>
        <w:rPr>
          <w:rFonts w:hint="eastAsia" w:ascii="Times New Roman" w:hAnsi="Times New Roman" w:eastAsia="宋体" w:cs="Times New Roman"/>
          <w:b w:val="0"/>
          <w:bCs w:val="0"/>
          <w:snapToGrid/>
          <w:kern w:val="2"/>
          <w:sz w:val="24"/>
          <w:szCs w:val="24"/>
          <w:lang w:val="en-US" w:eastAsia="zh-CN"/>
        </w:rPr>
        <w:t xml:space="preserve">3.评价等级确定 </w:t>
      </w:r>
    </w:p>
    <w:p>
      <w:pPr>
        <w:widowControl w:val="0"/>
        <w:kinsoku/>
        <w:autoSpaceDE/>
        <w:autoSpaceDN/>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snapToGrid/>
          <w:kern w:val="2"/>
          <w:sz w:val="24"/>
          <w:szCs w:val="24"/>
          <w:lang w:eastAsia="zh-CN"/>
        </w:rPr>
      </w:pPr>
      <w:r>
        <w:rPr>
          <w:rFonts w:hint="eastAsia" w:ascii="Times New Roman" w:hAnsi="Times New Roman" w:eastAsia="宋体" w:cs="Times New Roman"/>
          <w:b w:val="0"/>
          <w:bCs w:val="0"/>
          <w:snapToGrid/>
          <w:kern w:val="2"/>
          <w:sz w:val="24"/>
          <w:szCs w:val="24"/>
          <w:lang w:val="en-US" w:eastAsia="zh-CN"/>
        </w:rPr>
        <w:t>本项目环境风险评价工作等级判定依据见表2-18。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napToGrid/>
          <w:kern w:val="2"/>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snapToGrid/>
          <w:kern w:val="2"/>
          <w:sz w:val="24"/>
          <w:szCs w:val="24"/>
          <w:lang w:eastAsia="zh-CN"/>
        </w:rPr>
      </w:pPr>
      <w:r>
        <w:rPr>
          <w:rFonts w:hint="eastAsia" w:ascii="Times New Roman" w:hAnsi="Times New Roman" w:eastAsia="宋体" w:cs="Times New Roman"/>
          <w:b/>
          <w:bCs/>
          <w:snapToGrid/>
          <w:kern w:val="2"/>
          <w:sz w:val="24"/>
          <w:szCs w:val="24"/>
          <w:lang w:eastAsia="zh-CN"/>
        </w:rPr>
        <w:t>表2</w:t>
      </w:r>
      <w:r>
        <w:rPr>
          <w:rFonts w:hint="eastAsia" w:ascii="Times New Roman" w:hAnsi="Times New Roman" w:eastAsia="宋体" w:cs="Times New Roman"/>
          <w:b/>
          <w:bCs/>
          <w:snapToGrid/>
          <w:kern w:val="2"/>
          <w:sz w:val="24"/>
          <w:szCs w:val="24"/>
          <w:lang w:val="en-US" w:eastAsia="zh-CN"/>
        </w:rPr>
        <w:t>-18</w:t>
      </w:r>
      <w:r>
        <w:rPr>
          <w:rFonts w:hint="eastAsia" w:ascii="Times New Roman" w:hAnsi="Times New Roman" w:eastAsia="宋体" w:cs="Times New Roman"/>
          <w:b/>
          <w:bCs/>
          <w:snapToGrid/>
          <w:kern w:val="2"/>
          <w:sz w:val="24"/>
          <w:szCs w:val="24"/>
          <w:lang w:eastAsia="zh-CN"/>
        </w:rPr>
        <w:t xml:space="preserve"> </w:t>
      </w:r>
      <w:r>
        <w:rPr>
          <w:rFonts w:hint="eastAsia" w:ascii="Times New Roman" w:hAnsi="Times New Roman" w:eastAsia="宋体" w:cs="Times New Roman"/>
          <w:b/>
          <w:bCs/>
          <w:snapToGrid/>
          <w:kern w:val="2"/>
          <w:sz w:val="24"/>
          <w:szCs w:val="24"/>
          <w:lang w:val="en-US" w:eastAsia="zh-CN"/>
        </w:rPr>
        <w:t xml:space="preserve">  </w:t>
      </w:r>
      <w:r>
        <w:rPr>
          <w:rFonts w:hint="eastAsia" w:ascii="Times New Roman" w:hAnsi="Times New Roman" w:eastAsia="宋体" w:cs="Times New Roman"/>
          <w:b/>
          <w:bCs/>
          <w:snapToGrid/>
          <w:kern w:val="2"/>
          <w:sz w:val="24"/>
          <w:szCs w:val="24"/>
          <w:lang w:eastAsia="zh-CN"/>
        </w:rPr>
        <w:t xml:space="preserve"> 环境风险评价工作等级划分</w:t>
      </w:r>
    </w:p>
    <w:tbl>
      <w:tblPr>
        <w:tblStyle w:val="21"/>
        <w:tblW w:w="90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35"/>
        <w:gridCol w:w="1808"/>
        <w:gridCol w:w="1809"/>
        <w:gridCol w:w="1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8"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环境风险潜势</w:t>
            </w:r>
          </w:p>
        </w:tc>
        <w:tc>
          <w:tcPr>
            <w:tcW w:w="1835"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Ⅳ、Ⅳ</w:t>
            </w:r>
            <w:r>
              <w:rPr>
                <w:rFonts w:hint="default" w:ascii="Times New Roman" w:hAnsi="Times New Roman" w:eastAsia="宋体" w:cs="Times New Roman"/>
                <w:color w:val="000000"/>
                <w:kern w:val="2"/>
                <w:sz w:val="21"/>
                <w:szCs w:val="21"/>
                <w:lang w:val="en-US" w:eastAsia="zh-CN" w:bidi="ar-SA"/>
              </w:rPr>
              <w:t>+</w:t>
            </w:r>
          </w:p>
        </w:tc>
        <w:tc>
          <w:tcPr>
            <w:tcW w:w="1808"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Ⅲ</w:t>
            </w:r>
          </w:p>
        </w:tc>
        <w:tc>
          <w:tcPr>
            <w:tcW w:w="1809"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Ⅱ</w:t>
            </w:r>
          </w:p>
        </w:tc>
        <w:tc>
          <w:tcPr>
            <w:tcW w:w="1810"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08"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评价工作等级</w:t>
            </w:r>
          </w:p>
        </w:tc>
        <w:tc>
          <w:tcPr>
            <w:tcW w:w="1835"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w:t>
            </w:r>
          </w:p>
        </w:tc>
        <w:tc>
          <w:tcPr>
            <w:tcW w:w="1808"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二</w:t>
            </w:r>
          </w:p>
        </w:tc>
        <w:tc>
          <w:tcPr>
            <w:tcW w:w="1809" w:type="dxa"/>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三</w:t>
            </w:r>
          </w:p>
        </w:tc>
        <w:tc>
          <w:tcPr>
            <w:tcW w:w="1810" w:type="dxa"/>
            <w:tcBorders>
              <w:tl2br w:val="nil"/>
              <w:tr2bl w:val="nil"/>
            </w:tcBorders>
            <w:shd w:val="pct30"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简单分析a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70" w:type="dxa"/>
            <w:gridSpan w:val="5"/>
            <w:tcBorders>
              <w:tl2br w:val="nil"/>
              <w:tr2bl w:val="nil"/>
            </w:tcBorders>
            <w:vAlign w:val="center"/>
          </w:tcPr>
          <w:p>
            <w:pPr>
              <w:widowControl/>
              <w:spacing w:line="240" w:lineRule="auto"/>
              <w:ind w:firstLine="0" w:firstLineChars="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注：a是相对于详细评价工作内容而言，在描述危险物质、环境影响途径、环境危害后果、风险防范措施等方面给出定性的说明。见</w:t>
            </w:r>
            <w:r>
              <w:rPr>
                <w:rFonts w:hint="default" w:ascii="Times New Roman" w:hAnsi="Times New Roman" w:eastAsia="宋体" w:cs="Times New Roman"/>
                <w:color w:val="000000"/>
                <w:kern w:val="2"/>
                <w:sz w:val="21"/>
                <w:szCs w:val="21"/>
                <w:lang w:val="en-US" w:eastAsia="zh-CN" w:bidi="ar-SA"/>
              </w:rPr>
              <w:t>HJ/T169-2018</w:t>
            </w:r>
            <w:r>
              <w:rPr>
                <w:rFonts w:hint="eastAsia" w:ascii="Times New Roman" w:hAnsi="Times New Roman" w:eastAsia="宋体" w:cs="Times New Roman"/>
                <w:color w:val="000000"/>
                <w:kern w:val="2"/>
                <w:sz w:val="21"/>
                <w:szCs w:val="21"/>
                <w:lang w:val="en-US" w:eastAsia="zh-CN" w:bidi="ar-SA"/>
              </w:rPr>
              <w:t>附录</w:t>
            </w:r>
            <w:r>
              <w:rPr>
                <w:rFonts w:hint="default" w:ascii="Times New Roman" w:hAnsi="Times New Roman" w:eastAsia="宋体" w:cs="Times New Roman"/>
                <w:color w:val="000000"/>
                <w:kern w:val="2"/>
                <w:sz w:val="21"/>
                <w:szCs w:val="21"/>
                <w:lang w:val="en-US" w:eastAsia="zh-CN" w:bidi="ar-SA"/>
              </w:rPr>
              <w:t>A</w:t>
            </w:r>
            <w:r>
              <w:rPr>
                <w:rFonts w:hint="eastAsia" w:ascii="Times New Roman" w:hAnsi="Times New Roman" w:eastAsia="宋体" w:cs="Times New Roman"/>
                <w:color w:val="000000"/>
                <w:kern w:val="2"/>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本项目环境风险潜势为Ⅰ，环境风险评价仅需开展简单分析。</w:t>
      </w:r>
    </w:p>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8"/>
          <w:szCs w:val="28"/>
          <w:lang w:val="en-US" w:eastAsia="zh-CN" w:bidi="ar"/>
        </w:rPr>
        <w:t>2.5.7</w:t>
      </w:r>
      <w:r>
        <w:rPr>
          <w:rFonts w:ascii="楷体" w:hAnsi="楷体" w:eastAsia="楷体" w:cs="楷体"/>
          <w:snapToGrid/>
          <w:color w:val="000000"/>
          <w:kern w:val="0"/>
          <w:sz w:val="28"/>
          <w:szCs w:val="28"/>
          <w:lang w:val="en-US" w:eastAsia="zh-CN" w:bidi="ar"/>
        </w:rPr>
        <w:t>土壤环境</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根据《环境影响评价技术导则</w:t>
      </w:r>
      <w:r>
        <w:rPr>
          <w:rFonts w:hint="eastAsia" w:ascii="Times New Roman" w:hAnsi="Times New Roman" w:eastAsia="宋体" w:cs="Times New Roman"/>
          <w:snapToGrid/>
          <w:color w:val="000000"/>
          <w:kern w:val="0"/>
          <w:sz w:val="24"/>
          <w:szCs w:val="24"/>
          <w:lang w:val="en-US" w:eastAsia="zh-CN" w:bidi="ar"/>
        </w:rPr>
        <w:t xml:space="preserve">  </w:t>
      </w:r>
      <w:r>
        <w:rPr>
          <w:rFonts w:hint="eastAsia" w:ascii="宋体" w:hAnsi="宋体" w:eastAsia="宋体" w:cs="宋体"/>
          <w:snapToGrid/>
          <w:color w:val="000000"/>
          <w:kern w:val="0"/>
          <w:sz w:val="24"/>
          <w:szCs w:val="24"/>
          <w:lang w:val="en-US" w:eastAsia="zh-CN" w:bidi="ar"/>
        </w:rPr>
        <w:t>土壤环境（试行）》（</w:t>
      </w:r>
      <w:r>
        <w:rPr>
          <w:rFonts w:hint="default" w:ascii="Times New Roman" w:hAnsi="Times New Roman" w:eastAsia="宋体" w:cs="Times New Roman"/>
          <w:snapToGrid/>
          <w:color w:val="000000"/>
          <w:kern w:val="0"/>
          <w:sz w:val="24"/>
          <w:szCs w:val="24"/>
          <w:lang w:val="en-US" w:eastAsia="zh-CN" w:bidi="ar"/>
        </w:rPr>
        <w:t>HJ964-2018</w:t>
      </w:r>
      <w:r>
        <w:rPr>
          <w:rFonts w:hint="eastAsia" w:ascii="宋体" w:hAnsi="宋体" w:eastAsia="宋体" w:cs="宋体"/>
          <w:snapToGrid/>
          <w:color w:val="000000"/>
          <w:kern w:val="0"/>
          <w:sz w:val="24"/>
          <w:szCs w:val="24"/>
          <w:lang w:val="en-US" w:eastAsia="zh-CN" w:bidi="ar"/>
        </w:rPr>
        <w:t>）附录</w:t>
      </w:r>
      <w:r>
        <w:rPr>
          <w:rFonts w:hint="default" w:ascii="Times New Roman" w:hAnsi="Times New Roman" w:eastAsia="宋体" w:cs="Times New Roman"/>
          <w:snapToGrid/>
          <w:color w:val="000000"/>
          <w:kern w:val="0"/>
          <w:sz w:val="24"/>
          <w:szCs w:val="24"/>
          <w:lang w:val="en-US" w:eastAsia="zh-CN" w:bidi="ar"/>
        </w:rPr>
        <w:t>A</w:t>
      </w:r>
      <w:r>
        <w:rPr>
          <w:rFonts w:hint="eastAsia" w:ascii="宋体" w:hAnsi="宋体" w:eastAsia="宋体" w:cs="宋体"/>
          <w:snapToGrid/>
          <w:color w:val="000000"/>
          <w:kern w:val="0"/>
          <w:sz w:val="24"/>
          <w:szCs w:val="24"/>
          <w:lang w:val="en-US" w:eastAsia="zh-CN" w:bidi="ar"/>
        </w:rPr>
        <w:t>，本项目为Ⅳ类建设项目，根据导则要求，Ⅳ类建设项目可不开展土壤环境影响评价。</w:t>
      </w:r>
    </w:p>
    <w:p>
      <w:pPr>
        <w:pStyle w:val="4"/>
        <w:bidi w:val="0"/>
        <w:rPr>
          <w:lang w:val="en-US" w:eastAsia="zh-CN"/>
        </w:rPr>
      </w:pPr>
      <w:bookmarkStart w:id="76" w:name="bookmark43"/>
      <w:bookmarkEnd w:id="76"/>
      <w:bookmarkStart w:id="77" w:name="_Toc22737"/>
      <w:bookmarkStart w:id="78" w:name="_Toc30725"/>
      <w:r>
        <w:rPr>
          <w:lang w:val="en-US" w:eastAsia="zh-CN"/>
        </w:rPr>
        <w:t>2.6评价范围及环境保护目标分布情况</w:t>
      </w:r>
      <w:bookmarkEnd w:id="77"/>
      <w:bookmarkEnd w:id="78"/>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0" w:firstLineChars="0"/>
        <w:jc w:val="both"/>
        <w:textAlignment w:val="baseline"/>
        <w:outlineLvl w:val="9"/>
        <w:rPr>
          <w:rFonts w:hint="eastAsia" w:ascii="楷体" w:hAnsi="楷体" w:eastAsia="楷体" w:cs="楷体"/>
          <w:b/>
          <w:bCs/>
          <w:kern w:val="2"/>
          <w:sz w:val="28"/>
          <w:szCs w:val="24"/>
          <w:lang w:val="en-US" w:eastAsia="zh-CN" w:bidi="zh-CN"/>
        </w:rPr>
      </w:pPr>
      <w:r>
        <w:rPr>
          <w:rFonts w:hint="eastAsia" w:ascii="楷体" w:hAnsi="楷体" w:eastAsia="楷体" w:cs="楷体"/>
          <w:b/>
          <w:bCs/>
          <w:kern w:val="2"/>
          <w:sz w:val="28"/>
          <w:szCs w:val="24"/>
          <w:lang w:val="en-US" w:eastAsia="zh-CN" w:bidi="zh-CN"/>
        </w:rPr>
        <w:t>2.6.1 评价范围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outlineLvl w:val="9"/>
        <w:rPr>
          <w:rFonts w:ascii="Times New Roman" w:hAnsi="Times New Roman" w:eastAsia="宋体" w:cs="宋体"/>
          <w:b w:val="0"/>
          <w:bCs w:val="0"/>
          <w:kern w:val="2"/>
          <w:sz w:val="24"/>
          <w:szCs w:val="22"/>
          <w:lang w:val="en-US" w:eastAsia="zh-CN" w:bidi="zh-CN"/>
        </w:rPr>
      </w:pPr>
      <w:r>
        <w:rPr>
          <w:rFonts w:hint="eastAsia" w:ascii="Times New Roman" w:hAnsi="Times New Roman" w:eastAsia="宋体" w:cs="宋体"/>
          <w:b w:val="0"/>
          <w:bCs w:val="0"/>
          <w:kern w:val="2"/>
          <w:sz w:val="24"/>
          <w:szCs w:val="22"/>
          <w:lang w:val="en-US" w:eastAsia="zh-CN" w:bidi="zh-CN"/>
        </w:rPr>
        <w:t>根据项目排污特点及区域的环境特征，确定各环境要素的评价范围，详见表2-19。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2"/>
          <w:lang w:val="en-US" w:eastAsia="zh-CN" w:bidi="zh-CN"/>
        </w:rPr>
      </w:pPr>
      <w:r>
        <w:rPr>
          <w:rFonts w:hint="eastAsia" w:ascii="Times New Roman" w:hAnsi="Times New Roman" w:eastAsia="宋体" w:cs="宋体"/>
          <w:b/>
          <w:bCs/>
          <w:kern w:val="2"/>
          <w:sz w:val="24"/>
          <w:szCs w:val="22"/>
          <w:lang w:val="en-US" w:eastAsia="zh-CN" w:bidi="zh-CN"/>
        </w:rPr>
        <w:t>表2-19    工程各环境要素的评价范围</w:t>
      </w:r>
    </w:p>
    <w:tbl>
      <w:tblPr>
        <w:tblStyle w:val="21"/>
        <w:tblW w:w="906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6200"/>
        <w:gridCol w:w="1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环境要素</w:t>
            </w:r>
          </w:p>
        </w:tc>
        <w:tc>
          <w:tcPr>
            <w:tcW w:w="6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评价范围</w:t>
            </w:r>
          </w:p>
        </w:tc>
        <w:tc>
          <w:tcPr>
            <w:tcW w:w="1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环境空气</w:t>
            </w:r>
          </w:p>
        </w:tc>
        <w:tc>
          <w:tcPr>
            <w:tcW w:w="6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以项目厂址的排放源为中心，边长为</w:t>
            </w:r>
            <w:r>
              <w:rPr>
                <w:rFonts w:hint="default" w:ascii="Times New Roman" w:hAnsi="Times New Roman" w:eastAsia="宋体" w:cs="Times New Roman"/>
                <w:snapToGrid/>
                <w:kern w:val="2"/>
                <w:sz w:val="21"/>
                <w:szCs w:val="21"/>
                <w:u w:val="single"/>
                <w:vertAlign w:val="baseline"/>
                <w:lang w:val="en-US" w:eastAsia="zh-CN"/>
              </w:rPr>
              <w:t>5km</w:t>
            </w:r>
            <w:r>
              <w:rPr>
                <w:rFonts w:hint="eastAsia" w:ascii="Times New Roman" w:hAnsi="Times New Roman" w:eastAsia="宋体" w:cs="Times New Roman"/>
                <w:snapToGrid/>
                <w:kern w:val="2"/>
                <w:sz w:val="21"/>
                <w:szCs w:val="21"/>
                <w:u w:val="single"/>
                <w:vertAlign w:val="baseline"/>
                <w:lang w:val="en-US" w:eastAsia="zh-CN"/>
              </w:rPr>
              <w:t>的范围</w:t>
            </w:r>
          </w:p>
        </w:tc>
        <w:tc>
          <w:tcPr>
            <w:tcW w:w="1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地表水</w:t>
            </w:r>
          </w:p>
        </w:tc>
        <w:tc>
          <w:tcPr>
            <w:tcW w:w="6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对厂区内污水管网以及污水站</w:t>
            </w:r>
            <w:r>
              <w:rPr>
                <w:rFonts w:hint="eastAsia" w:ascii="Times New Roman" w:hAnsi="Times New Roman" w:eastAsia="宋体" w:cs="Times New Roman"/>
                <w:snapToGrid/>
                <w:kern w:val="2"/>
                <w:sz w:val="21"/>
                <w:szCs w:val="21"/>
                <w:highlight w:val="none"/>
                <w:u w:val="single"/>
                <w:vertAlign w:val="baseline"/>
                <w:lang w:val="en-US" w:eastAsia="zh-CN"/>
              </w:rPr>
              <w:t>排水达标性进行分析</w:t>
            </w:r>
          </w:p>
        </w:tc>
        <w:tc>
          <w:tcPr>
            <w:tcW w:w="1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三级</w:t>
            </w:r>
            <w:r>
              <w:rPr>
                <w:rFonts w:hint="default" w:ascii="Times New Roman" w:hAnsi="Times New Roman" w:eastAsia="宋体" w:cs="Times New Roman"/>
                <w:snapToGrid/>
                <w:kern w:val="2"/>
                <w:sz w:val="21"/>
                <w:szCs w:val="21"/>
                <w:u w:val="single"/>
                <w:vertAlign w:val="baseline"/>
                <w:lang w:val="en-US" w:eastAsia="zh-CN"/>
              </w:rPr>
              <w:t>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地下水</w:t>
            </w:r>
          </w:p>
        </w:tc>
        <w:tc>
          <w:tcPr>
            <w:tcW w:w="6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以项目厂址为中心，项目</w:t>
            </w:r>
            <w:r>
              <w:rPr>
                <w:rFonts w:hint="eastAsia" w:ascii="Times New Roman" w:hAnsi="Times New Roman" w:eastAsia="宋体" w:cs="Times New Roman"/>
                <w:snapToGrid/>
                <w:kern w:val="2"/>
                <w:sz w:val="21"/>
                <w:szCs w:val="21"/>
                <w:highlight w:val="none"/>
                <w:u w:val="single"/>
                <w:vertAlign w:val="baseline"/>
                <w:lang w:val="en-US" w:eastAsia="zh-CN"/>
              </w:rPr>
              <w:t>周边</w:t>
            </w:r>
            <w:r>
              <w:rPr>
                <w:rFonts w:hint="default" w:ascii="Times New Roman" w:hAnsi="Times New Roman" w:eastAsia="宋体" w:cs="Times New Roman"/>
                <w:snapToGrid/>
                <w:kern w:val="2"/>
                <w:sz w:val="21"/>
                <w:szCs w:val="21"/>
                <w:highlight w:val="none"/>
                <w:u w:val="single"/>
                <w:vertAlign w:val="baseline"/>
                <w:lang w:val="en-US" w:eastAsia="zh-CN"/>
              </w:rPr>
              <w:t>6km</w:t>
            </w:r>
            <w:r>
              <w:rPr>
                <w:rFonts w:hint="default" w:ascii="Times New Roman" w:hAnsi="Times New Roman" w:eastAsia="宋体" w:cs="Times New Roman"/>
                <w:snapToGrid/>
                <w:kern w:val="2"/>
                <w:sz w:val="21"/>
                <w:szCs w:val="21"/>
                <w:highlight w:val="none"/>
                <w:u w:val="single"/>
                <w:vertAlign w:val="superscript"/>
                <w:lang w:val="en-US" w:eastAsia="zh-CN"/>
              </w:rPr>
              <w:t>2</w:t>
            </w:r>
            <w:r>
              <w:rPr>
                <w:rFonts w:hint="eastAsia" w:ascii="Times New Roman" w:hAnsi="Times New Roman" w:eastAsia="宋体" w:cs="Times New Roman"/>
                <w:snapToGrid/>
                <w:kern w:val="2"/>
                <w:sz w:val="21"/>
                <w:szCs w:val="21"/>
                <w:u w:val="single"/>
                <w:vertAlign w:val="baseline"/>
                <w:lang w:val="en-US" w:eastAsia="zh-CN"/>
              </w:rPr>
              <w:t>范围作为项目地下水评价范围</w:t>
            </w:r>
          </w:p>
        </w:tc>
        <w:tc>
          <w:tcPr>
            <w:tcW w:w="1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声环境</w:t>
            </w:r>
          </w:p>
        </w:tc>
        <w:tc>
          <w:tcPr>
            <w:tcW w:w="6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厂界外</w:t>
            </w:r>
            <w:r>
              <w:rPr>
                <w:rFonts w:hint="default" w:ascii="Times New Roman" w:hAnsi="Times New Roman" w:eastAsia="宋体" w:cs="Times New Roman"/>
                <w:snapToGrid/>
                <w:kern w:val="2"/>
                <w:sz w:val="21"/>
                <w:szCs w:val="21"/>
                <w:u w:val="single"/>
                <w:vertAlign w:val="baseline"/>
                <w:lang w:val="en-US" w:eastAsia="zh-CN"/>
              </w:rPr>
              <w:t>200m</w:t>
            </w:r>
            <w:r>
              <w:rPr>
                <w:rFonts w:hint="eastAsia" w:ascii="Times New Roman" w:hAnsi="Times New Roman" w:eastAsia="宋体" w:cs="Times New Roman"/>
                <w:snapToGrid/>
                <w:kern w:val="2"/>
                <w:sz w:val="21"/>
                <w:szCs w:val="21"/>
                <w:u w:val="single"/>
                <w:vertAlign w:val="baseline"/>
                <w:lang w:val="en-US" w:eastAsia="zh-CN"/>
              </w:rPr>
              <w:t>范围</w:t>
            </w:r>
          </w:p>
        </w:tc>
        <w:tc>
          <w:tcPr>
            <w:tcW w:w="1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生态环境</w:t>
            </w:r>
          </w:p>
        </w:tc>
        <w:tc>
          <w:tcPr>
            <w:tcW w:w="6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拟建厂界占地红线范围内</w:t>
            </w:r>
          </w:p>
        </w:tc>
        <w:tc>
          <w:tcPr>
            <w:tcW w:w="1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环境风险</w:t>
            </w:r>
          </w:p>
        </w:tc>
        <w:tc>
          <w:tcPr>
            <w:tcW w:w="6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在描述危险物质、环境影响途径、环境危害后果、风险防范等方面给出定性的说明</w:t>
            </w:r>
          </w:p>
        </w:tc>
        <w:tc>
          <w:tcPr>
            <w:tcW w:w="1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kern w:val="2"/>
                <w:sz w:val="21"/>
                <w:szCs w:val="21"/>
                <w:u w:val="single"/>
                <w:vertAlign w:val="baseline"/>
                <w:lang w:val="en-US" w:eastAsia="zh-CN"/>
              </w:rPr>
            </w:pPr>
            <w:r>
              <w:rPr>
                <w:rFonts w:hint="eastAsia" w:ascii="Times New Roman" w:hAnsi="Times New Roman" w:eastAsia="宋体" w:cs="Times New Roman"/>
                <w:snapToGrid/>
                <w:kern w:val="2"/>
                <w:sz w:val="21"/>
                <w:szCs w:val="21"/>
                <w:u w:val="single"/>
                <w:vertAlign w:val="baseline"/>
                <w:lang w:val="en-US" w:eastAsia="zh-CN"/>
              </w:rPr>
              <w:t>简单分析</w:t>
            </w:r>
          </w:p>
        </w:tc>
      </w:tr>
    </w:tbl>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0" w:firstLineChars="0"/>
        <w:jc w:val="both"/>
        <w:textAlignment w:val="baseline"/>
        <w:outlineLvl w:val="9"/>
        <w:rPr>
          <w:rFonts w:hint="eastAsia" w:ascii="楷体" w:hAnsi="楷体" w:eastAsia="楷体" w:cs="楷体"/>
          <w:b/>
          <w:bCs/>
          <w:kern w:val="2"/>
          <w:sz w:val="28"/>
          <w:szCs w:val="24"/>
          <w:lang w:val="en-US" w:eastAsia="zh-CN" w:bidi="zh-CN"/>
        </w:rPr>
      </w:pPr>
      <w:r>
        <w:rPr>
          <w:rFonts w:hint="eastAsia" w:ascii="楷体" w:hAnsi="楷体" w:eastAsia="楷体" w:cs="楷体"/>
          <w:b/>
          <w:bCs/>
          <w:kern w:val="2"/>
          <w:sz w:val="28"/>
          <w:szCs w:val="24"/>
          <w:lang w:val="en-US" w:eastAsia="zh-CN" w:bidi="zh-CN"/>
        </w:rPr>
        <w:t>2.6.2评价范围内环境保护目标分布情况</w:t>
      </w:r>
    </w:p>
    <w:p>
      <w:pPr>
        <w:widowControl w:val="0"/>
        <w:adjustRightInd w:val="0"/>
        <w:snapToGrid w:val="0"/>
        <w:spacing w:line="360" w:lineRule="auto"/>
        <w:ind w:firstLine="480" w:firstLineChars="200"/>
        <w:jc w:val="both"/>
        <w:outlineLvl w:val="9"/>
        <w:rPr>
          <w:rFonts w:hint="eastAsia" w:ascii="Times New Roman" w:hAnsi="Times New Roman" w:eastAsia="宋体" w:cs="宋体"/>
          <w:b w:val="0"/>
          <w:bCs w:val="0"/>
          <w:kern w:val="2"/>
          <w:sz w:val="24"/>
          <w:szCs w:val="24"/>
          <w:lang w:val="en-US" w:eastAsia="zh-CN" w:bidi="zh-CN"/>
        </w:rPr>
      </w:pPr>
      <w:r>
        <w:rPr>
          <w:rFonts w:hint="eastAsia" w:ascii="Times New Roman" w:hAnsi="Times New Roman" w:eastAsia="宋体" w:cs="宋体"/>
          <w:b w:val="0"/>
          <w:bCs w:val="0"/>
          <w:kern w:val="2"/>
          <w:sz w:val="24"/>
          <w:szCs w:val="24"/>
          <w:lang w:val="en-US" w:eastAsia="zh-CN" w:bidi="zh-CN"/>
        </w:rPr>
        <w:t>叶县2022年马庄乡张庄村畜产品精细加工物流园建设项目，位于叶县马庄乡张庄村（中心坐标：东经113度20分50.331秒，北纬33度35分41.342秒），本项目场界外北侧为河南省平顶山市迪可集团食品有限公司，东侧为农田，南侧为中豫酒仓临街商铺，东侧为省道S330（当地称为昆阳大道或许南公路）。</w:t>
      </w:r>
    </w:p>
    <w:p>
      <w:pPr>
        <w:widowControl w:val="0"/>
        <w:adjustRightInd w:val="0"/>
        <w:snapToGrid w:val="0"/>
        <w:spacing w:line="360" w:lineRule="auto"/>
        <w:ind w:firstLine="480" w:firstLineChars="200"/>
        <w:jc w:val="both"/>
        <w:outlineLvl w:val="9"/>
        <w:rPr>
          <w:rFonts w:hint="eastAsia" w:ascii="Times New Roman" w:hAnsi="Times New Roman" w:eastAsia="宋体" w:cs="宋体"/>
          <w:b w:val="0"/>
          <w:bCs w:val="0"/>
          <w:kern w:val="2"/>
          <w:sz w:val="24"/>
          <w:szCs w:val="24"/>
          <w:lang w:val="en-US" w:eastAsia="zh-CN" w:bidi="zh-CN"/>
        </w:rPr>
      </w:pPr>
      <w:r>
        <w:rPr>
          <w:rFonts w:hint="eastAsia" w:ascii="Times New Roman" w:hAnsi="Times New Roman" w:eastAsia="宋体" w:cs="宋体"/>
          <w:b w:val="0"/>
          <w:bCs w:val="0"/>
          <w:kern w:val="2"/>
          <w:sz w:val="24"/>
          <w:szCs w:val="24"/>
          <w:lang w:val="en-US" w:eastAsia="zh-CN" w:bidi="zh-CN"/>
        </w:rPr>
        <w:t>经过现场调查，项目区不在自然保护区、风景名胜区、水源保护区等特殊生态敏感和重要生态敏感区。结合本项目污染物排放特征，确定主要环境保护目标。</w:t>
      </w:r>
    </w:p>
    <w:p>
      <w:pPr>
        <w:widowControl w:val="0"/>
        <w:adjustRightInd w:val="0"/>
        <w:snapToGrid w:val="0"/>
        <w:spacing w:line="360" w:lineRule="auto"/>
        <w:ind w:firstLine="480" w:firstLineChars="200"/>
        <w:jc w:val="both"/>
        <w:outlineLvl w:val="9"/>
        <w:rPr>
          <w:rFonts w:hint="eastAsia" w:ascii="Times New Roman" w:hAnsi="Times New Roman" w:eastAsia="宋体" w:cs="宋体"/>
          <w:b w:val="0"/>
          <w:bCs w:val="0"/>
          <w:kern w:val="2"/>
          <w:sz w:val="24"/>
          <w:szCs w:val="24"/>
          <w:lang w:val="en-US" w:eastAsia="zh-CN" w:bidi="zh-CN"/>
        </w:rPr>
      </w:pPr>
      <w:r>
        <w:rPr>
          <w:rFonts w:hint="eastAsia" w:ascii="Times New Roman" w:hAnsi="Times New Roman" w:eastAsia="宋体" w:cs="宋体"/>
          <w:b w:val="0"/>
          <w:bCs w:val="0"/>
          <w:kern w:val="2"/>
          <w:sz w:val="24"/>
          <w:szCs w:val="24"/>
          <w:lang w:val="en-US" w:eastAsia="zh-CN" w:bidi="zh-CN"/>
        </w:rPr>
        <w:t>本项目周边环境敏感点关系图见附图二，其中环境空气主要环境保护目标见表2-20、地表水及声环境环境保护目标见表2-21。</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宋体"/>
          <w:b/>
          <w:bCs/>
          <w:kern w:val="2"/>
          <w:sz w:val="24"/>
          <w:szCs w:val="24"/>
          <w:highlight w:val="none"/>
          <w:lang w:val="en-US" w:eastAsia="zh-CN" w:bidi="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宋体"/>
          <w:b/>
          <w:bCs/>
          <w:kern w:val="2"/>
          <w:sz w:val="24"/>
          <w:szCs w:val="24"/>
          <w:highlight w:val="none"/>
          <w:lang w:val="en-US" w:eastAsia="zh-CN" w:bidi="zh-CN"/>
        </w:rPr>
      </w:pPr>
      <w:r>
        <w:rPr>
          <w:rFonts w:hint="eastAsia" w:ascii="Times New Roman" w:hAnsi="Times New Roman" w:eastAsia="宋体" w:cs="宋体"/>
          <w:b/>
          <w:bCs/>
          <w:kern w:val="2"/>
          <w:sz w:val="24"/>
          <w:szCs w:val="24"/>
          <w:highlight w:val="none"/>
          <w:lang w:val="en-US" w:eastAsia="zh-CN" w:bidi="zh-CN"/>
        </w:rPr>
        <w:t>表2-20    项目周边主要大气环境保护目标</w:t>
      </w:r>
    </w:p>
    <w:tbl>
      <w:tblPr>
        <w:tblStyle w:val="21"/>
        <w:tblW w:w="903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365"/>
        <w:gridCol w:w="1380"/>
        <w:gridCol w:w="1590"/>
        <w:gridCol w:w="1065"/>
        <w:gridCol w:w="1140"/>
        <w:gridCol w:w="873"/>
        <w:gridCol w:w="11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vMerge w:val="restart"/>
            <w:tcBorders>
              <w:tl2br w:val="nil"/>
              <w:tr2bl w:val="nil"/>
            </w:tcBorders>
            <w:vAlign w:val="center"/>
          </w:tcPr>
          <w:p>
            <w:pPr>
              <w:keepNext w:val="0"/>
              <w:keepLines w:val="0"/>
              <w:pageBreakBefore w:val="0"/>
              <w:widowControl w:val="0"/>
              <w:tabs>
                <w:tab w:val="left" w:pos="48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79" w:name="_Toc31535"/>
            <w:r>
              <w:rPr>
                <w:rFonts w:hint="eastAsia" w:ascii="Times New Roman" w:hAnsi="Times New Roman" w:eastAsia="宋体" w:cs="宋体"/>
                <w:b w:val="0"/>
                <w:bCs w:val="0"/>
                <w:kern w:val="2"/>
                <w:sz w:val="18"/>
                <w:szCs w:val="18"/>
                <w:vertAlign w:val="baseline"/>
                <w:lang w:val="en-US" w:eastAsia="zh-CN" w:bidi="zh-CN"/>
              </w:rPr>
              <w:t>序号</w:t>
            </w:r>
            <w:bookmarkEnd w:id="79"/>
          </w:p>
        </w:tc>
        <w:tc>
          <w:tcPr>
            <w:tcW w:w="27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80" w:name="_Toc31598"/>
            <w:r>
              <w:rPr>
                <w:rFonts w:hint="eastAsia" w:ascii="Times New Roman" w:hAnsi="Times New Roman" w:eastAsia="宋体" w:cs="宋体"/>
                <w:b w:val="0"/>
                <w:bCs w:val="0"/>
                <w:kern w:val="2"/>
                <w:sz w:val="18"/>
                <w:szCs w:val="18"/>
                <w:vertAlign w:val="baseline"/>
                <w:lang w:val="en-US" w:eastAsia="zh-CN" w:bidi="zh-CN"/>
              </w:rPr>
              <w:t>坐标</w:t>
            </w:r>
            <w:bookmarkEnd w:id="80"/>
          </w:p>
        </w:tc>
        <w:tc>
          <w:tcPr>
            <w:tcW w:w="15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81" w:name="_Toc10476"/>
            <w:r>
              <w:rPr>
                <w:rFonts w:hint="eastAsia" w:ascii="Times New Roman" w:hAnsi="Times New Roman" w:eastAsia="宋体" w:cs="宋体"/>
                <w:b w:val="0"/>
                <w:bCs w:val="0"/>
                <w:kern w:val="2"/>
                <w:sz w:val="18"/>
                <w:szCs w:val="18"/>
                <w:vertAlign w:val="baseline"/>
                <w:lang w:val="en-US" w:eastAsia="zh-CN" w:bidi="zh-CN"/>
              </w:rPr>
              <w:t>保护对象</w:t>
            </w:r>
            <w:bookmarkEnd w:id="81"/>
          </w:p>
        </w:tc>
        <w:tc>
          <w:tcPr>
            <w:tcW w:w="106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82" w:name="_Toc29551"/>
            <w:r>
              <w:rPr>
                <w:rFonts w:hint="eastAsia" w:ascii="Times New Roman" w:hAnsi="Times New Roman" w:eastAsia="宋体" w:cs="宋体"/>
                <w:b w:val="0"/>
                <w:bCs w:val="0"/>
                <w:kern w:val="2"/>
                <w:sz w:val="18"/>
                <w:szCs w:val="18"/>
                <w:highlight w:val="none"/>
                <w:vertAlign w:val="baseline"/>
                <w:lang w:val="en-US" w:eastAsia="zh-CN" w:bidi="zh-CN"/>
              </w:rPr>
              <w:t>保护内容</w:t>
            </w:r>
            <w:bookmarkEnd w:id="82"/>
          </w:p>
        </w:tc>
        <w:tc>
          <w:tcPr>
            <w:tcW w:w="11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83" w:name="_Toc16865"/>
            <w:r>
              <w:rPr>
                <w:rFonts w:hint="eastAsia" w:ascii="Times New Roman" w:hAnsi="Times New Roman" w:eastAsia="宋体" w:cs="宋体"/>
                <w:b w:val="0"/>
                <w:bCs w:val="0"/>
                <w:kern w:val="2"/>
                <w:sz w:val="18"/>
                <w:szCs w:val="18"/>
                <w:vertAlign w:val="baseline"/>
                <w:lang w:val="en-US" w:eastAsia="zh-CN" w:bidi="zh-CN"/>
              </w:rPr>
              <w:t>功能区</w:t>
            </w:r>
            <w:bookmarkEnd w:id="83"/>
          </w:p>
        </w:tc>
        <w:tc>
          <w:tcPr>
            <w:tcW w:w="8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84" w:name="_Toc6094"/>
            <w:r>
              <w:rPr>
                <w:rFonts w:hint="eastAsia" w:ascii="Times New Roman" w:hAnsi="Times New Roman" w:eastAsia="宋体" w:cs="宋体"/>
                <w:b w:val="0"/>
                <w:bCs w:val="0"/>
                <w:kern w:val="2"/>
                <w:sz w:val="18"/>
                <w:szCs w:val="18"/>
                <w:vertAlign w:val="baseline"/>
                <w:lang w:val="en-US" w:eastAsia="zh-CN" w:bidi="zh-CN"/>
              </w:rPr>
              <w:t>方向</w:t>
            </w:r>
            <w:bookmarkEnd w:id="84"/>
          </w:p>
        </w:tc>
        <w:tc>
          <w:tcPr>
            <w:tcW w:w="112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85" w:name="_Toc12455"/>
            <w:r>
              <w:rPr>
                <w:rFonts w:hint="eastAsia" w:ascii="Times New Roman" w:hAnsi="Times New Roman" w:eastAsia="宋体" w:cs="宋体"/>
                <w:b w:val="0"/>
                <w:bCs w:val="0"/>
                <w:kern w:val="2"/>
                <w:sz w:val="18"/>
                <w:szCs w:val="18"/>
                <w:vertAlign w:val="baseline"/>
                <w:lang w:val="en-US" w:eastAsia="zh-CN" w:bidi="zh-CN"/>
              </w:rPr>
              <w:t>与项目边界距离</w:t>
            </w:r>
            <w:bookmarkEnd w:id="8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86" w:name="_Toc15080"/>
            <w:r>
              <w:rPr>
                <w:rFonts w:hint="eastAsia" w:ascii="Times New Roman" w:hAnsi="Times New Roman" w:eastAsia="宋体" w:cs="宋体"/>
                <w:b w:val="0"/>
                <w:bCs w:val="0"/>
                <w:kern w:val="2"/>
                <w:sz w:val="18"/>
                <w:szCs w:val="18"/>
                <w:vertAlign w:val="baseline"/>
                <w:lang w:val="en-US" w:eastAsia="zh-CN" w:bidi="zh-CN"/>
              </w:rPr>
              <w:t>E</w:t>
            </w:r>
            <w:bookmarkEnd w:id="86"/>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87" w:name="_Toc28594"/>
            <w:r>
              <w:rPr>
                <w:rFonts w:hint="eastAsia" w:ascii="Times New Roman" w:hAnsi="Times New Roman" w:eastAsia="宋体" w:cs="宋体"/>
                <w:b w:val="0"/>
                <w:bCs w:val="0"/>
                <w:kern w:val="2"/>
                <w:sz w:val="18"/>
                <w:szCs w:val="18"/>
                <w:vertAlign w:val="baseline"/>
                <w:lang w:val="en-US" w:eastAsia="zh-CN" w:bidi="zh-CN"/>
              </w:rPr>
              <w:t>N</w:t>
            </w:r>
            <w:bookmarkEnd w:id="87"/>
          </w:p>
        </w:tc>
        <w:tc>
          <w:tcPr>
            <w:tcW w:w="15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p>
        </w:tc>
        <w:tc>
          <w:tcPr>
            <w:tcW w:w="10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p>
        </w:tc>
        <w:tc>
          <w:tcPr>
            <w:tcW w:w="11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p>
        </w:tc>
        <w:tc>
          <w:tcPr>
            <w:tcW w:w="8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p>
        </w:tc>
        <w:tc>
          <w:tcPr>
            <w:tcW w:w="11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88" w:name="_Toc8415"/>
            <w:r>
              <w:rPr>
                <w:rFonts w:hint="eastAsia" w:ascii="Times New Roman" w:hAnsi="Times New Roman" w:eastAsia="宋体" w:cs="宋体"/>
                <w:b w:val="0"/>
                <w:bCs w:val="0"/>
                <w:kern w:val="2"/>
                <w:sz w:val="18"/>
                <w:szCs w:val="18"/>
                <w:vertAlign w:val="baseline"/>
                <w:lang w:val="en-US" w:eastAsia="zh-CN" w:bidi="zh-CN"/>
              </w:rPr>
              <w:t>1</w:t>
            </w:r>
            <w:bookmarkEnd w:id="88"/>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89" w:name="_Toc45"/>
            <w:r>
              <w:rPr>
                <w:rFonts w:hint="eastAsia" w:ascii="Times New Roman" w:hAnsi="Times New Roman" w:eastAsia="宋体" w:cs="宋体"/>
                <w:b w:val="0"/>
                <w:bCs w:val="0"/>
                <w:kern w:val="2"/>
                <w:sz w:val="18"/>
                <w:szCs w:val="18"/>
                <w:vertAlign w:val="baseline"/>
                <w:lang w:val="en-US" w:eastAsia="zh-CN" w:bidi="zh-CN"/>
              </w:rPr>
              <w:t>113.34423065</w:t>
            </w:r>
            <w:bookmarkEnd w:id="89"/>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0" w:name="_Toc9593"/>
            <w:r>
              <w:rPr>
                <w:rFonts w:hint="eastAsia" w:ascii="Times New Roman" w:hAnsi="Times New Roman" w:eastAsia="宋体" w:cs="宋体"/>
                <w:b w:val="0"/>
                <w:bCs w:val="0"/>
                <w:kern w:val="2"/>
                <w:sz w:val="18"/>
                <w:szCs w:val="18"/>
                <w:vertAlign w:val="baseline"/>
                <w:lang w:val="en-US" w:eastAsia="zh-CN" w:bidi="zh-CN"/>
              </w:rPr>
              <w:t>33.59667643</w:t>
            </w:r>
            <w:bookmarkEnd w:id="90"/>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1" w:name="_Toc22752"/>
            <w:r>
              <w:rPr>
                <w:rFonts w:hint="eastAsia" w:cs="Times New Roman"/>
                <w:color w:val="auto"/>
                <w:sz w:val="18"/>
                <w:szCs w:val="18"/>
                <w:u w:val="none"/>
                <w:lang w:val="en-US" w:eastAsia="zh-CN"/>
              </w:rPr>
              <w:t>官庄村</w:t>
            </w:r>
            <w:bookmarkEnd w:id="91"/>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2" w:name="_Toc19957"/>
            <w:r>
              <w:rPr>
                <w:rFonts w:hint="eastAsia" w:ascii="Times New Roman" w:hAnsi="Times New Roman" w:eastAsia="宋体" w:cs="宋体"/>
                <w:b w:val="0"/>
                <w:bCs w:val="0"/>
                <w:kern w:val="2"/>
                <w:sz w:val="18"/>
                <w:szCs w:val="18"/>
                <w:vertAlign w:val="baseline"/>
                <w:lang w:val="en-US" w:eastAsia="zh-CN" w:bidi="zh-CN"/>
              </w:rPr>
              <w:t>520人</w:t>
            </w:r>
            <w:bookmarkEnd w:id="92"/>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3" w:name="_Toc5448"/>
            <w:r>
              <w:rPr>
                <w:rFonts w:hint="eastAsia" w:ascii="Times New Roman" w:hAnsi="Times New Roman" w:eastAsia="宋体" w:cs="宋体"/>
                <w:b w:val="0"/>
                <w:bCs w:val="0"/>
                <w:kern w:val="2"/>
                <w:sz w:val="18"/>
                <w:szCs w:val="18"/>
                <w:vertAlign w:val="baseline"/>
                <w:lang w:val="en-US" w:eastAsia="zh-CN" w:bidi="zh-CN"/>
              </w:rPr>
              <w:t>二类区</w:t>
            </w:r>
            <w:bookmarkEnd w:id="93"/>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4" w:name="_Toc3661"/>
            <w:r>
              <w:rPr>
                <w:rFonts w:hint="eastAsia" w:ascii="Times New Roman" w:hAnsi="Times New Roman" w:eastAsia="宋体" w:cs="宋体"/>
                <w:b w:val="0"/>
                <w:bCs w:val="0"/>
                <w:kern w:val="2"/>
                <w:sz w:val="18"/>
                <w:szCs w:val="18"/>
                <w:vertAlign w:val="baseline"/>
                <w:lang w:val="en-US" w:eastAsia="zh-CN" w:bidi="zh-CN"/>
              </w:rPr>
              <w:t>西北</w:t>
            </w:r>
            <w:bookmarkEnd w:id="94"/>
          </w:p>
        </w:tc>
        <w:tc>
          <w:tcPr>
            <w:tcW w:w="1129" w:type="dxa"/>
            <w:tcBorders>
              <w:tl2br w:val="nil"/>
              <w:tr2bl w:val="nil"/>
            </w:tcBorders>
            <w:vAlign w:val="center"/>
          </w:tcPr>
          <w:p>
            <w:pPr>
              <w:keepNext w:val="0"/>
              <w:keepLines w:val="0"/>
              <w:pageBreakBefore w:val="0"/>
              <w:widowControl w:val="0"/>
              <w:wordWrap/>
              <w:overflowPunct/>
              <w:topLinePunct w:val="0"/>
              <w:bidi w:val="0"/>
              <w:adjustRightInd w:val="0"/>
              <w:snapToGrid w:val="0"/>
              <w:jc w:val="center"/>
              <w:outlineLvl w:val="9"/>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cs="Times New Roman"/>
                <w:color w:val="auto"/>
                <w:kern w:val="0"/>
                <w:sz w:val="18"/>
                <w:szCs w:val="18"/>
                <w:u w:val="none"/>
                <w:lang w:val="en-US" w:eastAsia="zh-CN"/>
              </w:rPr>
              <w:t>1</w:t>
            </w:r>
            <w:r>
              <w:rPr>
                <w:rFonts w:hint="eastAsia" w:ascii="Times New Roman" w:hAnsi="Times New Roman" w:cs="Times New Roman"/>
                <w:color w:val="auto"/>
                <w:kern w:val="0"/>
                <w:sz w:val="18"/>
                <w:szCs w:val="18"/>
                <w:u w:val="none"/>
                <w:lang w:val="en-US" w:eastAsia="zh-CN"/>
              </w:rPr>
              <w:t>4</w:t>
            </w:r>
            <w:r>
              <w:rPr>
                <w:rFonts w:hint="default" w:ascii="Times New Roman" w:hAnsi="Times New Roman" w:cs="Times New Roman"/>
                <w:color w:val="auto"/>
                <w:kern w:val="0"/>
                <w:sz w:val="18"/>
                <w:szCs w:val="18"/>
                <w:u w:val="none"/>
                <w:lang w:val="en-US" w:eastAsia="zh-CN"/>
              </w:rPr>
              <w:t>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95" w:name="_Toc11830"/>
            <w:r>
              <w:rPr>
                <w:rFonts w:hint="eastAsia" w:ascii="Times New Roman" w:hAnsi="Times New Roman" w:eastAsia="宋体" w:cs="宋体"/>
                <w:b w:val="0"/>
                <w:bCs w:val="0"/>
                <w:kern w:val="2"/>
                <w:sz w:val="18"/>
                <w:szCs w:val="18"/>
                <w:vertAlign w:val="baseline"/>
                <w:lang w:val="en-US" w:eastAsia="zh-CN" w:bidi="zh-CN"/>
              </w:rPr>
              <w:t>2</w:t>
            </w:r>
            <w:bookmarkEnd w:id="95"/>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6" w:name="_Toc1473"/>
            <w:r>
              <w:rPr>
                <w:rFonts w:hint="eastAsia" w:ascii="Times New Roman" w:hAnsi="Times New Roman" w:eastAsia="宋体" w:cs="宋体"/>
                <w:b w:val="0"/>
                <w:bCs w:val="0"/>
                <w:kern w:val="2"/>
                <w:sz w:val="18"/>
                <w:szCs w:val="18"/>
                <w:vertAlign w:val="baseline"/>
                <w:lang w:val="en-US" w:eastAsia="zh-CN" w:bidi="zh-CN"/>
              </w:rPr>
              <w:t>113.34948778</w:t>
            </w:r>
            <w:bookmarkEnd w:id="96"/>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7" w:name="_Toc4284"/>
            <w:r>
              <w:rPr>
                <w:rFonts w:hint="eastAsia" w:ascii="Times New Roman" w:hAnsi="Times New Roman" w:eastAsia="宋体" w:cs="宋体"/>
                <w:b w:val="0"/>
                <w:bCs w:val="0"/>
                <w:kern w:val="2"/>
                <w:sz w:val="18"/>
                <w:szCs w:val="18"/>
                <w:vertAlign w:val="baseline"/>
                <w:lang w:val="en-US" w:eastAsia="zh-CN" w:bidi="zh-CN"/>
              </w:rPr>
              <w:t>33.59358430</w:t>
            </w:r>
            <w:bookmarkEnd w:id="97"/>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8" w:name="_Toc21674"/>
            <w:r>
              <w:rPr>
                <w:rFonts w:hint="eastAsia" w:cs="Times New Roman"/>
                <w:color w:val="auto"/>
                <w:sz w:val="18"/>
                <w:szCs w:val="18"/>
                <w:u w:val="none"/>
                <w:lang w:val="en-US" w:eastAsia="zh-CN"/>
              </w:rPr>
              <w:t>马庄村（散户）</w:t>
            </w:r>
            <w:bookmarkEnd w:id="98"/>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3人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99" w:name="_Toc32221"/>
            <w:r>
              <w:rPr>
                <w:rFonts w:hint="eastAsia" w:ascii="Times New Roman" w:hAnsi="Times New Roman" w:eastAsia="宋体" w:cs="宋体"/>
                <w:b w:val="0"/>
                <w:bCs w:val="0"/>
                <w:kern w:val="2"/>
                <w:sz w:val="18"/>
                <w:szCs w:val="18"/>
                <w:vertAlign w:val="baseline"/>
                <w:lang w:val="en-US" w:eastAsia="zh-CN" w:bidi="zh-CN"/>
              </w:rPr>
              <w:t>二类区</w:t>
            </w:r>
            <w:bookmarkEnd w:id="99"/>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00" w:name="_Toc10120"/>
            <w:r>
              <w:rPr>
                <w:rFonts w:hint="eastAsia" w:ascii="Times New Roman" w:hAnsi="Times New Roman" w:eastAsia="宋体" w:cs="宋体"/>
                <w:b w:val="0"/>
                <w:bCs w:val="0"/>
                <w:kern w:val="2"/>
                <w:sz w:val="18"/>
                <w:szCs w:val="18"/>
                <w:vertAlign w:val="baseline"/>
                <w:lang w:val="en-US" w:eastAsia="zh-CN" w:bidi="zh-CN"/>
              </w:rPr>
              <w:t>东南</w:t>
            </w:r>
            <w:bookmarkEnd w:id="100"/>
          </w:p>
        </w:tc>
        <w:tc>
          <w:tcPr>
            <w:tcW w:w="1129" w:type="dxa"/>
            <w:tcBorders>
              <w:tl2br w:val="nil"/>
              <w:tr2bl w:val="nil"/>
            </w:tcBorders>
            <w:vAlign w:val="center"/>
          </w:tcPr>
          <w:p>
            <w:pPr>
              <w:keepNext w:val="0"/>
              <w:keepLines w:val="0"/>
              <w:pageBreakBefore w:val="0"/>
              <w:widowControl w:val="0"/>
              <w:wordWrap/>
              <w:overflowPunct/>
              <w:topLinePunct w:val="0"/>
              <w:bidi w:val="0"/>
              <w:adjustRightInd w:val="0"/>
              <w:snapToGrid w:val="0"/>
              <w:jc w:val="center"/>
              <w:outlineLvl w:val="9"/>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cs="Times New Roman"/>
                <w:color w:val="auto"/>
                <w:kern w:val="0"/>
                <w:sz w:val="18"/>
                <w:szCs w:val="18"/>
                <w:u w:val="none"/>
                <w:lang w:val="en-US" w:eastAsia="zh-CN"/>
              </w:rPr>
              <w:t>1</w:t>
            </w:r>
            <w:r>
              <w:rPr>
                <w:rFonts w:hint="eastAsia" w:ascii="Times New Roman" w:hAnsi="Times New Roman" w:cs="Times New Roman"/>
                <w:color w:val="auto"/>
                <w:kern w:val="0"/>
                <w:sz w:val="18"/>
                <w:szCs w:val="18"/>
                <w:u w:val="none"/>
                <w:lang w:val="en-US" w:eastAsia="zh-CN"/>
              </w:rPr>
              <w:t>21</w:t>
            </w:r>
            <w:r>
              <w:rPr>
                <w:rFonts w:hint="default" w:ascii="Times New Roman" w:hAnsi="Times New Roman" w:cs="Times New Roman"/>
                <w:color w:val="auto"/>
                <w:kern w:val="0"/>
                <w:sz w:val="18"/>
                <w:szCs w:val="18"/>
                <w:u w:val="non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01" w:name="_Toc6182"/>
            <w:r>
              <w:rPr>
                <w:rFonts w:hint="eastAsia" w:ascii="Times New Roman" w:hAnsi="Times New Roman" w:eastAsia="宋体" w:cs="宋体"/>
                <w:b w:val="0"/>
                <w:bCs w:val="0"/>
                <w:kern w:val="2"/>
                <w:sz w:val="18"/>
                <w:szCs w:val="18"/>
                <w:vertAlign w:val="baseline"/>
                <w:lang w:val="en-US" w:eastAsia="zh-CN" w:bidi="zh-CN"/>
              </w:rPr>
              <w:t>3</w:t>
            </w:r>
            <w:bookmarkEnd w:id="101"/>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02" w:name="_Toc23392"/>
            <w:r>
              <w:rPr>
                <w:rFonts w:hint="eastAsia" w:ascii="Times New Roman" w:hAnsi="Times New Roman" w:eastAsia="宋体" w:cs="宋体"/>
                <w:b w:val="0"/>
                <w:bCs w:val="0"/>
                <w:kern w:val="2"/>
                <w:sz w:val="18"/>
                <w:szCs w:val="18"/>
                <w:vertAlign w:val="baseline"/>
                <w:lang w:val="en-US" w:eastAsia="zh-CN" w:bidi="zh-CN"/>
              </w:rPr>
              <w:t>113.35062504</w:t>
            </w:r>
            <w:bookmarkEnd w:id="102"/>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03" w:name="_Toc30885"/>
            <w:r>
              <w:rPr>
                <w:rFonts w:hint="eastAsia" w:ascii="Times New Roman" w:hAnsi="Times New Roman" w:eastAsia="宋体" w:cs="宋体"/>
                <w:b w:val="0"/>
                <w:bCs w:val="0"/>
                <w:kern w:val="2"/>
                <w:sz w:val="18"/>
                <w:szCs w:val="18"/>
                <w:vertAlign w:val="baseline"/>
                <w:lang w:val="en-US" w:eastAsia="zh-CN" w:bidi="zh-CN"/>
              </w:rPr>
              <w:t>33.58906209</w:t>
            </w:r>
            <w:bookmarkEnd w:id="103"/>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04" w:name="_Toc14697"/>
            <w:r>
              <w:rPr>
                <w:rFonts w:hint="eastAsia" w:cs="Times New Roman"/>
                <w:color w:val="auto"/>
                <w:sz w:val="18"/>
                <w:szCs w:val="18"/>
                <w:u w:val="none"/>
                <w:lang w:eastAsia="zh-CN"/>
              </w:rPr>
              <w:t>马庄</w:t>
            </w:r>
            <w:r>
              <w:rPr>
                <w:rFonts w:hint="default" w:ascii="Times New Roman" w:hAnsi="Times New Roman" w:cs="Times New Roman"/>
                <w:color w:val="auto"/>
                <w:sz w:val="18"/>
                <w:szCs w:val="18"/>
                <w:u w:val="none"/>
                <w:lang w:eastAsia="zh-CN"/>
              </w:rPr>
              <w:t>村</w:t>
            </w:r>
            <w:r>
              <w:rPr>
                <w:rFonts w:hint="eastAsia" w:cs="Times New Roman"/>
                <w:color w:val="auto"/>
                <w:sz w:val="18"/>
                <w:szCs w:val="18"/>
                <w:u w:val="none"/>
                <w:lang w:eastAsia="zh-CN"/>
              </w:rPr>
              <w:t>（主村）</w:t>
            </w:r>
            <w:bookmarkEnd w:id="104"/>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1480人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05" w:name="_Toc12560"/>
            <w:r>
              <w:rPr>
                <w:rFonts w:hint="eastAsia" w:ascii="Times New Roman" w:hAnsi="Times New Roman" w:eastAsia="宋体" w:cs="宋体"/>
                <w:b w:val="0"/>
                <w:bCs w:val="0"/>
                <w:kern w:val="2"/>
                <w:sz w:val="18"/>
                <w:szCs w:val="18"/>
                <w:vertAlign w:val="baseline"/>
                <w:lang w:val="en-US" w:eastAsia="zh-CN" w:bidi="zh-CN"/>
              </w:rPr>
              <w:t>二类区</w:t>
            </w:r>
            <w:bookmarkEnd w:id="105"/>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06" w:name="_Toc5449"/>
            <w:r>
              <w:rPr>
                <w:rFonts w:hint="eastAsia" w:ascii="Times New Roman" w:hAnsi="Times New Roman" w:eastAsia="宋体" w:cs="宋体"/>
                <w:b w:val="0"/>
                <w:bCs w:val="0"/>
                <w:kern w:val="2"/>
                <w:sz w:val="18"/>
                <w:szCs w:val="18"/>
                <w:vertAlign w:val="baseline"/>
                <w:lang w:val="en-US" w:eastAsia="zh-CN" w:bidi="zh-CN"/>
              </w:rPr>
              <w:t>南</w:t>
            </w:r>
            <w:bookmarkEnd w:id="106"/>
          </w:p>
        </w:tc>
        <w:tc>
          <w:tcPr>
            <w:tcW w:w="1129" w:type="dxa"/>
            <w:tcBorders>
              <w:tl2br w:val="nil"/>
              <w:tr2bl w:val="nil"/>
            </w:tcBorders>
            <w:vAlign w:val="center"/>
          </w:tcPr>
          <w:p>
            <w:pPr>
              <w:keepNext w:val="0"/>
              <w:keepLines w:val="0"/>
              <w:pageBreakBefore w:val="0"/>
              <w:widowControl w:val="0"/>
              <w:wordWrap/>
              <w:overflowPunct/>
              <w:topLinePunct w:val="0"/>
              <w:bidi w:val="0"/>
              <w:adjustRightInd w:val="0"/>
              <w:snapToGrid w:val="0"/>
              <w:jc w:val="center"/>
              <w:outlineLvl w:val="9"/>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cs="Times New Roman"/>
                <w:color w:val="auto"/>
                <w:kern w:val="0"/>
                <w:sz w:val="18"/>
                <w:szCs w:val="18"/>
                <w:u w:val="none"/>
                <w:lang w:val="en-US" w:eastAsia="zh-CN"/>
              </w:rPr>
              <w:t>350m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07" w:name="_Toc12448"/>
            <w:r>
              <w:rPr>
                <w:rFonts w:hint="eastAsia" w:ascii="Times New Roman" w:hAnsi="Times New Roman" w:eastAsia="宋体" w:cs="宋体"/>
                <w:b w:val="0"/>
                <w:bCs w:val="0"/>
                <w:kern w:val="2"/>
                <w:sz w:val="18"/>
                <w:szCs w:val="18"/>
                <w:vertAlign w:val="baseline"/>
                <w:lang w:val="en-US" w:eastAsia="zh-CN" w:bidi="zh-CN"/>
              </w:rPr>
              <w:t>4</w:t>
            </w:r>
            <w:bookmarkEnd w:id="107"/>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08" w:name="_Toc17739"/>
            <w:r>
              <w:rPr>
                <w:rFonts w:hint="eastAsia" w:ascii="Times New Roman" w:hAnsi="Times New Roman" w:eastAsia="宋体" w:cs="宋体"/>
                <w:b w:val="0"/>
                <w:bCs w:val="0"/>
                <w:kern w:val="2"/>
                <w:sz w:val="18"/>
                <w:szCs w:val="18"/>
                <w:vertAlign w:val="baseline"/>
                <w:lang w:val="en-US" w:eastAsia="zh-CN" w:bidi="zh-CN"/>
              </w:rPr>
              <w:t>113.35086107</w:t>
            </w:r>
            <w:bookmarkEnd w:id="108"/>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09" w:name="_Toc22313"/>
            <w:r>
              <w:rPr>
                <w:rFonts w:hint="eastAsia" w:ascii="Times New Roman" w:hAnsi="Times New Roman" w:eastAsia="宋体" w:cs="宋体"/>
                <w:b w:val="0"/>
                <w:bCs w:val="0"/>
                <w:kern w:val="2"/>
                <w:sz w:val="18"/>
                <w:szCs w:val="18"/>
                <w:vertAlign w:val="baseline"/>
                <w:lang w:val="en-US" w:eastAsia="zh-CN" w:bidi="zh-CN"/>
              </w:rPr>
              <w:t>33.59683729</w:t>
            </w:r>
            <w:bookmarkEnd w:id="109"/>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10" w:name="_Toc26144"/>
            <w:r>
              <w:rPr>
                <w:rFonts w:hint="eastAsia" w:cs="Times New Roman"/>
                <w:color w:val="auto"/>
                <w:sz w:val="18"/>
                <w:szCs w:val="18"/>
                <w:u w:val="none"/>
                <w:lang w:val="en-US" w:eastAsia="zh-CN"/>
              </w:rPr>
              <w:t>张庄村</w:t>
            </w:r>
            <w:r>
              <w:rPr>
                <w:rFonts w:hint="eastAsia" w:cs="Times New Roman"/>
                <w:color w:val="auto"/>
                <w:sz w:val="18"/>
                <w:szCs w:val="18"/>
                <w:u w:val="none"/>
                <w:lang w:eastAsia="zh-CN"/>
              </w:rPr>
              <w:t>（主村）</w:t>
            </w:r>
            <w:bookmarkEnd w:id="110"/>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1435人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11" w:name="_Toc26873"/>
            <w:r>
              <w:rPr>
                <w:rFonts w:hint="eastAsia" w:ascii="Times New Roman" w:hAnsi="Times New Roman" w:eastAsia="宋体" w:cs="宋体"/>
                <w:b w:val="0"/>
                <w:bCs w:val="0"/>
                <w:kern w:val="2"/>
                <w:sz w:val="18"/>
                <w:szCs w:val="18"/>
                <w:vertAlign w:val="baseline"/>
                <w:lang w:val="en-US" w:eastAsia="zh-CN" w:bidi="zh-CN"/>
              </w:rPr>
              <w:t>二类区</w:t>
            </w:r>
            <w:bookmarkEnd w:id="111"/>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12" w:name="_Toc7252"/>
            <w:r>
              <w:rPr>
                <w:rFonts w:hint="eastAsia" w:ascii="Times New Roman" w:hAnsi="Times New Roman" w:eastAsia="宋体" w:cs="宋体"/>
                <w:b w:val="0"/>
                <w:bCs w:val="0"/>
                <w:kern w:val="2"/>
                <w:sz w:val="18"/>
                <w:szCs w:val="18"/>
                <w:vertAlign w:val="baseline"/>
                <w:lang w:val="en-US" w:eastAsia="zh-CN" w:bidi="zh-CN"/>
              </w:rPr>
              <w:t>东南</w:t>
            </w:r>
            <w:bookmarkEnd w:id="112"/>
          </w:p>
        </w:tc>
        <w:tc>
          <w:tcPr>
            <w:tcW w:w="1129" w:type="dxa"/>
            <w:tcBorders>
              <w:tl2br w:val="nil"/>
              <w:tr2bl w:val="nil"/>
            </w:tcBorders>
            <w:vAlign w:val="center"/>
          </w:tcPr>
          <w:p>
            <w:pPr>
              <w:keepNext w:val="0"/>
              <w:keepLines w:val="0"/>
              <w:pageBreakBefore w:val="0"/>
              <w:widowControl w:val="0"/>
              <w:wordWrap/>
              <w:overflowPunct/>
              <w:topLinePunct w:val="0"/>
              <w:bidi w:val="0"/>
              <w:adjustRightInd w:val="0"/>
              <w:snapToGrid w:val="0"/>
              <w:jc w:val="center"/>
              <w:outlineLvl w:val="9"/>
              <w:rPr>
                <w:rFonts w:hint="default" w:ascii="Times New Roman" w:hAnsi="Times New Roman" w:eastAsia="Arial" w:cs="Times New Roman"/>
                <w:snapToGrid w:val="0"/>
                <w:color w:val="auto"/>
                <w:kern w:val="0"/>
                <w:sz w:val="18"/>
                <w:szCs w:val="18"/>
                <w:u w:val="none"/>
                <w:lang w:val="en-US" w:eastAsia="zh-CN" w:bidi="ar-SA"/>
              </w:rPr>
            </w:pPr>
            <w:r>
              <w:rPr>
                <w:rFonts w:hint="default" w:ascii="Times New Roman" w:hAnsi="Times New Roman" w:cs="Times New Roman"/>
                <w:color w:val="auto"/>
                <w:kern w:val="0"/>
                <w:sz w:val="18"/>
                <w:szCs w:val="18"/>
                <w:u w:val="none"/>
                <w:lang w:val="en-US" w:eastAsia="zh-CN"/>
              </w:rPr>
              <w:t>319m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13" w:name="_Toc16703"/>
            <w:r>
              <w:rPr>
                <w:rFonts w:hint="eastAsia" w:ascii="Times New Roman" w:hAnsi="Times New Roman" w:eastAsia="宋体" w:cs="宋体"/>
                <w:b w:val="0"/>
                <w:bCs w:val="0"/>
                <w:kern w:val="2"/>
                <w:sz w:val="18"/>
                <w:szCs w:val="18"/>
                <w:vertAlign w:val="baseline"/>
                <w:lang w:val="en-US" w:eastAsia="zh-CN" w:bidi="zh-CN"/>
              </w:rPr>
              <w:t>5</w:t>
            </w:r>
            <w:bookmarkEnd w:id="113"/>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14" w:name="_Toc19452"/>
            <w:r>
              <w:rPr>
                <w:rFonts w:hint="eastAsia" w:ascii="Times New Roman" w:hAnsi="Times New Roman" w:eastAsia="宋体" w:cs="宋体"/>
                <w:b w:val="0"/>
                <w:bCs w:val="0"/>
                <w:kern w:val="2"/>
                <w:sz w:val="18"/>
                <w:szCs w:val="18"/>
                <w:vertAlign w:val="baseline"/>
                <w:lang w:val="en-US" w:eastAsia="zh-CN" w:bidi="zh-CN"/>
              </w:rPr>
              <w:t>113.34923029</w:t>
            </w:r>
            <w:bookmarkEnd w:id="114"/>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15" w:name="_Toc23544"/>
            <w:r>
              <w:rPr>
                <w:rFonts w:hint="eastAsia" w:ascii="Times New Roman" w:hAnsi="Times New Roman" w:eastAsia="宋体" w:cs="宋体"/>
                <w:b w:val="0"/>
                <w:bCs w:val="0"/>
                <w:kern w:val="2"/>
                <w:sz w:val="18"/>
                <w:szCs w:val="18"/>
                <w:vertAlign w:val="baseline"/>
                <w:lang w:val="en-US" w:eastAsia="zh-CN" w:bidi="zh-CN"/>
              </w:rPr>
              <w:t>33.60082292</w:t>
            </w:r>
            <w:bookmarkEnd w:id="115"/>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16" w:name="_Toc1374"/>
            <w:r>
              <w:rPr>
                <w:rFonts w:hint="eastAsia" w:ascii="Times New Roman" w:hAnsi="Times New Roman" w:eastAsia="宋体" w:cs="宋体"/>
                <w:b w:val="0"/>
                <w:bCs w:val="0"/>
                <w:kern w:val="2"/>
                <w:sz w:val="18"/>
                <w:szCs w:val="18"/>
                <w:vertAlign w:val="baseline"/>
                <w:lang w:val="en-US" w:eastAsia="zh-CN" w:bidi="zh-CN"/>
              </w:rPr>
              <w:t>叶县盐城学校</w:t>
            </w:r>
            <w:bookmarkEnd w:id="116"/>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snapToGrid w:val="0"/>
                <w:color w:val="000000"/>
                <w:kern w:val="2"/>
                <w:sz w:val="18"/>
                <w:szCs w:val="18"/>
                <w:vertAlign w:val="baseline"/>
                <w:lang w:val="en-US" w:eastAsia="zh-CN" w:bidi="zh-CN"/>
              </w:rPr>
              <w:t>2410</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17" w:name="_Toc26775"/>
            <w:r>
              <w:rPr>
                <w:rFonts w:hint="eastAsia" w:ascii="Times New Roman" w:hAnsi="Times New Roman" w:eastAsia="宋体" w:cs="宋体"/>
                <w:b w:val="0"/>
                <w:bCs w:val="0"/>
                <w:kern w:val="2"/>
                <w:sz w:val="18"/>
                <w:szCs w:val="18"/>
                <w:vertAlign w:val="baseline"/>
                <w:lang w:val="en-US" w:eastAsia="zh-CN" w:bidi="zh-CN"/>
              </w:rPr>
              <w:t>二类区</w:t>
            </w:r>
            <w:bookmarkEnd w:id="117"/>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18" w:name="_Toc15151"/>
            <w:r>
              <w:rPr>
                <w:rFonts w:hint="eastAsia" w:ascii="Times New Roman" w:hAnsi="Times New Roman" w:eastAsia="宋体" w:cs="宋体"/>
                <w:b w:val="0"/>
                <w:bCs w:val="0"/>
                <w:kern w:val="2"/>
                <w:sz w:val="18"/>
                <w:szCs w:val="18"/>
                <w:vertAlign w:val="baseline"/>
                <w:lang w:val="en-US" w:eastAsia="zh-CN" w:bidi="zh-CN"/>
              </w:rPr>
              <w:t>北</w:t>
            </w:r>
            <w:bookmarkEnd w:id="118"/>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19" w:name="_Toc7393"/>
            <w:r>
              <w:rPr>
                <w:rFonts w:hint="eastAsia" w:ascii="Times New Roman" w:hAnsi="Times New Roman" w:eastAsia="宋体" w:cs="宋体"/>
                <w:b w:val="0"/>
                <w:bCs w:val="0"/>
                <w:kern w:val="2"/>
                <w:sz w:val="18"/>
                <w:szCs w:val="18"/>
                <w:vertAlign w:val="baseline"/>
                <w:lang w:val="en-US" w:eastAsia="zh-CN" w:bidi="zh-CN"/>
              </w:rPr>
              <w:t>626m</w:t>
            </w:r>
            <w:bookmarkEnd w:id="11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20" w:name="_Toc7307"/>
            <w:r>
              <w:rPr>
                <w:rFonts w:hint="eastAsia" w:ascii="Times New Roman" w:hAnsi="Times New Roman" w:eastAsia="宋体" w:cs="宋体"/>
                <w:b w:val="0"/>
                <w:bCs w:val="0"/>
                <w:kern w:val="2"/>
                <w:sz w:val="18"/>
                <w:szCs w:val="18"/>
                <w:vertAlign w:val="baseline"/>
                <w:lang w:val="en-US" w:eastAsia="zh-CN" w:bidi="zh-CN"/>
              </w:rPr>
              <w:t>6</w:t>
            </w:r>
            <w:bookmarkEnd w:id="120"/>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21" w:name="_Toc23484"/>
            <w:r>
              <w:rPr>
                <w:rFonts w:hint="eastAsia" w:ascii="Times New Roman" w:hAnsi="Times New Roman" w:eastAsia="宋体" w:cs="宋体"/>
                <w:b w:val="0"/>
                <w:bCs w:val="0"/>
                <w:kern w:val="2"/>
                <w:sz w:val="18"/>
                <w:szCs w:val="18"/>
                <w:vertAlign w:val="baseline"/>
                <w:lang w:val="en-US" w:eastAsia="zh-CN" w:bidi="zh-CN"/>
              </w:rPr>
              <w:t>113.34774971</w:t>
            </w:r>
            <w:bookmarkEnd w:id="121"/>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22" w:name="_Toc7757"/>
            <w:r>
              <w:rPr>
                <w:rFonts w:hint="eastAsia" w:ascii="Times New Roman" w:hAnsi="Times New Roman" w:eastAsia="宋体" w:cs="宋体"/>
                <w:b w:val="0"/>
                <w:bCs w:val="0"/>
                <w:kern w:val="2"/>
                <w:sz w:val="18"/>
                <w:szCs w:val="18"/>
                <w:vertAlign w:val="baseline"/>
                <w:lang w:val="en-US" w:eastAsia="zh-CN" w:bidi="zh-CN"/>
              </w:rPr>
              <w:t>33.60143951</w:t>
            </w:r>
            <w:bookmarkEnd w:id="122"/>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23" w:name="_Toc26145"/>
            <w:r>
              <w:rPr>
                <w:rFonts w:hint="eastAsia" w:ascii="Times New Roman" w:hAnsi="Times New Roman" w:eastAsia="宋体" w:cs="宋体"/>
                <w:b w:val="0"/>
                <w:bCs w:val="0"/>
                <w:kern w:val="2"/>
                <w:sz w:val="18"/>
                <w:szCs w:val="18"/>
                <w:vertAlign w:val="baseline"/>
                <w:lang w:val="en-US" w:eastAsia="zh-CN" w:bidi="zh-CN"/>
              </w:rPr>
              <w:t>叶县中等专业学校（新校区）</w:t>
            </w:r>
            <w:bookmarkEnd w:id="123"/>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100人（尚未使用）</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24" w:name="_Toc15480"/>
            <w:r>
              <w:rPr>
                <w:rFonts w:hint="eastAsia" w:ascii="Times New Roman" w:hAnsi="Times New Roman" w:eastAsia="宋体" w:cs="宋体"/>
                <w:b w:val="0"/>
                <w:bCs w:val="0"/>
                <w:kern w:val="2"/>
                <w:sz w:val="18"/>
                <w:szCs w:val="18"/>
                <w:vertAlign w:val="baseline"/>
                <w:lang w:val="en-US" w:eastAsia="zh-CN" w:bidi="zh-CN"/>
              </w:rPr>
              <w:t>二类区</w:t>
            </w:r>
            <w:bookmarkEnd w:id="124"/>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25" w:name="_Toc10682"/>
            <w:r>
              <w:rPr>
                <w:rFonts w:hint="eastAsia" w:ascii="Times New Roman" w:hAnsi="Times New Roman" w:eastAsia="宋体" w:cs="宋体"/>
                <w:b w:val="0"/>
                <w:bCs w:val="0"/>
                <w:kern w:val="2"/>
                <w:sz w:val="18"/>
                <w:szCs w:val="18"/>
                <w:vertAlign w:val="baseline"/>
                <w:lang w:val="en-US" w:eastAsia="zh-CN" w:bidi="zh-CN"/>
              </w:rPr>
              <w:t>北</w:t>
            </w:r>
            <w:bookmarkEnd w:id="125"/>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26" w:name="_Toc30516"/>
            <w:r>
              <w:rPr>
                <w:rFonts w:hint="eastAsia" w:ascii="Times New Roman" w:hAnsi="Times New Roman" w:eastAsia="宋体" w:cs="宋体"/>
                <w:b w:val="0"/>
                <w:bCs w:val="0"/>
                <w:kern w:val="2"/>
                <w:sz w:val="18"/>
                <w:szCs w:val="18"/>
                <w:vertAlign w:val="baseline"/>
                <w:lang w:val="en-US" w:eastAsia="zh-CN" w:bidi="zh-CN"/>
              </w:rPr>
              <w:t>644m</w:t>
            </w:r>
            <w:bookmarkEnd w:id="12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27" w:name="_Toc28219"/>
            <w:r>
              <w:rPr>
                <w:rFonts w:hint="eastAsia" w:ascii="Times New Roman" w:hAnsi="Times New Roman" w:eastAsia="宋体" w:cs="宋体"/>
                <w:b w:val="0"/>
                <w:bCs w:val="0"/>
                <w:kern w:val="2"/>
                <w:sz w:val="18"/>
                <w:szCs w:val="18"/>
                <w:vertAlign w:val="baseline"/>
                <w:lang w:val="en-US" w:eastAsia="zh-CN" w:bidi="zh-CN"/>
              </w:rPr>
              <w:t>7</w:t>
            </w:r>
            <w:bookmarkEnd w:id="127"/>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28" w:name="_Toc19764"/>
            <w:r>
              <w:rPr>
                <w:rFonts w:hint="eastAsia" w:ascii="Times New Roman" w:hAnsi="Times New Roman" w:eastAsia="宋体" w:cs="宋体"/>
                <w:b w:val="0"/>
                <w:bCs w:val="0"/>
                <w:kern w:val="2"/>
                <w:sz w:val="18"/>
                <w:szCs w:val="18"/>
                <w:vertAlign w:val="baseline"/>
                <w:lang w:val="en-US" w:eastAsia="zh-CN" w:bidi="zh-CN"/>
              </w:rPr>
              <w:t>113.34965408</w:t>
            </w:r>
            <w:bookmarkEnd w:id="128"/>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29" w:name="_Toc31949"/>
            <w:r>
              <w:rPr>
                <w:rFonts w:hint="eastAsia" w:ascii="Times New Roman" w:hAnsi="Times New Roman" w:eastAsia="宋体" w:cs="宋体"/>
                <w:b w:val="0"/>
                <w:bCs w:val="0"/>
                <w:kern w:val="2"/>
                <w:sz w:val="18"/>
                <w:szCs w:val="18"/>
                <w:vertAlign w:val="baseline"/>
                <w:lang w:val="en-US" w:eastAsia="zh-CN" w:bidi="zh-CN"/>
              </w:rPr>
              <w:t>33.60149313</w:t>
            </w:r>
            <w:bookmarkEnd w:id="129"/>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30" w:name="_Toc32358"/>
            <w:r>
              <w:rPr>
                <w:rFonts w:hint="eastAsia" w:ascii="Times New Roman" w:hAnsi="Times New Roman" w:eastAsia="宋体" w:cs="宋体"/>
                <w:b w:val="0"/>
                <w:bCs w:val="0"/>
                <w:kern w:val="2"/>
                <w:sz w:val="18"/>
                <w:szCs w:val="18"/>
                <w:vertAlign w:val="baseline"/>
                <w:lang w:val="en-US" w:eastAsia="zh-CN" w:bidi="zh-CN"/>
              </w:rPr>
              <w:t>叶县盐业管理局</w:t>
            </w:r>
            <w:bookmarkEnd w:id="130"/>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140人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31" w:name="_Toc19512"/>
            <w:r>
              <w:rPr>
                <w:rFonts w:hint="eastAsia" w:ascii="Times New Roman" w:hAnsi="Times New Roman" w:eastAsia="宋体" w:cs="宋体"/>
                <w:b w:val="0"/>
                <w:bCs w:val="0"/>
                <w:kern w:val="2"/>
                <w:sz w:val="18"/>
                <w:szCs w:val="18"/>
                <w:vertAlign w:val="baseline"/>
                <w:lang w:val="en-US" w:eastAsia="zh-CN" w:bidi="zh-CN"/>
              </w:rPr>
              <w:t>二类区</w:t>
            </w:r>
            <w:bookmarkEnd w:id="131"/>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32" w:name="_Toc20543"/>
            <w:r>
              <w:rPr>
                <w:rFonts w:hint="eastAsia" w:ascii="Times New Roman" w:hAnsi="Times New Roman" w:eastAsia="宋体" w:cs="宋体"/>
                <w:b w:val="0"/>
                <w:bCs w:val="0"/>
                <w:kern w:val="2"/>
                <w:sz w:val="18"/>
                <w:szCs w:val="18"/>
                <w:vertAlign w:val="baseline"/>
                <w:lang w:val="en-US" w:eastAsia="zh-CN" w:bidi="zh-CN"/>
              </w:rPr>
              <w:t>北</w:t>
            </w:r>
            <w:bookmarkEnd w:id="132"/>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33" w:name="_Toc14043"/>
            <w:r>
              <w:rPr>
                <w:rFonts w:hint="eastAsia" w:ascii="Times New Roman" w:hAnsi="Times New Roman" w:eastAsia="宋体" w:cs="宋体"/>
                <w:b w:val="0"/>
                <w:bCs w:val="0"/>
                <w:kern w:val="2"/>
                <w:sz w:val="18"/>
                <w:szCs w:val="18"/>
                <w:vertAlign w:val="baseline"/>
                <w:lang w:val="en-US" w:eastAsia="zh-CN" w:bidi="zh-CN"/>
              </w:rPr>
              <w:t>727m</w:t>
            </w:r>
            <w:bookmarkEnd w:id="13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34" w:name="_Toc30753"/>
            <w:r>
              <w:rPr>
                <w:rFonts w:hint="eastAsia" w:ascii="Times New Roman" w:hAnsi="Times New Roman" w:eastAsia="宋体" w:cs="宋体"/>
                <w:b w:val="0"/>
                <w:bCs w:val="0"/>
                <w:kern w:val="2"/>
                <w:sz w:val="18"/>
                <w:szCs w:val="18"/>
                <w:vertAlign w:val="baseline"/>
                <w:lang w:val="en-US" w:eastAsia="zh-CN" w:bidi="zh-CN"/>
              </w:rPr>
              <w:t>8</w:t>
            </w:r>
            <w:bookmarkEnd w:id="134"/>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35" w:name="_Toc11629"/>
            <w:r>
              <w:rPr>
                <w:rFonts w:hint="eastAsia" w:ascii="Times New Roman" w:hAnsi="Times New Roman" w:eastAsia="宋体" w:cs="宋体"/>
                <w:b w:val="0"/>
                <w:bCs w:val="0"/>
                <w:kern w:val="2"/>
                <w:sz w:val="18"/>
                <w:szCs w:val="18"/>
                <w:vertAlign w:val="baseline"/>
                <w:lang w:val="en-US" w:eastAsia="zh-CN" w:bidi="zh-CN"/>
              </w:rPr>
              <w:t>113.34955215</w:t>
            </w:r>
            <w:bookmarkEnd w:id="135"/>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36" w:name="_Toc22751"/>
            <w:r>
              <w:rPr>
                <w:rFonts w:hint="eastAsia" w:ascii="Times New Roman" w:hAnsi="Times New Roman" w:eastAsia="宋体" w:cs="宋体"/>
                <w:b w:val="0"/>
                <w:bCs w:val="0"/>
                <w:kern w:val="2"/>
                <w:sz w:val="18"/>
                <w:szCs w:val="18"/>
                <w:vertAlign w:val="baseline"/>
                <w:lang w:val="en-US" w:eastAsia="zh-CN" w:bidi="zh-CN"/>
              </w:rPr>
              <w:t>33.60314630</w:t>
            </w:r>
            <w:bookmarkEnd w:id="136"/>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37" w:name="_Toc4214"/>
            <w:r>
              <w:rPr>
                <w:rFonts w:hint="eastAsia" w:ascii="Times New Roman" w:hAnsi="Times New Roman" w:eastAsia="宋体" w:cs="宋体"/>
                <w:b w:val="0"/>
                <w:bCs w:val="0"/>
                <w:kern w:val="2"/>
                <w:sz w:val="18"/>
                <w:szCs w:val="18"/>
                <w:vertAlign w:val="baseline"/>
                <w:lang w:val="en-US" w:eastAsia="zh-CN" w:bidi="zh-CN"/>
              </w:rPr>
              <w:t>叶县残疾人康复中心</w:t>
            </w:r>
            <w:bookmarkEnd w:id="137"/>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180人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38" w:name="_Toc8551"/>
            <w:r>
              <w:rPr>
                <w:rFonts w:hint="eastAsia" w:ascii="Times New Roman" w:hAnsi="Times New Roman" w:eastAsia="宋体" w:cs="宋体"/>
                <w:b w:val="0"/>
                <w:bCs w:val="0"/>
                <w:kern w:val="2"/>
                <w:sz w:val="18"/>
                <w:szCs w:val="18"/>
                <w:vertAlign w:val="baseline"/>
                <w:lang w:val="en-US" w:eastAsia="zh-CN" w:bidi="zh-CN"/>
              </w:rPr>
              <w:t>二类区</w:t>
            </w:r>
            <w:bookmarkEnd w:id="138"/>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39" w:name="_Toc17032"/>
            <w:r>
              <w:rPr>
                <w:rFonts w:hint="eastAsia" w:ascii="Times New Roman" w:hAnsi="Times New Roman" w:eastAsia="宋体" w:cs="宋体"/>
                <w:b w:val="0"/>
                <w:bCs w:val="0"/>
                <w:kern w:val="2"/>
                <w:sz w:val="18"/>
                <w:szCs w:val="18"/>
                <w:vertAlign w:val="baseline"/>
                <w:lang w:val="en-US" w:eastAsia="zh-CN" w:bidi="zh-CN"/>
              </w:rPr>
              <w:t>北</w:t>
            </w:r>
            <w:bookmarkEnd w:id="139"/>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40" w:name="_Toc3834"/>
            <w:r>
              <w:rPr>
                <w:rFonts w:hint="eastAsia" w:ascii="Times New Roman" w:hAnsi="Times New Roman" w:eastAsia="宋体" w:cs="宋体"/>
                <w:b w:val="0"/>
                <w:bCs w:val="0"/>
                <w:kern w:val="2"/>
                <w:sz w:val="18"/>
                <w:szCs w:val="18"/>
                <w:vertAlign w:val="baseline"/>
                <w:lang w:val="en-US" w:eastAsia="zh-CN" w:bidi="zh-CN"/>
              </w:rPr>
              <w:t>923m</w:t>
            </w:r>
            <w:bookmarkEnd w:id="14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41" w:name="_Toc21844"/>
            <w:r>
              <w:rPr>
                <w:rFonts w:hint="eastAsia" w:ascii="Times New Roman" w:hAnsi="Times New Roman" w:eastAsia="宋体" w:cs="宋体"/>
                <w:b w:val="0"/>
                <w:bCs w:val="0"/>
                <w:kern w:val="2"/>
                <w:sz w:val="18"/>
                <w:szCs w:val="18"/>
                <w:vertAlign w:val="baseline"/>
                <w:lang w:val="en-US" w:eastAsia="zh-CN" w:bidi="zh-CN"/>
              </w:rPr>
              <w:t>9</w:t>
            </w:r>
            <w:bookmarkEnd w:id="141"/>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42" w:name="_Toc3490"/>
            <w:r>
              <w:rPr>
                <w:rFonts w:hint="eastAsia" w:ascii="Times New Roman" w:hAnsi="Times New Roman" w:eastAsia="宋体" w:cs="宋体"/>
                <w:b w:val="0"/>
                <w:bCs w:val="0"/>
                <w:kern w:val="2"/>
                <w:sz w:val="18"/>
                <w:szCs w:val="18"/>
                <w:vertAlign w:val="baseline"/>
                <w:lang w:val="en-US" w:eastAsia="zh-CN" w:bidi="zh-CN"/>
              </w:rPr>
              <w:t>113.35296392</w:t>
            </w:r>
            <w:bookmarkEnd w:id="142"/>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43" w:name="_Toc22352"/>
            <w:r>
              <w:rPr>
                <w:rFonts w:hint="eastAsia" w:ascii="Times New Roman" w:hAnsi="Times New Roman" w:eastAsia="宋体" w:cs="宋体"/>
                <w:b w:val="0"/>
                <w:bCs w:val="0"/>
                <w:kern w:val="2"/>
                <w:sz w:val="18"/>
                <w:szCs w:val="18"/>
                <w:vertAlign w:val="baseline"/>
                <w:lang w:val="en-US" w:eastAsia="zh-CN" w:bidi="zh-CN"/>
              </w:rPr>
              <w:t>33.60375394</w:t>
            </w:r>
            <w:bookmarkEnd w:id="143"/>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44" w:name="_Toc9327"/>
            <w:r>
              <w:rPr>
                <w:rFonts w:hint="eastAsia" w:ascii="Times New Roman" w:hAnsi="Times New Roman" w:eastAsia="宋体" w:cs="宋体"/>
                <w:b w:val="0"/>
                <w:bCs w:val="0"/>
                <w:kern w:val="2"/>
                <w:sz w:val="18"/>
                <w:szCs w:val="18"/>
                <w:vertAlign w:val="baseline"/>
                <w:lang w:val="en-US" w:eastAsia="zh-CN" w:bidi="zh-CN"/>
              </w:rPr>
              <w:t>叶县三和双语学校</w:t>
            </w:r>
            <w:bookmarkEnd w:id="144"/>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1430人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45" w:name="_Toc23052"/>
            <w:r>
              <w:rPr>
                <w:rFonts w:hint="eastAsia" w:ascii="Times New Roman" w:hAnsi="Times New Roman" w:eastAsia="宋体" w:cs="宋体"/>
                <w:b w:val="0"/>
                <w:bCs w:val="0"/>
                <w:kern w:val="2"/>
                <w:sz w:val="18"/>
                <w:szCs w:val="18"/>
                <w:vertAlign w:val="baseline"/>
                <w:lang w:val="en-US" w:eastAsia="zh-CN" w:bidi="zh-CN"/>
              </w:rPr>
              <w:t>二类区</w:t>
            </w:r>
            <w:bookmarkEnd w:id="145"/>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46" w:name="_Toc9987"/>
            <w:r>
              <w:rPr>
                <w:rFonts w:hint="eastAsia" w:ascii="Times New Roman" w:hAnsi="Times New Roman" w:eastAsia="宋体" w:cs="宋体"/>
                <w:b w:val="0"/>
                <w:bCs w:val="0"/>
                <w:kern w:val="2"/>
                <w:sz w:val="18"/>
                <w:szCs w:val="18"/>
                <w:vertAlign w:val="baseline"/>
                <w:lang w:val="en-US" w:eastAsia="zh-CN" w:bidi="zh-CN"/>
              </w:rPr>
              <w:t>东北</w:t>
            </w:r>
            <w:bookmarkEnd w:id="146"/>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47" w:name="_Toc2760"/>
            <w:r>
              <w:rPr>
                <w:rFonts w:hint="eastAsia" w:ascii="Times New Roman" w:hAnsi="Times New Roman" w:eastAsia="宋体" w:cs="宋体"/>
                <w:b w:val="0"/>
                <w:bCs w:val="0"/>
                <w:kern w:val="2"/>
                <w:sz w:val="18"/>
                <w:szCs w:val="18"/>
                <w:vertAlign w:val="baseline"/>
                <w:lang w:val="en-US" w:eastAsia="zh-CN" w:bidi="zh-CN"/>
              </w:rPr>
              <w:t>1078m</w:t>
            </w:r>
            <w:bookmarkEnd w:id="14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48" w:name="_Toc26800"/>
            <w:r>
              <w:rPr>
                <w:rFonts w:hint="eastAsia" w:ascii="Times New Roman" w:hAnsi="Times New Roman" w:eastAsia="宋体" w:cs="宋体"/>
                <w:b w:val="0"/>
                <w:bCs w:val="0"/>
                <w:kern w:val="2"/>
                <w:sz w:val="18"/>
                <w:szCs w:val="18"/>
                <w:vertAlign w:val="baseline"/>
                <w:lang w:val="en-US" w:eastAsia="zh-CN" w:bidi="zh-CN"/>
              </w:rPr>
              <w:t>10</w:t>
            </w:r>
            <w:bookmarkEnd w:id="148"/>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49" w:name="_Toc14276"/>
            <w:r>
              <w:rPr>
                <w:rFonts w:hint="eastAsia" w:ascii="Times New Roman" w:hAnsi="Times New Roman" w:eastAsia="宋体" w:cs="宋体"/>
                <w:b w:val="0"/>
                <w:bCs w:val="0"/>
                <w:kern w:val="2"/>
                <w:sz w:val="18"/>
                <w:szCs w:val="18"/>
                <w:vertAlign w:val="baseline"/>
                <w:lang w:val="en-US" w:eastAsia="zh-CN" w:bidi="zh-CN"/>
              </w:rPr>
              <w:t>113.35362911</w:t>
            </w:r>
            <w:bookmarkEnd w:id="149"/>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50" w:name="_Toc17104"/>
            <w:r>
              <w:rPr>
                <w:rFonts w:hint="eastAsia" w:ascii="Times New Roman" w:hAnsi="Times New Roman" w:eastAsia="宋体" w:cs="宋体"/>
                <w:b w:val="0"/>
                <w:bCs w:val="0"/>
                <w:kern w:val="2"/>
                <w:sz w:val="18"/>
                <w:szCs w:val="18"/>
                <w:vertAlign w:val="baseline"/>
                <w:lang w:val="en-US" w:eastAsia="zh-CN" w:bidi="zh-CN"/>
              </w:rPr>
              <w:t>33.60886511</w:t>
            </w:r>
            <w:bookmarkEnd w:id="150"/>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51" w:name="_Toc24770"/>
            <w:r>
              <w:rPr>
                <w:rFonts w:hint="eastAsia" w:ascii="Times New Roman" w:hAnsi="Times New Roman" w:eastAsia="宋体" w:cs="宋体"/>
                <w:b w:val="0"/>
                <w:bCs w:val="0"/>
                <w:kern w:val="2"/>
                <w:sz w:val="18"/>
                <w:szCs w:val="18"/>
                <w:vertAlign w:val="baseline"/>
                <w:lang w:val="en-US" w:eastAsia="zh-CN" w:bidi="zh-CN"/>
              </w:rPr>
              <w:t>李寨村</w:t>
            </w:r>
            <w:bookmarkEnd w:id="151"/>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200人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52" w:name="_Toc17698"/>
            <w:r>
              <w:rPr>
                <w:rFonts w:hint="eastAsia" w:ascii="Times New Roman" w:hAnsi="Times New Roman" w:eastAsia="宋体" w:cs="宋体"/>
                <w:b w:val="0"/>
                <w:bCs w:val="0"/>
                <w:kern w:val="2"/>
                <w:sz w:val="18"/>
                <w:szCs w:val="18"/>
                <w:vertAlign w:val="baseline"/>
                <w:lang w:val="en-US" w:eastAsia="zh-CN" w:bidi="zh-CN"/>
              </w:rPr>
              <w:t>二类区</w:t>
            </w:r>
            <w:bookmarkEnd w:id="152"/>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53" w:name="_Toc24897"/>
            <w:r>
              <w:rPr>
                <w:rFonts w:hint="eastAsia" w:ascii="Times New Roman" w:hAnsi="Times New Roman" w:eastAsia="宋体" w:cs="宋体"/>
                <w:b w:val="0"/>
                <w:bCs w:val="0"/>
                <w:kern w:val="2"/>
                <w:sz w:val="18"/>
                <w:szCs w:val="18"/>
                <w:vertAlign w:val="baseline"/>
                <w:lang w:val="en-US" w:eastAsia="zh-CN" w:bidi="zh-CN"/>
              </w:rPr>
              <w:t>东北</w:t>
            </w:r>
            <w:bookmarkEnd w:id="153"/>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54" w:name="_Toc3599"/>
            <w:r>
              <w:rPr>
                <w:rFonts w:hint="eastAsia" w:ascii="Times New Roman" w:hAnsi="Times New Roman" w:eastAsia="宋体" w:cs="宋体"/>
                <w:b w:val="0"/>
                <w:bCs w:val="0"/>
                <w:kern w:val="2"/>
                <w:sz w:val="18"/>
                <w:szCs w:val="18"/>
                <w:vertAlign w:val="baseline"/>
                <w:lang w:val="en-US" w:eastAsia="zh-CN" w:bidi="zh-CN"/>
              </w:rPr>
              <w:t>1600m</w:t>
            </w:r>
            <w:bookmarkEnd w:id="15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55" w:name="_Toc23377"/>
            <w:r>
              <w:rPr>
                <w:rFonts w:hint="eastAsia" w:ascii="Times New Roman" w:hAnsi="Times New Roman" w:eastAsia="宋体" w:cs="宋体"/>
                <w:b w:val="0"/>
                <w:bCs w:val="0"/>
                <w:kern w:val="2"/>
                <w:sz w:val="18"/>
                <w:szCs w:val="18"/>
                <w:vertAlign w:val="baseline"/>
                <w:lang w:val="en-US" w:eastAsia="zh-CN" w:bidi="zh-CN"/>
              </w:rPr>
              <w:t>11</w:t>
            </w:r>
            <w:bookmarkEnd w:id="155"/>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56" w:name="_Toc13047"/>
            <w:r>
              <w:rPr>
                <w:rFonts w:hint="eastAsia" w:ascii="Times New Roman" w:hAnsi="Times New Roman" w:eastAsia="宋体" w:cs="宋体"/>
                <w:b w:val="0"/>
                <w:bCs w:val="0"/>
                <w:kern w:val="2"/>
                <w:sz w:val="18"/>
                <w:szCs w:val="18"/>
                <w:vertAlign w:val="baseline"/>
                <w:lang w:val="en-US" w:eastAsia="zh-CN" w:bidi="zh-CN"/>
              </w:rPr>
              <w:t>113.35826397</w:t>
            </w:r>
            <w:bookmarkEnd w:id="156"/>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57" w:name="_Toc32369"/>
            <w:r>
              <w:rPr>
                <w:rFonts w:hint="eastAsia" w:ascii="Times New Roman" w:hAnsi="Times New Roman" w:eastAsia="宋体" w:cs="宋体"/>
                <w:b w:val="0"/>
                <w:bCs w:val="0"/>
                <w:kern w:val="2"/>
                <w:sz w:val="18"/>
                <w:szCs w:val="18"/>
                <w:vertAlign w:val="baseline"/>
                <w:lang w:val="en-US" w:eastAsia="zh-CN" w:bidi="zh-CN"/>
              </w:rPr>
              <w:t>33.60790009</w:t>
            </w:r>
            <w:bookmarkEnd w:id="157"/>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58" w:name="_Toc12980"/>
            <w:r>
              <w:rPr>
                <w:rFonts w:hint="eastAsia" w:ascii="Times New Roman" w:hAnsi="Times New Roman" w:eastAsia="宋体" w:cs="宋体"/>
                <w:b w:val="0"/>
                <w:bCs w:val="0"/>
                <w:kern w:val="2"/>
                <w:sz w:val="18"/>
                <w:szCs w:val="18"/>
                <w:vertAlign w:val="baseline"/>
                <w:lang w:val="en-US" w:eastAsia="zh-CN" w:bidi="zh-CN"/>
              </w:rPr>
              <w:t>湾李村</w:t>
            </w:r>
            <w:bookmarkEnd w:id="158"/>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300人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59" w:name="_Toc20246"/>
            <w:r>
              <w:rPr>
                <w:rFonts w:hint="eastAsia" w:ascii="Times New Roman" w:hAnsi="Times New Roman" w:eastAsia="宋体" w:cs="宋体"/>
                <w:b w:val="0"/>
                <w:bCs w:val="0"/>
                <w:kern w:val="2"/>
                <w:sz w:val="18"/>
                <w:szCs w:val="18"/>
                <w:vertAlign w:val="baseline"/>
                <w:lang w:val="en-US" w:eastAsia="zh-CN" w:bidi="zh-CN"/>
              </w:rPr>
              <w:t>二类区</w:t>
            </w:r>
            <w:bookmarkEnd w:id="159"/>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60" w:name="_Toc19577"/>
            <w:r>
              <w:rPr>
                <w:rFonts w:hint="eastAsia" w:ascii="Times New Roman" w:hAnsi="Times New Roman" w:eastAsia="宋体" w:cs="宋体"/>
                <w:b w:val="0"/>
                <w:bCs w:val="0"/>
                <w:kern w:val="2"/>
                <w:sz w:val="18"/>
                <w:szCs w:val="18"/>
                <w:vertAlign w:val="baseline"/>
                <w:lang w:val="en-US" w:eastAsia="zh-CN" w:bidi="zh-CN"/>
              </w:rPr>
              <w:t>东北</w:t>
            </w:r>
            <w:bookmarkEnd w:id="160"/>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61" w:name="_Toc9648"/>
            <w:r>
              <w:rPr>
                <w:rFonts w:hint="eastAsia" w:ascii="Times New Roman" w:hAnsi="Times New Roman" w:eastAsia="宋体" w:cs="宋体"/>
                <w:b w:val="0"/>
                <w:bCs w:val="0"/>
                <w:kern w:val="2"/>
                <w:sz w:val="18"/>
                <w:szCs w:val="18"/>
                <w:vertAlign w:val="baseline"/>
                <w:lang w:val="en-US" w:eastAsia="zh-CN" w:bidi="zh-CN"/>
              </w:rPr>
              <w:t>1924m</w:t>
            </w:r>
            <w:bookmarkEnd w:id="16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62" w:name="_Toc11036"/>
            <w:r>
              <w:rPr>
                <w:rFonts w:hint="eastAsia" w:ascii="Times New Roman" w:hAnsi="Times New Roman" w:eastAsia="宋体" w:cs="宋体"/>
                <w:b w:val="0"/>
                <w:bCs w:val="0"/>
                <w:kern w:val="2"/>
                <w:sz w:val="18"/>
                <w:szCs w:val="18"/>
                <w:vertAlign w:val="baseline"/>
                <w:lang w:val="en-US" w:eastAsia="zh-CN" w:bidi="zh-CN"/>
              </w:rPr>
              <w:t>12</w:t>
            </w:r>
            <w:bookmarkEnd w:id="162"/>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63" w:name="_Toc6163"/>
            <w:r>
              <w:rPr>
                <w:rFonts w:hint="eastAsia" w:ascii="Times New Roman" w:hAnsi="Times New Roman" w:eastAsia="宋体" w:cs="宋体"/>
                <w:b w:val="0"/>
                <w:bCs w:val="0"/>
                <w:kern w:val="2"/>
                <w:sz w:val="18"/>
                <w:szCs w:val="18"/>
                <w:vertAlign w:val="baseline"/>
                <w:lang w:val="en-US" w:eastAsia="zh-CN" w:bidi="zh-CN"/>
              </w:rPr>
              <w:t>113.35474491</w:t>
            </w:r>
            <w:bookmarkEnd w:id="163"/>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64" w:name="_Toc2091"/>
            <w:r>
              <w:rPr>
                <w:rFonts w:hint="eastAsia" w:ascii="Times New Roman" w:hAnsi="Times New Roman" w:eastAsia="宋体" w:cs="宋体"/>
                <w:b w:val="0"/>
                <w:bCs w:val="0"/>
                <w:kern w:val="2"/>
                <w:sz w:val="18"/>
                <w:szCs w:val="18"/>
                <w:vertAlign w:val="baseline"/>
                <w:lang w:val="en-US" w:eastAsia="zh-CN" w:bidi="zh-CN"/>
              </w:rPr>
              <w:t>33.61304676</w:t>
            </w:r>
            <w:bookmarkEnd w:id="164"/>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65" w:name="_Toc18142"/>
            <w:r>
              <w:rPr>
                <w:rFonts w:hint="eastAsia" w:ascii="Times New Roman" w:hAnsi="Times New Roman" w:eastAsia="宋体" w:cs="宋体"/>
                <w:b w:val="0"/>
                <w:bCs w:val="0"/>
                <w:kern w:val="2"/>
                <w:sz w:val="18"/>
                <w:szCs w:val="18"/>
                <w:vertAlign w:val="baseline"/>
                <w:lang w:val="en-US" w:eastAsia="zh-CN" w:bidi="zh-CN"/>
              </w:rPr>
              <w:t>恒基国际小区</w:t>
            </w:r>
            <w:bookmarkEnd w:id="165"/>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1850人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66" w:name="_Toc15946"/>
            <w:r>
              <w:rPr>
                <w:rFonts w:hint="eastAsia" w:ascii="Times New Roman" w:hAnsi="Times New Roman" w:eastAsia="宋体" w:cs="宋体"/>
                <w:b w:val="0"/>
                <w:bCs w:val="0"/>
                <w:kern w:val="2"/>
                <w:sz w:val="18"/>
                <w:szCs w:val="18"/>
                <w:vertAlign w:val="baseline"/>
                <w:lang w:val="en-US" w:eastAsia="zh-CN" w:bidi="zh-CN"/>
              </w:rPr>
              <w:t>二类区</w:t>
            </w:r>
            <w:bookmarkEnd w:id="166"/>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67" w:name="_Toc1539"/>
            <w:r>
              <w:rPr>
                <w:rFonts w:hint="eastAsia" w:ascii="Times New Roman" w:hAnsi="Times New Roman" w:eastAsia="宋体" w:cs="宋体"/>
                <w:b w:val="0"/>
                <w:bCs w:val="0"/>
                <w:kern w:val="2"/>
                <w:sz w:val="18"/>
                <w:szCs w:val="18"/>
                <w:vertAlign w:val="baseline"/>
                <w:lang w:val="en-US" w:eastAsia="zh-CN" w:bidi="zh-CN"/>
              </w:rPr>
              <w:t>东北</w:t>
            </w:r>
            <w:bookmarkEnd w:id="167"/>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68" w:name="_Toc10268"/>
            <w:r>
              <w:rPr>
                <w:rFonts w:hint="eastAsia" w:ascii="Times New Roman" w:hAnsi="Times New Roman" w:eastAsia="宋体" w:cs="宋体"/>
                <w:b w:val="0"/>
                <w:bCs w:val="0"/>
                <w:kern w:val="2"/>
                <w:sz w:val="18"/>
                <w:szCs w:val="18"/>
                <w:vertAlign w:val="baseline"/>
                <w:lang w:val="en-US" w:eastAsia="zh-CN" w:bidi="zh-CN"/>
              </w:rPr>
              <w:t>2172m</w:t>
            </w:r>
            <w:bookmarkEnd w:id="16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69" w:name="_Toc18742"/>
            <w:r>
              <w:rPr>
                <w:rFonts w:hint="eastAsia" w:ascii="Times New Roman" w:hAnsi="Times New Roman" w:eastAsia="宋体" w:cs="宋体"/>
                <w:b w:val="0"/>
                <w:bCs w:val="0"/>
                <w:kern w:val="2"/>
                <w:sz w:val="18"/>
                <w:szCs w:val="18"/>
                <w:vertAlign w:val="baseline"/>
                <w:lang w:val="en-US" w:eastAsia="zh-CN" w:bidi="zh-CN"/>
              </w:rPr>
              <w:t>1</w:t>
            </w:r>
            <w:bookmarkEnd w:id="169"/>
            <w:r>
              <w:rPr>
                <w:rFonts w:hint="eastAsia" w:ascii="Times New Roman" w:hAnsi="Times New Roman" w:eastAsia="宋体" w:cs="宋体"/>
                <w:b w:val="0"/>
                <w:bCs w:val="0"/>
                <w:kern w:val="2"/>
                <w:sz w:val="18"/>
                <w:szCs w:val="18"/>
                <w:vertAlign w:val="baseline"/>
                <w:lang w:val="en-US" w:eastAsia="zh-CN" w:bidi="zh-CN"/>
              </w:rPr>
              <w:t>3</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70" w:name="_Toc13859"/>
            <w:r>
              <w:rPr>
                <w:rFonts w:hint="eastAsia" w:ascii="Times New Roman" w:hAnsi="Times New Roman" w:eastAsia="宋体" w:cs="宋体"/>
                <w:b w:val="0"/>
                <w:bCs w:val="0"/>
                <w:kern w:val="2"/>
                <w:sz w:val="18"/>
                <w:szCs w:val="18"/>
                <w:vertAlign w:val="baseline"/>
                <w:lang w:val="en-US" w:eastAsia="zh-CN" w:bidi="zh-CN"/>
              </w:rPr>
              <w:t>113.34440231</w:t>
            </w:r>
            <w:bookmarkEnd w:id="170"/>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71" w:name="_Toc2906"/>
            <w:r>
              <w:rPr>
                <w:rFonts w:hint="eastAsia" w:ascii="Times New Roman" w:hAnsi="Times New Roman" w:eastAsia="宋体" w:cs="宋体"/>
                <w:b w:val="0"/>
                <w:bCs w:val="0"/>
                <w:kern w:val="2"/>
                <w:sz w:val="18"/>
                <w:szCs w:val="18"/>
                <w:vertAlign w:val="baseline"/>
                <w:lang w:val="en-US" w:eastAsia="zh-CN" w:bidi="zh-CN"/>
              </w:rPr>
              <w:t>33.61108105</w:t>
            </w:r>
            <w:bookmarkEnd w:id="171"/>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72" w:name="_Toc20909"/>
            <w:r>
              <w:rPr>
                <w:rFonts w:hint="eastAsia" w:ascii="Times New Roman" w:hAnsi="Times New Roman" w:eastAsia="宋体" w:cs="宋体"/>
                <w:b w:val="0"/>
                <w:bCs w:val="0"/>
                <w:kern w:val="2"/>
                <w:sz w:val="18"/>
                <w:szCs w:val="18"/>
                <w:vertAlign w:val="baseline"/>
                <w:lang w:val="en-US" w:eastAsia="zh-CN" w:bidi="zh-CN"/>
              </w:rPr>
              <w:t>南大桥村</w:t>
            </w:r>
            <w:bookmarkEnd w:id="172"/>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600人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73" w:name="_Toc16277"/>
            <w:r>
              <w:rPr>
                <w:rFonts w:hint="eastAsia" w:ascii="Times New Roman" w:hAnsi="Times New Roman" w:eastAsia="宋体" w:cs="宋体"/>
                <w:b w:val="0"/>
                <w:bCs w:val="0"/>
                <w:kern w:val="2"/>
                <w:sz w:val="18"/>
                <w:szCs w:val="18"/>
                <w:vertAlign w:val="baseline"/>
                <w:lang w:val="en-US" w:eastAsia="zh-CN" w:bidi="zh-CN"/>
              </w:rPr>
              <w:t>二类区</w:t>
            </w:r>
            <w:bookmarkEnd w:id="173"/>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74" w:name="_Toc18397"/>
            <w:r>
              <w:rPr>
                <w:rFonts w:hint="eastAsia" w:ascii="Times New Roman" w:hAnsi="Times New Roman" w:eastAsia="宋体" w:cs="宋体"/>
                <w:b w:val="0"/>
                <w:bCs w:val="0"/>
                <w:kern w:val="2"/>
                <w:sz w:val="18"/>
                <w:szCs w:val="18"/>
                <w:vertAlign w:val="baseline"/>
                <w:lang w:val="en-US" w:eastAsia="zh-CN" w:bidi="zh-CN"/>
              </w:rPr>
              <w:t>西北</w:t>
            </w:r>
            <w:bookmarkEnd w:id="174"/>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75" w:name="_Toc9692"/>
            <w:r>
              <w:rPr>
                <w:rFonts w:hint="eastAsia" w:ascii="Times New Roman" w:hAnsi="Times New Roman" w:eastAsia="宋体" w:cs="宋体"/>
                <w:b w:val="0"/>
                <w:bCs w:val="0"/>
                <w:kern w:val="2"/>
                <w:sz w:val="18"/>
                <w:szCs w:val="18"/>
                <w:vertAlign w:val="baseline"/>
                <w:lang w:val="en-US" w:eastAsia="zh-CN" w:bidi="zh-CN"/>
              </w:rPr>
              <w:t>1725m</w:t>
            </w:r>
            <w:bookmarkEnd w:id="17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76" w:name="_Toc18571"/>
            <w:r>
              <w:rPr>
                <w:rFonts w:hint="eastAsia" w:ascii="Times New Roman" w:hAnsi="Times New Roman" w:eastAsia="宋体" w:cs="宋体"/>
                <w:b w:val="0"/>
                <w:bCs w:val="0"/>
                <w:kern w:val="2"/>
                <w:sz w:val="18"/>
                <w:szCs w:val="18"/>
                <w:vertAlign w:val="baseline"/>
                <w:lang w:val="en-US" w:eastAsia="zh-CN" w:bidi="zh-CN"/>
              </w:rPr>
              <w:t>1</w:t>
            </w:r>
            <w:bookmarkEnd w:id="176"/>
            <w:r>
              <w:rPr>
                <w:rFonts w:hint="eastAsia" w:ascii="Times New Roman" w:hAnsi="Times New Roman" w:eastAsia="宋体" w:cs="宋体"/>
                <w:b w:val="0"/>
                <w:bCs w:val="0"/>
                <w:kern w:val="2"/>
                <w:sz w:val="18"/>
                <w:szCs w:val="18"/>
                <w:vertAlign w:val="baseline"/>
                <w:lang w:val="en-US" w:eastAsia="zh-CN" w:bidi="zh-CN"/>
              </w:rPr>
              <w:t>4</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77" w:name="_Toc1769"/>
            <w:r>
              <w:rPr>
                <w:rFonts w:hint="eastAsia" w:ascii="Times New Roman" w:hAnsi="Times New Roman" w:eastAsia="宋体" w:cs="宋体"/>
                <w:b w:val="0"/>
                <w:bCs w:val="0"/>
                <w:kern w:val="2"/>
                <w:sz w:val="18"/>
                <w:szCs w:val="18"/>
                <w:vertAlign w:val="baseline"/>
                <w:lang w:val="en-US" w:eastAsia="zh-CN" w:bidi="zh-CN"/>
              </w:rPr>
              <w:t>113.33985329</w:t>
            </w:r>
            <w:bookmarkEnd w:id="177"/>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78" w:name="_Toc830"/>
            <w:r>
              <w:rPr>
                <w:rFonts w:hint="eastAsia" w:ascii="Times New Roman" w:hAnsi="Times New Roman" w:eastAsia="宋体" w:cs="宋体"/>
                <w:b w:val="0"/>
                <w:bCs w:val="0"/>
                <w:kern w:val="2"/>
                <w:sz w:val="18"/>
                <w:szCs w:val="18"/>
                <w:vertAlign w:val="baseline"/>
                <w:lang w:val="en-US" w:eastAsia="zh-CN" w:bidi="zh-CN"/>
              </w:rPr>
              <w:t>33.61369007</w:t>
            </w:r>
            <w:bookmarkEnd w:id="178"/>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79" w:name="_Toc10210"/>
            <w:r>
              <w:rPr>
                <w:rFonts w:hint="eastAsia" w:ascii="Times New Roman" w:hAnsi="Times New Roman" w:eastAsia="宋体" w:cs="宋体"/>
                <w:b w:val="0"/>
                <w:bCs w:val="0"/>
                <w:kern w:val="2"/>
                <w:sz w:val="18"/>
                <w:szCs w:val="18"/>
                <w:vertAlign w:val="baseline"/>
                <w:lang w:val="en-US" w:eastAsia="zh-CN" w:bidi="zh-CN"/>
              </w:rPr>
              <w:t>潘寨村</w:t>
            </w:r>
            <w:bookmarkEnd w:id="179"/>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700人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80" w:name="_Toc17089"/>
            <w:r>
              <w:rPr>
                <w:rFonts w:hint="eastAsia" w:ascii="Times New Roman" w:hAnsi="Times New Roman" w:eastAsia="宋体" w:cs="宋体"/>
                <w:b w:val="0"/>
                <w:bCs w:val="0"/>
                <w:kern w:val="2"/>
                <w:sz w:val="18"/>
                <w:szCs w:val="18"/>
                <w:vertAlign w:val="baseline"/>
                <w:lang w:val="en-US" w:eastAsia="zh-CN" w:bidi="zh-CN"/>
              </w:rPr>
              <w:t>二类区</w:t>
            </w:r>
            <w:bookmarkEnd w:id="180"/>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81" w:name="_Toc21289"/>
            <w:r>
              <w:rPr>
                <w:rFonts w:hint="eastAsia" w:ascii="Times New Roman" w:hAnsi="Times New Roman" w:eastAsia="宋体" w:cs="宋体"/>
                <w:b w:val="0"/>
                <w:bCs w:val="0"/>
                <w:kern w:val="2"/>
                <w:sz w:val="18"/>
                <w:szCs w:val="18"/>
                <w:vertAlign w:val="baseline"/>
                <w:lang w:val="en-US" w:eastAsia="zh-CN" w:bidi="zh-CN"/>
              </w:rPr>
              <w:t>西北</w:t>
            </w:r>
            <w:bookmarkEnd w:id="181"/>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82" w:name="_Toc10762"/>
            <w:r>
              <w:rPr>
                <w:rFonts w:hint="eastAsia" w:ascii="Times New Roman" w:hAnsi="Times New Roman" w:eastAsia="宋体" w:cs="宋体"/>
                <w:b w:val="0"/>
                <w:bCs w:val="0"/>
                <w:kern w:val="2"/>
                <w:sz w:val="18"/>
                <w:szCs w:val="18"/>
                <w:vertAlign w:val="baseline"/>
                <w:lang w:val="en-US" w:eastAsia="zh-CN" w:bidi="zh-CN"/>
              </w:rPr>
              <w:t>2058m</w:t>
            </w:r>
            <w:bookmarkEnd w:id="18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83" w:name="_Toc7240"/>
            <w:r>
              <w:rPr>
                <w:rFonts w:hint="eastAsia" w:ascii="Times New Roman" w:hAnsi="Times New Roman" w:eastAsia="宋体" w:cs="宋体"/>
                <w:b w:val="0"/>
                <w:bCs w:val="0"/>
                <w:kern w:val="2"/>
                <w:sz w:val="18"/>
                <w:szCs w:val="18"/>
                <w:vertAlign w:val="baseline"/>
                <w:lang w:val="en-US" w:eastAsia="zh-CN" w:bidi="zh-CN"/>
              </w:rPr>
              <w:t>1</w:t>
            </w:r>
            <w:bookmarkEnd w:id="183"/>
            <w:r>
              <w:rPr>
                <w:rFonts w:hint="eastAsia" w:ascii="Times New Roman" w:hAnsi="Times New Roman" w:eastAsia="宋体" w:cs="宋体"/>
                <w:b w:val="0"/>
                <w:bCs w:val="0"/>
                <w:kern w:val="2"/>
                <w:sz w:val="18"/>
                <w:szCs w:val="18"/>
                <w:vertAlign w:val="baseline"/>
                <w:lang w:val="en-US" w:eastAsia="zh-CN" w:bidi="zh-CN"/>
              </w:rPr>
              <w:t>5</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84" w:name="_Toc29528"/>
            <w:r>
              <w:rPr>
                <w:rFonts w:hint="eastAsia" w:ascii="Times New Roman" w:hAnsi="Times New Roman" w:eastAsia="宋体" w:cs="宋体"/>
                <w:b w:val="0"/>
                <w:bCs w:val="0"/>
                <w:kern w:val="2"/>
                <w:sz w:val="18"/>
                <w:szCs w:val="18"/>
                <w:vertAlign w:val="baseline"/>
                <w:lang w:val="en-US" w:eastAsia="zh-CN" w:bidi="zh-CN"/>
              </w:rPr>
              <w:t>113.33041191</w:t>
            </w:r>
            <w:bookmarkEnd w:id="184"/>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85" w:name="_Toc28026"/>
            <w:r>
              <w:rPr>
                <w:rFonts w:hint="eastAsia" w:ascii="Times New Roman" w:hAnsi="Times New Roman" w:eastAsia="宋体" w:cs="宋体"/>
                <w:b w:val="0"/>
                <w:bCs w:val="0"/>
                <w:kern w:val="2"/>
                <w:sz w:val="18"/>
                <w:szCs w:val="18"/>
                <w:vertAlign w:val="baseline"/>
                <w:lang w:val="en-US" w:eastAsia="zh-CN" w:bidi="zh-CN"/>
              </w:rPr>
              <w:t>33.61075939</w:t>
            </w:r>
            <w:bookmarkEnd w:id="185"/>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86" w:name="_Toc10003"/>
            <w:r>
              <w:rPr>
                <w:rFonts w:hint="eastAsia" w:ascii="Times New Roman" w:hAnsi="Times New Roman" w:eastAsia="宋体" w:cs="宋体"/>
                <w:b w:val="0"/>
                <w:bCs w:val="0"/>
                <w:kern w:val="2"/>
                <w:sz w:val="18"/>
                <w:szCs w:val="18"/>
                <w:vertAlign w:val="baseline"/>
                <w:lang w:val="en-US" w:eastAsia="zh-CN" w:bidi="zh-CN"/>
              </w:rPr>
              <w:t>三里湾</w:t>
            </w:r>
            <w:bookmarkEnd w:id="186"/>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1300人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87" w:name="_Toc9995"/>
            <w:r>
              <w:rPr>
                <w:rFonts w:hint="eastAsia" w:ascii="Times New Roman" w:hAnsi="Times New Roman" w:eastAsia="宋体" w:cs="宋体"/>
                <w:b w:val="0"/>
                <w:bCs w:val="0"/>
                <w:kern w:val="2"/>
                <w:sz w:val="18"/>
                <w:szCs w:val="18"/>
                <w:vertAlign w:val="baseline"/>
                <w:lang w:val="en-US" w:eastAsia="zh-CN" w:bidi="zh-CN"/>
              </w:rPr>
              <w:t>二类区</w:t>
            </w:r>
            <w:bookmarkEnd w:id="187"/>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88" w:name="_Toc27309"/>
            <w:r>
              <w:rPr>
                <w:rFonts w:hint="eastAsia" w:ascii="Times New Roman" w:hAnsi="Times New Roman" w:eastAsia="宋体" w:cs="宋体"/>
                <w:b w:val="0"/>
                <w:bCs w:val="0"/>
                <w:kern w:val="2"/>
                <w:sz w:val="18"/>
                <w:szCs w:val="18"/>
                <w:vertAlign w:val="baseline"/>
                <w:lang w:val="en-US" w:eastAsia="zh-CN" w:bidi="zh-CN"/>
              </w:rPr>
              <w:t>西北</w:t>
            </w:r>
            <w:bookmarkEnd w:id="188"/>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89" w:name="_Toc19158"/>
            <w:r>
              <w:rPr>
                <w:rFonts w:hint="eastAsia" w:ascii="Times New Roman" w:hAnsi="Times New Roman" w:eastAsia="宋体" w:cs="宋体"/>
                <w:b w:val="0"/>
                <w:bCs w:val="0"/>
                <w:kern w:val="2"/>
                <w:sz w:val="18"/>
                <w:szCs w:val="18"/>
                <w:vertAlign w:val="baseline"/>
                <w:lang w:val="en-US" w:eastAsia="zh-CN" w:bidi="zh-CN"/>
              </w:rPr>
              <w:t>2266</w:t>
            </w:r>
            <w:bookmarkEnd w:id="18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90" w:name="_Toc26210"/>
            <w:r>
              <w:rPr>
                <w:rFonts w:hint="eastAsia" w:ascii="Times New Roman" w:hAnsi="Times New Roman" w:eastAsia="宋体" w:cs="宋体"/>
                <w:b w:val="0"/>
                <w:bCs w:val="0"/>
                <w:kern w:val="2"/>
                <w:sz w:val="18"/>
                <w:szCs w:val="18"/>
                <w:vertAlign w:val="baseline"/>
                <w:lang w:val="en-US" w:eastAsia="zh-CN" w:bidi="zh-CN"/>
              </w:rPr>
              <w:t>1</w:t>
            </w:r>
            <w:bookmarkEnd w:id="190"/>
            <w:r>
              <w:rPr>
                <w:rFonts w:hint="eastAsia" w:ascii="Times New Roman" w:hAnsi="Times New Roman" w:eastAsia="宋体" w:cs="宋体"/>
                <w:b w:val="0"/>
                <w:bCs w:val="0"/>
                <w:kern w:val="2"/>
                <w:sz w:val="18"/>
                <w:szCs w:val="18"/>
                <w:vertAlign w:val="baseline"/>
                <w:lang w:val="en-US" w:eastAsia="zh-CN" w:bidi="zh-CN"/>
              </w:rPr>
              <w:t>6</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91" w:name="_Toc26649"/>
            <w:r>
              <w:rPr>
                <w:rFonts w:hint="eastAsia" w:ascii="Times New Roman" w:hAnsi="Times New Roman" w:eastAsia="宋体" w:cs="宋体"/>
                <w:b w:val="0"/>
                <w:bCs w:val="0"/>
                <w:kern w:val="2"/>
                <w:sz w:val="18"/>
                <w:szCs w:val="18"/>
                <w:vertAlign w:val="baseline"/>
                <w:lang w:val="en-US" w:eastAsia="zh-CN" w:bidi="zh-CN"/>
              </w:rPr>
              <w:t>113.32414627</w:t>
            </w:r>
            <w:bookmarkEnd w:id="191"/>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92" w:name="_Toc3221"/>
            <w:r>
              <w:rPr>
                <w:rFonts w:hint="eastAsia" w:ascii="Times New Roman" w:hAnsi="Times New Roman" w:eastAsia="宋体" w:cs="宋体"/>
                <w:b w:val="0"/>
                <w:bCs w:val="0"/>
                <w:kern w:val="2"/>
                <w:sz w:val="18"/>
                <w:szCs w:val="18"/>
                <w:vertAlign w:val="baseline"/>
                <w:lang w:val="en-US" w:eastAsia="zh-CN" w:bidi="zh-CN"/>
              </w:rPr>
              <w:t>33.60150207</w:t>
            </w:r>
            <w:bookmarkEnd w:id="192"/>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93" w:name="_Toc28201"/>
            <w:r>
              <w:rPr>
                <w:rFonts w:hint="eastAsia" w:ascii="Times New Roman" w:hAnsi="Times New Roman" w:eastAsia="宋体" w:cs="宋体"/>
                <w:b w:val="0"/>
                <w:bCs w:val="0"/>
                <w:kern w:val="2"/>
                <w:sz w:val="18"/>
                <w:szCs w:val="18"/>
                <w:vertAlign w:val="baseline"/>
                <w:lang w:val="en-US" w:eastAsia="zh-CN" w:bidi="zh-CN"/>
              </w:rPr>
              <w:t>叶县高中</w:t>
            </w:r>
            <w:bookmarkEnd w:id="193"/>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9500人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194" w:name="_Toc14247"/>
            <w:r>
              <w:rPr>
                <w:rFonts w:hint="eastAsia" w:ascii="Times New Roman" w:hAnsi="Times New Roman" w:eastAsia="宋体" w:cs="宋体"/>
                <w:b w:val="0"/>
                <w:bCs w:val="0"/>
                <w:kern w:val="2"/>
                <w:sz w:val="18"/>
                <w:szCs w:val="18"/>
                <w:vertAlign w:val="baseline"/>
                <w:lang w:val="en-US" w:eastAsia="zh-CN" w:bidi="zh-CN"/>
              </w:rPr>
              <w:t>二类区</w:t>
            </w:r>
            <w:bookmarkEnd w:id="194"/>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95" w:name="_Toc23889"/>
            <w:r>
              <w:rPr>
                <w:rFonts w:hint="eastAsia" w:ascii="Times New Roman" w:hAnsi="Times New Roman" w:eastAsia="宋体" w:cs="宋体"/>
                <w:b w:val="0"/>
                <w:bCs w:val="0"/>
                <w:kern w:val="2"/>
                <w:sz w:val="18"/>
                <w:szCs w:val="18"/>
                <w:vertAlign w:val="baseline"/>
                <w:lang w:val="en-US" w:eastAsia="zh-CN" w:bidi="zh-CN"/>
              </w:rPr>
              <w:t>西</w:t>
            </w:r>
            <w:bookmarkEnd w:id="195"/>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96" w:name="_Toc2562"/>
            <w:r>
              <w:rPr>
                <w:rFonts w:hint="eastAsia" w:ascii="Times New Roman" w:hAnsi="Times New Roman" w:eastAsia="宋体" w:cs="宋体"/>
                <w:b w:val="0"/>
                <w:bCs w:val="0"/>
                <w:kern w:val="2"/>
                <w:sz w:val="18"/>
                <w:szCs w:val="18"/>
                <w:vertAlign w:val="baseline"/>
                <w:lang w:val="en-US" w:eastAsia="zh-CN" w:bidi="zh-CN"/>
              </w:rPr>
              <w:t>1871m</w:t>
            </w:r>
            <w:bookmarkEnd w:id="19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197" w:name="_Toc22029"/>
            <w:r>
              <w:rPr>
                <w:rFonts w:hint="eastAsia" w:ascii="Times New Roman" w:hAnsi="Times New Roman" w:eastAsia="宋体" w:cs="宋体"/>
                <w:b w:val="0"/>
                <w:bCs w:val="0"/>
                <w:kern w:val="2"/>
                <w:sz w:val="18"/>
                <w:szCs w:val="18"/>
                <w:vertAlign w:val="baseline"/>
                <w:lang w:val="en-US" w:eastAsia="zh-CN" w:bidi="zh-CN"/>
              </w:rPr>
              <w:t>1</w:t>
            </w:r>
            <w:bookmarkEnd w:id="197"/>
            <w:r>
              <w:rPr>
                <w:rFonts w:hint="eastAsia" w:ascii="Times New Roman" w:hAnsi="Times New Roman" w:eastAsia="宋体" w:cs="宋体"/>
                <w:b w:val="0"/>
                <w:bCs w:val="0"/>
                <w:kern w:val="2"/>
                <w:sz w:val="18"/>
                <w:szCs w:val="18"/>
                <w:vertAlign w:val="baseline"/>
                <w:lang w:val="en-US" w:eastAsia="zh-CN" w:bidi="zh-CN"/>
              </w:rPr>
              <w:t>7</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98" w:name="_Toc14855"/>
            <w:r>
              <w:rPr>
                <w:rFonts w:hint="eastAsia" w:ascii="Times New Roman" w:hAnsi="Times New Roman" w:eastAsia="宋体" w:cs="宋体"/>
                <w:b w:val="0"/>
                <w:bCs w:val="0"/>
                <w:kern w:val="2"/>
                <w:sz w:val="18"/>
                <w:szCs w:val="18"/>
                <w:vertAlign w:val="baseline"/>
                <w:lang w:val="en-US" w:eastAsia="zh-CN" w:bidi="zh-CN"/>
              </w:rPr>
              <w:t>113.33719254</w:t>
            </w:r>
            <w:bookmarkEnd w:id="198"/>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199" w:name="_Toc14973"/>
            <w:r>
              <w:rPr>
                <w:rFonts w:hint="eastAsia" w:ascii="Times New Roman" w:hAnsi="Times New Roman" w:eastAsia="宋体" w:cs="宋体"/>
                <w:b w:val="0"/>
                <w:bCs w:val="0"/>
                <w:kern w:val="2"/>
                <w:sz w:val="18"/>
                <w:szCs w:val="18"/>
                <w:vertAlign w:val="baseline"/>
                <w:lang w:val="en-US" w:eastAsia="zh-CN" w:bidi="zh-CN"/>
              </w:rPr>
              <w:t>33.60303907</w:t>
            </w:r>
            <w:bookmarkEnd w:id="199"/>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00" w:name="_Toc26080"/>
            <w:r>
              <w:rPr>
                <w:rFonts w:hint="eastAsia" w:ascii="Times New Roman" w:hAnsi="Times New Roman" w:eastAsia="宋体" w:cs="宋体"/>
                <w:b w:val="0"/>
                <w:bCs w:val="0"/>
                <w:kern w:val="2"/>
                <w:sz w:val="18"/>
                <w:szCs w:val="18"/>
                <w:vertAlign w:val="baseline"/>
                <w:lang w:val="en-US" w:eastAsia="zh-CN" w:bidi="zh-CN"/>
              </w:rPr>
              <w:t>叶县昆阳中学（新校区）</w:t>
            </w:r>
            <w:bookmarkEnd w:id="200"/>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1550人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01" w:name="_Toc30777"/>
            <w:r>
              <w:rPr>
                <w:rFonts w:hint="eastAsia" w:ascii="Times New Roman" w:hAnsi="Times New Roman" w:eastAsia="宋体" w:cs="宋体"/>
                <w:b w:val="0"/>
                <w:bCs w:val="0"/>
                <w:kern w:val="2"/>
                <w:sz w:val="18"/>
                <w:szCs w:val="18"/>
                <w:vertAlign w:val="baseline"/>
                <w:lang w:val="en-US" w:eastAsia="zh-CN" w:bidi="zh-CN"/>
              </w:rPr>
              <w:t>二类区</w:t>
            </w:r>
            <w:bookmarkEnd w:id="201"/>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02" w:name="_Toc8357"/>
            <w:r>
              <w:rPr>
                <w:rFonts w:hint="eastAsia" w:ascii="Times New Roman" w:hAnsi="Times New Roman" w:eastAsia="宋体" w:cs="宋体"/>
                <w:b w:val="0"/>
                <w:bCs w:val="0"/>
                <w:kern w:val="2"/>
                <w:sz w:val="18"/>
                <w:szCs w:val="18"/>
                <w:vertAlign w:val="baseline"/>
                <w:lang w:val="en-US" w:eastAsia="zh-CN" w:bidi="zh-CN"/>
              </w:rPr>
              <w:t>西北</w:t>
            </w:r>
            <w:bookmarkEnd w:id="202"/>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03" w:name="_Toc1382"/>
            <w:r>
              <w:rPr>
                <w:rFonts w:hint="eastAsia" w:ascii="Times New Roman" w:hAnsi="Times New Roman" w:eastAsia="宋体" w:cs="宋体"/>
                <w:b w:val="0"/>
                <w:bCs w:val="0"/>
                <w:kern w:val="2"/>
                <w:sz w:val="18"/>
                <w:szCs w:val="18"/>
                <w:vertAlign w:val="baseline"/>
                <w:lang w:val="en-US" w:eastAsia="zh-CN" w:bidi="zh-CN"/>
              </w:rPr>
              <w:t>1149m</w:t>
            </w:r>
            <w:bookmarkEnd w:id="2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04" w:name="_Toc5701"/>
            <w:r>
              <w:rPr>
                <w:rFonts w:hint="eastAsia" w:ascii="Times New Roman" w:hAnsi="Times New Roman" w:eastAsia="宋体" w:cs="宋体"/>
                <w:b w:val="0"/>
                <w:bCs w:val="0"/>
                <w:kern w:val="2"/>
                <w:sz w:val="18"/>
                <w:szCs w:val="18"/>
                <w:vertAlign w:val="baseline"/>
                <w:lang w:val="en-US" w:eastAsia="zh-CN" w:bidi="zh-CN"/>
              </w:rPr>
              <w:t>1</w:t>
            </w:r>
            <w:bookmarkEnd w:id="204"/>
            <w:r>
              <w:rPr>
                <w:rFonts w:hint="eastAsia" w:ascii="Times New Roman" w:hAnsi="Times New Roman" w:eastAsia="宋体" w:cs="宋体"/>
                <w:b w:val="0"/>
                <w:bCs w:val="0"/>
                <w:kern w:val="2"/>
                <w:sz w:val="18"/>
                <w:szCs w:val="18"/>
                <w:vertAlign w:val="baseline"/>
                <w:lang w:val="en-US" w:eastAsia="zh-CN" w:bidi="zh-CN"/>
              </w:rPr>
              <w:t>8</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05" w:name="_Toc23218"/>
            <w:r>
              <w:rPr>
                <w:rFonts w:hint="eastAsia" w:ascii="Times New Roman" w:hAnsi="Times New Roman" w:eastAsia="宋体" w:cs="宋体"/>
                <w:b w:val="0"/>
                <w:bCs w:val="0"/>
                <w:kern w:val="2"/>
                <w:sz w:val="18"/>
                <w:szCs w:val="18"/>
                <w:vertAlign w:val="baseline"/>
                <w:lang w:val="en-US" w:eastAsia="zh-CN" w:bidi="zh-CN"/>
              </w:rPr>
              <w:t>113.33187103</w:t>
            </w:r>
            <w:bookmarkEnd w:id="205"/>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06" w:name="_Toc19199"/>
            <w:r>
              <w:rPr>
                <w:rFonts w:hint="eastAsia" w:ascii="Times New Roman" w:hAnsi="Times New Roman" w:eastAsia="宋体" w:cs="宋体"/>
                <w:b w:val="0"/>
                <w:bCs w:val="0"/>
                <w:kern w:val="2"/>
                <w:sz w:val="18"/>
                <w:szCs w:val="18"/>
                <w:vertAlign w:val="baseline"/>
                <w:lang w:val="en-US" w:eastAsia="zh-CN" w:bidi="zh-CN"/>
              </w:rPr>
              <w:t>33.59517506</w:t>
            </w:r>
            <w:bookmarkEnd w:id="206"/>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07" w:name="_Toc6473"/>
            <w:r>
              <w:rPr>
                <w:rFonts w:hint="eastAsia" w:ascii="Times New Roman" w:hAnsi="Times New Roman" w:eastAsia="宋体" w:cs="宋体"/>
                <w:b w:val="0"/>
                <w:bCs w:val="0"/>
                <w:kern w:val="2"/>
                <w:sz w:val="18"/>
                <w:szCs w:val="18"/>
                <w:vertAlign w:val="baseline"/>
                <w:lang w:val="en-US" w:eastAsia="zh-CN" w:bidi="zh-CN"/>
              </w:rPr>
              <w:t>贺庄村</w:t>
            </w:r>
            <w:bookmarkEnd w:id="207"/>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650人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08" w:name="_Toc16733"/>
            <w:r>
              <w:rPr>
                <w:rFonts w:hint="eastAsia" w:ascii="Times New Roman" w:hAnsi="Times New Roman" w:eastAsia="宋体" w:cs="宋体"/>
                <w:b w:val="0"/>
                <w:bCs w:val="0"/>
                <w:kern w:val="2"/>
                <w:sz w:val="18"/>
                <w:szCs w:val="18"/>
                <w:vertAlign w:val="baseline"/>
                <w:lang w:val="en-US" w:eastAsia="zh-CN" w:bidi="zh-CN"/>
              </w:rPr>
              <w:t>二类区</w:t>
            </w:r>
            <w:bookmarkEnd w:id="208"/>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09" w:name="_Toc31577"/>
            <w:r>
              <w:rPr>
                <w:rFonts w:hint="eastAsia" w:ascii="Times New Roman" w:hAnsi="Times New Roman" w:eastAsia="宋体" w:cs="宋体"/>
                <w:b w:val="0"/>
                <w:bCs w:val="0"/>
                <w:kern w:val="2"/>
                <w:sz w:val="18"/>
                <w:szCs w:val="18"/>
                <w:vertAlign w:val="baseline"/>
                <w:lang w:val="en-US" w:eastAsia="zh-CN" w:bidi="zh-CN"/>
              </w:rPr>
              <w:t>西</w:t>
            </w:r>
            <w:bookmarkEnd w:id="209"/>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10" w:name="_Toc30573"/>
            <w:r>
              <w:rPr>
                <w:rFonts w:hint="eastAsia" w:ascii="Times New Roman" w:hAnsi="Times New Roman" w:eastAsia="宋体" w:cs="宋体"/>
                <w:b w:val="0"/>
                <w:bCs w:val="0"/>
                <w:kern w:val="2"/>
                <w:sz w:val="18"/>
                <w:szCs w:val="18"/>
                <w:vertAlign w:val="baseline"/>
                <w:lang w:val="en-US" w:eastAsia="zh-CN" w:bidi="zh-CN"/>
              </w:rPr>
              <w:t>1235m</w:t>
            </w:r>
            <w:bookmarkEnd w:id="21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19</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11" w:name="_Toc23776"/>
            <w:r>
              <w:rPr>
                <w:rFonts w:hint="eastAsia" w:ascii="Times New Roman" w:hAnsi="Times New Roman" w:eastAsia="宋体" w:cs="宋体"/>
                <w:b w:val="0"/>
                <w:bCs w:val="0"/>
                <w:kern w:val="2"/>
                <w:sz w:val="18"/>
                <w:szCs w:val="18"/>
                <w:vertAlign w:val="baseline"/>
                <w:lang w:val="en-US" w:eastAsia="zh-CN" w:bidi="zh-CN"/>
              </w:rPr>
              <w:t>113.32899570</w:t>
            </w:r>
            <w:bookmarkEnd w:id="211"/>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12" w:name="_Toc32336"/>
            <w:r>
              <w:rPr>
                <w:rFonts w:hint="eastAsia" w:ascii="Times New Roman" w:hAnsi="Times New Roman" w:eastAsia="宋体" w:cs="宋体"/>
                <w:b w:val="0"/>
                <w:bCs w:val="0"/>
                <w:kern w:val="2"/>
                <w:sz w:val="18"/>
                <w:szCs w:val="18"/>
                <w:vertAlign w:val="baseline"/>
                <w:lang w:val="en-US" w:eastAsia="zh-CN" w:bidi="zh-CN"/>
              </w:rPr>
              <w:t>33.59185052</w:t>
            </w:r>
            <w:bookmarkEnd w:id="212"/>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13" w:name="_Toc24139"/>
            <w:r>
              <w:rPr>
                <w:rFonts w:hint="eastAsia" w:ascii="Times New Roman" w:hAnsi="Times New Roman" w:eastAsia="宋体" w:cs="宋体"/>
                <w:b w:val="0"/>
                <w:bCs w:val="0"/>
                <w:kern w:val="2"/>
                <w:sz w:val="18"/>
                <w:szCs w:val="18"/>
                <w:vertAlign w:val="baseline"/>
                <w:lang w:val="en-US" w:eastAsia="zh-CN" w:bidi="zh-CN"/>
              </w:rPr>
              <w:t>张申庄</w:t>
            </w:r>
            <w:bookmarkEnd w:id="213"/>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500人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14" w:name="_Toc11552"/>
            <w:r>
              <w:rPr>
                <w:rFonts w:hint="eastAsia" w:ascii="Times New Roman" w:hAnsi="Times New Roman" w:eastAsia="宋体" w:cs="宋体"/>
                <w:b w:val="0"/>
                <w:bCs w:val="0"/>
                <w:kern w:val="2"/>
                <w:sz w:val="18"/>
                <w:szCs w:val="18"/>
                <w:vertAlign w:val="baseline"/>
                <w:lang w:val="en-US" w:eastAsia="zh-CN" w:bidi="zh-CN"/>
              </w:rPr>
              <w:t>二类区</w:t>
            </w:r>
            <w:bookmarkEnd w:id="214"/>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15" w:name="_Toc16323"/>
            <w:r>
              <w:rPr>
                <w:rFonts w:hint="eastAsia" w:ascii="Times New Roman" w:hAnsi="Times New Roman" w:eastAsia="宋体" w:cs="宋体"/>
                <w:b w:val="0"/>
                <w:bCs w:val="0"/>
                <w:kern w:val="2"/>
                <w:sz w:val="18"/>
                <w:szCs w:val="18"/>
                <w:vertAlign w:val="baseline"/>
                <w:lang w:val="en-US" w:eastAsia="zh-CN" w:bidi="zh-CN"/>
              </w:rPr>
              <w:t>西南</w:t>
            </w:r>
            <w:bookmarkEnd w:id="215"/>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16" w:name="_Toc1942"/>
            <w:r>
              <w:rPr>
                <w:rFonts w:hint="eastAsia" w:ascii="Times New Roman" w:hAnsi="Times New Roman" w:eastAsia="宋体" w:cs="宋体"/>
                <w:b w:val="0"/>
                <w:bCs w:val="0"/>
                <w:kern w:val="2"/>
                <w:sz w:val="18"/>
                <w:szCs w:val="18"/>
                <w:vertAlign w:val="baseline"/>
                <w:lang w:val="en-US" w:eastAsia="zh-CN" w:bidi="zh-CN"/>
              </w:rPr>
              <w:t>1065m</w:t>
            </w:r>
            <w:bookmarkEnd w:id="21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17" w:name="_Toc9754"/>
            <w:r>
              <w:rPr>
                <w:rFonts w:hint="eastAsia" w:ascii="Times New Roman" w:hAnsi="Times New Roman" w:eastAsia="宋体" w:cs="宋体"/>
                <w:b w:val="0"/>
                <w:bCs w:val="0"/>
                <w:kern w:val="2"/>
                <w:sz w:val="18"/>
                <w:szCs w:val="18"/>
                <w:vertAlign w:val="baseline"/>
                <w:lang w:val="en-US" w:eastAsia="zh-CN" w:bidi="zh-CN"/>
              </w:rPr>
              <w:t>2</w:t>
            </w:r>
            <w:bookmarkEnd w:id="217"/>
            <w:r>
              <w:rPr>
                <w:rFonts w:hint="eastAsia" w:ascii="Times New Roman" w:hAnsi="Times New Roman" w:eastAsia="宋体" w:cs="宋体"/>
                <w:b w:val="0"/>
                <w:bCs w:val="0"/>
                <w:kern w:val="2"/>
                <w:sz w:val="18"/>
                <w:szCs w:val="18"/>
                <w:vertAlign w:val="baseline"/>
                <w:lang w:val="en-US" w:eastAsia="zh-CN" w:bidi="zh-CN"/>
              </w:rPr>
              <w:t>0</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18" w:name="_Toc18695"/>
            <w:r>
              <w:rPr>
                <w:rFonts w:hint="eastAsia" w:ascii="Times New Roman" w:hAnsi="Times New Roman" w:eastAsia="宋体" w:cs="宋体"/>
                <w:b w:val="0"/>
                <w:bCs w:val="0"/>
                <w:kern w:val="2"/>
                <w:sz w:val="18"/>
                <w:szCs w:val="18"/>
                <w:vertAlign w:val="baseline"/>
                <w:lang w:val="en-US" w:eastAsia="zh-CN" w:bidi="zh-CN"/>
              </w:rPr>
              <w:t>113.32157135</w:t>
            </w:r>
            <w:bookmarkEnd w:id="218"/>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19" w:name="_Toc903"/>
            <w:r>
              <w:rPr>
                <w:rFonts w:hint="eastAsia" w:ascii="Times New Roman" w:hAnsi="Times New Roman" w:eastAsia="宋体" w:cs="宋体"/>
                <w:b w:val="0"/>
                <w:bCs w:val="0"/>
                <w:kern w:val="2"/>
                <w:sz w:val="18"/>
                <w:szCs w:val="18"/>
                <w:vertAlign w:val="baseline"/>
                <w:lang w:val="en-US" w:eastAsia="zh-CN" w:bidi="zh-CN"/>
              </w:rPr>
              <w:t>33.58720309</w:t>
            </w:r>
            <w:bookmarkEnd w:id="219"/>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20" w:name="_Toc19998"/>
            <w:r>
              <w:rPr>
                <w:rFonts w:hint="eastAsia" w:ascii="Times New Roman" w:hAnsi="Times New Roman" w:eastAsia="宋体" w:cs="宋体"/>
                <w:b w:val="0"/>
                <w:bCs w:val="0"/>
                <w:kern w:val="2"/>
                <w:sz w:val="18"/>
                <w:szCs w:val="18"/>
                <w:vertAlign w:val="baseline"/>
                <w:lang w:val="en-US" w:eastAsia="zh-CN" w:bidi="zh-CN"/>
              </w:rPr>
              <w:t>道庄</w:t>
            </w:r>
            <w:bookmarkEnd w:id="220"/>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120人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21" w:name="_Toc21381"/>
            <w:r>
              <w:rPr>
                <w:rFonts w:hint="eastAsia" w:ascii="Times New Roman" w:hAnsi="Times New Roman" w:eastAsia="宋体" w:cs="宋体"/>
                <w:b w:val="0"/>
                <w:bCs w:val="0"/>
                <w:kern w:val="2"/>
                <w:sz w:val="18"/>
                <w:szCs w:val="18"/>
                <w:vertAlign w:val="baseline"/>
                <w:lang w:val="en-US" w:eastAsia="zh-CN" w:bidi="zh-CN"/>
              </w:rPr>
              <w:t>二类区</w:t>
            </w:r>
            <w:bookmarkEnd w:id="221"/>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22" w:name="_Toc5724"/>
            <w:r>
              <w:rPr>
                <w:rFonts w:hint="eastAsia" w:ascii="Times New Roman" w:hAnsi="Times New Roman" w:eastAsia="宋体" w:cs="宋体"/>
                <w:b w:val="0"/>
                <w:bCs w:val="0"/>
                <w:kern w:val="2"/>
                <w:sz w:val="18"/>
                <w:szCs w:val="18"/>
                <w:vertAlign w:val="baseline"/>
                <w:lang w:val="en-US" w:eastAsia="zh-CN" w:bidi="zh-CN"/>
              </w:rPr>
              <w:t>西南</w:t>
            </w:r>
            <w:bookmarkEnd w:id="222"/>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23" w:name="_Toc27380"/>
            <w:r>
              <w:rPr>
                <w:rFonts w:hint="eastAsia" w:ascii="Times New Roman" w:hAnsi="Times New Roman" w:eastAsia="宋体" w:cs="宋体"/>
                <w:b w:val="0"/>
                <w:bCs w:val="0"/>
                <w:kern w:val="2"/>
                <w:sz w:val="18"/>
                <w:szCs w:val="18"/>
                <w:vertAlign w:val="baseline"/>
                <w:lang w:val="en-US" w:eastAsia="zh-CN" w:bidi="zh-CN"/>
              </w:rPr>
              <w:t>2279m</w:t>
            </w:r>
            <w:bookmarkEnd w:id="22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24" w:name="_Toc30976"/>
            <w:r>
              <w:rPr>
                <w:rFonts w:hint="eastAsia" w:ascii="Times New Roman" w:hAnsi="Times New Roman" w:eastAsia="宋体" w:cs="宋体"/>
                <w:b w:val="0"/>
                <w:bCs w:val="0"/>
                <w:kern w:val="2"/>
                <w:sz w:val="18"/>
                <w:szCs w:val="18"/>
                <w:vertAlign w:val="baseline"/>
                <w:lang w:val="en-US" w:eastAsia="zh-CN" w:bidi="zh-CN"/>
              </w:rPr>
              <w:t>2</w:t>
            </w:r>
            <w:bookmarkEnd w:id="224"/>
            <w:r>
              <w:rPr>
                <w:rFonts w:hint="eastAsia" w:ascii="Times New Roman" w:hAnsi="Times New Roman" w:eastAsia="宋体" w:cs="宋体"/>
                <w:b w:val="0"/>
                <w:bCs w:val="0"/>
                <w:kern w:val="2"/>
                <w:sz w:val="18"/>
                <w:szCs w:val="18"/>
                <w:vertAlign w:val="baseline"/>
                <w:lang w:val="en-US" w:eastAsia="zh-CN" w:bidi="zh-CN"/>
              </w:rPr>
              <w:t>1</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25" w:name="_Toc16852"/>
            <w:r>
              <w:rPr>
                <w:rFonts w:hint="eastAsia" w:ascii="Times New Roman" w:hAnsi="Times New Roman" w:eastAsia="宋体" w:cs="宋体"/>
                <w:b w:val="0"/>
                <w:bCs w:val="0"/>
                <w:kern w:val="2"/>
                <w:sz w:val="18"/>
                <w:szCs w:val="18"/>
                <w:vertAlign w:val="baseline"/>
                <w:lang w:val="en-US" w:eastAsia="zh-CN" w:bidi="zh-CN"/>
              </w:rPr>
              <w:t>113.33491802</w:t>
            </w:r>
            <w:bookmarkEnd w:id="225"/>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26" w:name="_Toc2848"/>
            <w:r>
              <w:rPr>
                <w:rFonts w:hint="eastAsia" w:ascii="Times New Roman" w:hAnsi="Times New Roman" w:eastAsia="宋体" w:cs="宋体"/>
                <w:b w:val="0"/>
                <w:bCs w:val="0"/>
                <w:kern w:val="2"/>
                <w:sz w:val="18"/>
                <w:szCs w:val="18"/>
                <w:vertAlign w:val="baseline"/>
                <w:lang w:val="en-US" w:eastAsia="zh-CN" w:bidi="zh-CN"/>
              </w:rPr>
              <w:t>33.57604824</w:t>
            </w:r>
            <w:bookmarkEnd w:id="226"/>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27" w:name="_Toc3535"/>
            <w:r>
              <w:rPr>
                <w:rFonts w:hint="eastAsia" w:ascii="Times New Roman" w:hAnsi="Times New Roman" w:eastAsia="宋体" w:cs="宋体"/>
                <w:b w:val="0"/>
                <w:bCs w:val="0"/>
                <w:kern w:val="2"/>
                <w:sz w:val="18"/>
                <w:szCs w:val="18"/>
                <w:vertAlign w:val="baseline"/>
                <w:lang w:val="en-US" w:eastAsia="zh-CN" w:bidi="zh-CN"/>
              </w:rPr>
              <w:t>毛庄</w:t>
            </w:r>
            <w:bookmarkEnd w:id="227"/>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160人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28" w:name="_Toc22273"/>
            <w:r>
              <w:rPr>
                <w:rFonts w:hint="eastAsia" w:ascii="Times New Roman" w:hAnsi="Times New Roman" w:eastAsia="宋体" w:cs="宋体"/>
                <w:b w:val="0"/>
                <w:bCs w:val="0"/>
                <w:kern w:val="2"/>
                <w:sz w:val="18"/>
                <w:szCs w:val="18"/>
                <w:vertAlign w:val="baseline"/>
                <w:lang w:val="en-US" w:eastAsia="zh-CN" w:bidi="zh-CN"/>
              </w:rPr>
              <w:t>二类区</w:t>
            </w:r>
            <w:bookmarkEnd w:id="228"/>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29" w:name="_Toc22595"/>
            <w:r>
              <w:rPr>
                <w:rFonts w:hint="eastAsia" w:ascii="Times New Roman" w:hAnsi="Times New Roman" w:eastAsia="宋体" w:cs="宋体"/>
                <w:b w:val="0"/>
                <w:bCs w:val="0"/>
                <w:kern w:val="2"/>
                <w:sz w:val="18"/>
                <w:szCs w:val="18"/>
                <w:vertAlign w:val="baseline"/>
                <w:lang w:val="en-US" w:eastAsia="zh-CN" w:bidi="zh-CN"/>
              </w:rPr>
              <w:t>西南</w:t>
            </w:r>
            <w:bookmarkEnd w:id="229"/>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snapToGrid w:val="0"/>
                <w:color w:val="000000"/>
                <w:kern w:val="2"/>
                <w:sz w:val="18"/>
                <w:szCs w:val="18"/>
                <w:vertAlign w:val="baseline"/>
                <w:lang w:val="en-US" w:eastAsia="zh-CN" w:bidi="zh-CN"/>
              </w:rPr>
            </w:pPr>
            <w:bookmarkStart w:id="230" w:name="_Toc21678"/>
            <w:r>
              <w:rPr>
                <w:rFonts w:hint="eastAsia" w:ascii="Times New Roman" w:hAnsi="Times New Roman" w:eastAsia="宋体" w:cs="宋体"/>
                <w:b w:val="0"/>
                <w:bCs w:val="0"/>
                <w:kern w:val="2"/>
                <w:sz w:val="18"/>
                <w:szCs w:val="18"/>
                <w:vertAlign w:val="baseline"/>
                <w:lang w:val="en-US" w:eastAsia="zh-CN" w:bidi="zh-CN"/>
              </w:rPr>
              <w:t>2271m</w:t>
            </w:r>
            <w:bookmarkEnd w:id="23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31" w:name="_Toc28677"/>
            <w:r>
              <w:rPr>
                <w:rFonts w:hint="eastAsia" w:ascii="Times New Roman" w:hAnsi="Times New Roman" w:eastAsia="宋体" w:cs="宋体"/>
                <w:b w:val="0"/>
                <w:bCs w:val="0"/>
                <w:kern w:val="2"/>
                <w:sz w:val="18"/>
                <w:szCs w:val="18"/>
                <w:vertAlign w:val="baseline"/>
                <w:lang w:val="en-US" w:eastAsia="zh-CN" w:bidi="zh-CN"/>
              </w:rPr>
              <w:t>2</w:t>
            </w:r>
            <w:bookmarkEnd w:id="231"/>
            <w:r>
              <w:rPr>
                <w:rFonts w:hint="eastAsia" w:ascii="Times New Roman" w:hAnsi="Times New Roman" w:eastAsia="宋体" w:cs="宋体"/>
                <w:b w:val="0"/>
                <w:bCs w:val="0"/>
                <w:kern w:val="2"/>
                <w:sz w:val="18"/>
                <w:szCs w:val="18"/>
                <w:vertAlign w:val="baseline"/>
                <w:lang w:val="en-US" w:eastAsia="zh-CN" w:bidi="zh-CN"/>
              </w:rPr>
              <w:t>2</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32" w:name="_Toc30888"/>
            <w:r>
              <w:rPr>
                <w:rFonts w:hint="eastAsia" w:ascii="Times New Roman" w:hAnsi="Times New Roman" w:eastAsia="宋体" w:cs="宋体"/>
                <w:b w:val="0"/>
                <w:bCs w:val="0"/>
                <w:kern w:val="2"/>
                <w:sz w:val="18"/>
                <w:szCs w:val="18"/>
                <w:vertAlign w:val="baseline"/>
                <w:lang w:val="en-US" w:eastAsia="zh-CN" w:bidi="zh-CN"/>
              </w:rPr>
              <w:t>113.34315777</w:t>
            </w:r>
            <w:bookmarkEnd w:id="232"/>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33" w:name="_Toc27003"/>
            <w:r>
              <w:rPr>
                <w:rFonts w:hint="eastAsia" w:ascii="Times New Roman" w:hAnsi="Times New Roman" w:eastAsia="宋体" w:cs="宋体"/>
                <w:b w:val="0"/>
                <w:bCs w:val="0"/>
                <w:kern w:val="2"/>
                <w:sz w:val="18"/>
                <w:szCs w:val="18"/>
                <w:vertAlign w:val="baseline"/>
                <w:lang w:val="en-US" w:eastAsia="zh-CN" w:bidi="zh-CN"/>
              </w:rPr>
              <w:t>33.58398549</w:t>
            </w:r>
            <w:bookmarkEnd w:id="233"/>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34" w:name="_Toc26303"/>
            <w:r>
              <w:rPr>
                <w:rFonts w:hint="eastAsia" w:ascii="Times New Roman" w:hAnsi="Times New Roman" w:eastAsia="宋体" w:cs="宋体"/>
                <w:b w:val="0"/>
                <w:bCs w:val="0"/>
                <w:kern w:val="2"/>
                <w:sz w:val="18"/>
                <w:szCs w:val="18"/>
                <w:vertAlign w:val="baseline"/>
                <w:lang w:val="en-US" w:eastAsia="zh-CN" w:bidi="zh-CN"/>
              </w:rPr>
              <w:t>水郭村</w:t>
            </w:r>
            <w:bookmarkEnd w:id="234"/>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230人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35" w:name="_Toc16639"/>
            <w:r>
              <w:rPr>
                <w:rFonts w:hint="eastAsia" w:ascii="Times New Roman" w:hAnsi="Times New Roman" w:eastAsia="宋体" w:cs="宋体"/>
                <w:b w:val="0"/>
                <w:bCs w:val="0"/>
                <w:kern w:val="2"/>
                <w:sz w:val="18"/>
                <w:szCs w:val="18"/>
                <w:vertAlign w:val="baseline"/>
                <w:lang w:val="en-US" w:eastAsia="zh-CN" w:bidi="zh-CN"/>
              </w:rPr>
              <w:t>二类区</w:t>
            </w:r>
            <w:bookmarkEnd w:id="235"/>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36" w:name="_Toc31161"/>
            <w:r>
              <w:rPr>
                <w:rFonts w:hint="eastAsia" w:ascii="Times New Roman" w:hAnsi="Times New Roman" w:eastAsia="宋体" w:cs="宋体"/>
                <w:b w:val="0"/>
                <w:bCs w:val="0"/>
                <w:kern w:val="2"/>
                <w:sz w:val="18"/>
                <w:szCs w:val="18"/>
                <w:vertAlign w:val="baseline"/>
                <w:lang w:val="en-US" w:eastAsia="zh-CN" w:bidi="zh-CN"/>
              </w:rPr>
              <w:t>南</w:t>
            </w:r>
            <w:bookmarkEnd w:id="236"/>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snapToGrid w:val="0"/>
                <w:color w:val="000000"/>
                <w:kern w:val="2"/>
                <w:sz w:val="18"/>
                <w:szCs w:val="18"/>
                <w:vertAlign w:val="baseline"/>
                <w:lang w:val="en-US" w:eastAsia="zh-CN" w:bidi="zh-CN"/>
              </w:rPr>
            </w:pPr>
            <w:bookmarkStart w:id="237" w:name="_Toc13952"/>
            <w:r>
              <w:rPr>
                <w:rFonts w:hint="eastAsia" w:ascii="Times New Roman" w:hAnsi="Times New Roman" w:eastAsia="宋体" w:cs="宋体"/>
                <w:b w:val="0"/>
                <w:bCs w:val="0"/>
                <w:kern w:val="2"/>
                <w:sz w:val="18"/>
                <w:szCs w:val="18"/>
                <w:vertAlign w:val="baseline"/>
                <w:lang w:val="en-US" w:eastAsia="zh-CN" w:bidi="zh-CN"/>
              </w:rPr>
              <w:t>1035m</w:t>
            </w:r>
            <w:bookmarkEnd w:id="23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38" w:name="_Toc19064"/>
            <w:r>
              <w:rPr>
                <w:rFonts w:hint="eastAsia" w:ascii="Times New Roman" w:hAnsi="Times New Roman" w:eastAsia="宋体" w:cs="宋体"/>
                <w:b w:val="0"/>
                <w:bCs w:val="0"/>
                <w:kern w:val="2"/>
                <w:sz w:val="18"/>
                <w:szCs w:val="18"/>
                <w:vertAlign w:val="baseline"/>
                <w:lang w:val="en-US" w:eastAsia="zh-CN" w:bidi="zh-CN"/>
              </w:rPr>
              <w:t>2</w:t>
            </w:r>
            <w:bookmarkEnd w:id="238"/>
            <w:r>
              <w:rPr>
                <w:rFonts w:hint="eastAsia" w:ascii="Times New Roman" w:hAnsi="Times New Roman" w:eastAsia="宋体" w:cs="宋体"/>
                <w:b w:val="0"/>
                <w:bCs w:val="0"/>
                <w:kern w:val="2"/>
                <w:sz w:val="18"/>
                <w:szCs w:val="18"/>
                <w:vertAlign w:val="baseline"/>
                <w:lang w:val="en-US" w:eastAsia="zh-CN" w:bidi="zh-CN"/>
              </w:rPr>
              <w:t>3</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39" w:name="_Toc29205"/>
            <w:r>
              <w:rPr>
                <w:rFonts w:hint="eastAsia" w:ascii="Times New Roman" w:hAnsi="Times New Roman" w:eastAsia="宋体" w:cs="宋体"/>
                <w:b w:val="0"/>
                <w:bCs w:val="0"/>
                <w:kern w:val="2"/>
                <w:sz w:val="18"/>
                <w:szCs w:val="18"/>
                <w:vertAlign w:val="baseline"/>
                <w:lang w:val="en-US" w:eastAsia="zh-CN" w:bidi="zh-CN"/>
              </w:rPr>
              <w:t>113.36538792</w:t>
            </w:r>
            <w:bookmarkEnd w:id="239"/>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40" w:name="_Toc18779"/>
            <w:r>
              <w:rPr>
                <w:rFonts w:hint="eastAsia" w:ascii="Times New Roman" w:hAnsi="Times New Roman" w:eastAsia="宋体" w:cs="宋体"/>
                <w:b w:val="0"/>
                <w:bCs w:val="0"/>
                <w:kern w:val="2"/>
                <w:sz w:val="18"/>
                <w:szCs w:val="18"/>
                <w:vertAlign w:val="baseline"/>
                <w:lang w:val="en-US" w:eastAsia="zh-CN" w:bidi="zh-CN"/>
              </w:rPr>
              <w:t>33.57451076</w:t>
            </w:r>
            <w:bookmarkEnd w:id="240"/>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41" w:name="_Toc12068"/>
            <w:r>
              <w:rPr>
                <w:rFonts w:hint="eastAsia" w:ascii="Times New Roman" w:hAnsi="Times New Roman" w:eastAsia="宋体" w:cs="宋体"/>
                <w:b w:val="0"/>
                <w:bCs w:val="0"/>
                <w:kern w:val="2"/>
                <w:sz w:val="18"/>
                <w:szCs w:val="18"/>
                <w:vertAlign w:val="baseline"/>
                <w:lang w:val="en-US" w:eastAsia="zh-CN" w:bidi="zh-CN"/>
              </w:rPr>
              <w:t>康台村</w:t>
            </w:r>
            <w:bookmarkEnd w:id="241"/>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180人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42" w:name="_Toc11868"/>
            <w:r>
              <w:rPr>
                <w:rFonts w:hint="eastAsia" w:ascii="Times New Roman" w:hAnsi="Times New Roman" w:eastAsia="宋体" w:cs="宋体"/>
                <w:b w:val="0"/>
                <w:bCs w:val="0"/>
                <w:kern w:val="2"/>
                <w:sz w:val="18"/>
                <w:szCs w:val="18"/>
                <w:vertAlign w:val="baseline"/>
                <w:lang w:val="en-US" w:eastAsia="zh-CN" w:bidi="zh-CN"/>
              </w:rPr>
              <w:t>二类区</w:t>
            </w:r>
            <w:bookmarkEnd w:id="242"/>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43" w:name="_Toc1187"/>
            <w:r>
              <w:rPr>
                <w:rFonts w:hint="eastAsia" w:ascii="Times New Roman" w:hAnsi="Times New Roman" w:eastAsia="宋体" w:cs="宋体"/>
                <w:b w:val="0"/>
                <w:bCs w:val="0"/>
                <w:kern w:val="2"/>
                <w:sz w:val="18"/>
                <w:szCs w:val="18"/>
                <w:vertAlign w:val="baseline"/>
                <w:lang w:val="en-US" w:eastAsia="zh-CN" w:bidi="zh-CN"/>
              </w:rPr>
              <w:t>东南</w:t>
            </w:r>
            <w:bookmarkEnd w:id="243"/>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snapToGrid w:val="0"/>
                <w:color w:val="000000"/>
                <w:kern w:val="2"/>
                <w:sz w:val="18"/>
                <w:szCs w:val="18"/>
                <w:vertAlign w:val="baseline"/>
                <w:lang w:val="en-US" w:eastAsia="zh-CN" w:bidi="zh-CN"/>
              </w:rPr>
            </w:pPr>
            <w:bookmarkStart w:id="244" w:name="_Toc20792"/>
            <w:r>
              <w:rPr>
                <w:rFonts w:hint="eastAsia" w:ascii="Times New Roman" w:hAnsi="Times New Roman" w:eastAsia="宋体" w:cs="宋体"/>
                <w:b w:val="0"/>
                <w:bCs w:val="0"/>
                <w:kern w:val="2"/>
                <w:sz w:val="18"/>
                <w:szCs w:val="18"/>
                <w:vertAlign w:val="baseline"/>
                <w:lang w:val="en-US" w:eastAsia="zh-CN" w:bidi="zh-CN"/>
              </w:rPr>
              <w:t>2562m</w:t>
            </w:r>
            <w:bookmarkEnd w:id="24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45" w:name="_Toc10860"/>
            <w:r>
              <w:rPr>
                <w:rFonts w:hint="eastAsia" w:ascii="Times New Roman" w:hAnsi="Times New Roman" w:eastAsia="宋体" w:cs="宋体"/>
                <w:b w:val="0"/>
                <w:bCs w:val="0"/>
                <w:kern w:val="2"/>
                <w:sz w:val="18"/>
                <w:szCs w:val="18"/>
                <w:vertAlign w:val="baseline"/>
                <w:lang w:val="en-US" w:eastAsia="zh-CN" w:bidi="zh-CN"/>
              </w:rPr>
              <w:t>2</w:t>
            </w:r>
            <w:bookmarkEnd w:id="245"/>
            <w:r>
              <w:rPr>
                <w:rFonts w:hint="eastAsia" w:ascii="Times New Roman" w:hAnsi="Times New Roman" w:eastAsia="宋体" w:cs="宋体"/>
                <w:b w:val="0"/>
                <w:bCs w:val="0"/>
                <w:kern w:val="2"/>
                <w:sz w:val="18"/>
                <w:szCs w:val="18"/>
                <w:vertAlign w:val="baseline"/>
                <w:lang w:val="en-US" w:eastAsia="zh-CN" w:bidi="zh-CN"/>
              </w:rPr>
              <w:t>4</w:t>
            </w: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46" w:name="_Toc6758"/>
            <w:r>
              <w:rPr>
                <w:rFonts w:hint="eastAsia" w:ascii="Times New Roman" w:hAnsi="Times New Roman" w:eastAsia="宋体" w:cs="宋体"/>
                <w:b w:val="0"/>
                <w:bCs w:val="0"/>
                <w:kern w:val="2"/>
                <w:sz w:val="18"/>
                <w:szCs w:val="18"/>
                <w:vertAlign w:val="baseline"/>
                <w:lang w:val="en-US" w:eastAsia="zh-CN" w:bidi="zh-CN"/>
              </w:rPr>
              <w:t>113.36461544</w:t>
            </w:r>
            <w:bookmarkEnd w:id="246"/>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47" w:name="_Toc28264"/>
            <w:r>
              <w:rPr>
                <w:rFonts w:hint="eastAsia" w:ascii="Times New Roman" w:hAnsi="Times New Roman" w:eastAsia="宋体" w:cs="宋体"/>
                <w:b w:val="0"/>
                <w:bCs w:val="0"/>
                <w:kern w:val="2"/>
                <w:sz w:val="18"/>
                <w:szCs w:val="18"/>
                <w:vertAlign w:val="baseline"/>
                <w:lang w:val="en-US" w:eastAsia="zh-CN" w:bidi="zh-CN"/>
              </w:rPr>
              <w:t>33.58502229</w:t>
            </w:r>
            <w:bookmarkEnd w:id="247"/>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48" w:name="_Toc646"/>
            <w:r>
              <w:rPr>
                <w:rFonts w:hint="eastAsia" w:ascii="Times New Roman" w:hAnsi="Times New Roman" w:eastAsia="宋体" w:cs="宋体"/>
                <w:b w:val="0"/>
                <w:bCs w:val="0"/>
                <w:kern w:val="2"/>
                <w:sz w:val="18"/>
                <w:szCs w:val="18"/>
                <w:vertAlign w:val="baseline"/>
                <w:lang w:val="en-US" w:eastAsia="zh-CN" w:bidi="zh-CN"/>
              </w:rPr>
              <w:t>习楼村</w:t>
            </w:r>
            <w:bookmarkEnd w:id="248"/>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r>
              <w:rPr>
                <w:rFonts w:hint="eastAsia" w:ascii="Times New Roman" w:hAnsi="Times New Roman" w:eastAsia="宋体" w:cs="宋体"/>
                <w:b w:val="0"/>
                <w:bCs w:val="0"/>
                <w:kern w:val="2"/>
                <w:sz w:val="18"/>
                <w:szCs w:val="18"/>
                <w:vertAlign w:val="baseline"/>
                <w:lang w:val="en-US" w:eastAsia="zh-CN" w:bidi="zh-CN"/>
              </w:rPr>
              <w:t>380人</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snapToGrid w:val="0"/>
                <w:color w:val="000000"/>
                <w:kern w:val="2"/>
                <w:sz w:val="18"/>
                <w:szCs w:val="18"/>
                <w:vertAlign w:val="baseline"/>
                <w:lang w:val="en-US" w:eastAsia="zh-CN" w:bidi="zh-CN"/>
              </w:rPr>
            </w:pPr>
            <w:bookmarkStart w:id="249" w:name="_Toc19436"/>
            <w:r>
              <w:rPr>
                <w:rFonts w:hint="eastAsia" w:ascii="Times New Roman" w:hAnsi="Times New Roman" w:eastAsia="宋体" w:cs="宋体"/>
                <w:b w:val="0"/>
                <w:bCs w:val="0"/>
                <w:kern w:val="2"/>
                <w:sz w:val="18"/>
                <w:szCs w:val="18"/>
                <w:vertAlign w:val="baseline"/>
                <w:lang w:val="en-US" w:eastAsia="zh-CN" w:bidi="zh-CN"/>
              </w:rPr>
              <w:t>二类区</w:t>
            </w:r>
            <w:bookmarkEnd w:id="249"/>
          </w:p>
        </w:tc>
        <w:tc>
          <w:tcPr>
            <w:tcW w:w="8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val="0"/>
                <w:bCs w:val="0"/>
                <w:kern w:val="2"/>
                <w:sz w:val="18"/>
                <w:szCs w:val="18"/>
                <w:vertAlign w:val="baseline"/>
                <w:lang w:val="en-US" w:eastAsia="zh-CN" w:bidi="zh-CN"/>
              </w:rPr>
            </w:pPr>
            <w:bookmarkStart w:id="250" w:name="_Toc8971"/>
            <w:r>
              <w:rPr>
                <w:rFonts w:hint="eastAsia" w:ascii="Times New Roman" w:hAnsi="Times New Roman" w:eastAsia="宋体" w:cs="宋体"/>
                <w:b w:val="0"/>
                <w:bCs w:val="0"/>
                <w:kern w:val="2"/>
                <w:sz w:val="18"/>
                <w:szCs w:val="18"/>
                <w:vertAlign w:val="baseline"/>
                <w:lang w:val="en-US" w:eastAsia="zh-CN" w:bidi="zh-CN"/>
              </w:rPr>
              <w:t>东南</w:t>
            </w:r>
            <w:bookmarkEnd w:id="250"/>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宋体"/>
                <w:b w:val="0"/>
                <w:bCs w:val="0"/>
                <w:kern w:val="2"/>
                <w:sz w:val="18"/>
                <w:szCs w:val="18"/>
                <w:vertAlign w:val="baseline"/>
                <w:lang w:val="en-US" w:eastAsia="zh-CN" w:bidi="zh-CN"/>
              </w:rPr>
            </w:pPr>
            <w:bookmarkStart w:id="251" w:name="_Toc5434"/>
            <w:r>
              <w:rPr>
                <w:rFonts w:hint="eastAsia" w:ascii="Times New Roman" w:hAnsi="Times New Roman" w:eastAsia="宋体" w:cs="宋体"/>
                <w:b w:val="0"/>
                <w:bCs w:val="0"/>
                <w:kern w:val="2"/>
                <w:sz w:val="18"/>
                <w:szCs w:val="18"/>
                <w:vertAlign w:val="baseline"/>
                <w:lang w:val="en-US" w:eastAsia="zh-CN" w:bidi="zh-CN"/>
              </w:rPr>
              <w:t>1623m</w:t>
            </w:r>
            <w:bookmarkEnd w:id="251"/>
          </w:p>
        </w:tc>
      </w:tr>
    </w:tbl>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jc w:val="center"/>
        <w:textAlignment w:val="auto"/>
        <w:outlineLvl w:val="9"/>
        <w:rPr>
          <w:rFonts w:hint="eastAsia" w:ascii="Times New Roman" w:hAnsi="Times New Roman" w:eastAsia="宋体" w:cs="宋体"/>
          <w:b/>
          <w:bCs/>
          <w:kern w:val="2"/>
          <w:sz w:val="24"/>
          <w:szCs w:val="24"/>
          <w:highlight w:val="none"/>
          <w:lang w:val="en-US" w:eastAsia="zh-CN" w:bidi="zh-CN"/>
        </w:rPr>
      </w:pPr>
      <w:r>
        <w:rPr>
          <w:rFonts w:hint="eastAsia" w:ascii="Times New Roman" w:hAnsi="Times New Roman" w:eastAsia="宋体" w:cs="宋体"/>
          <w:b/>
          <w:bCs/>
          <w:kern w:val="2"/>
          <w:sz w:val="24"/>
          <w:szCs w:val="24"/>
          <w:highlight w:val="none"/>
          <w:lang w:val="en-US" w:eastAsia="zh-CN" w:bidi="zh-CN"/>
        </w:rPr>
        <w:t>表2-21    项目周边水环境、声环境保护目标</w:t>
      </w:r>
    </w:p>
    <w:tbl>
      <w:tblPr>
        <w:tblStyle w:val="21"/>
        <w:tblW w:w="903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830"/>
        <w:gridCol w:w="750"/>
        <w:gridCol w:w="1590"/>
        <w:gridCol w:w="3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52" w:name="_Toc29495"/>
            <w:r>
              <w:rPr>
                <w:rFonts w:hint="default" w:ascii="Times New Roman" w:hAnsi="Times New Roman" w:eastAsia="宋体" w:cs="Times New Roman"/>
                <w:b w:val="0"/>
                <w:bCs w:val="0"/>
                <w:kern w:val="2"/>
                <w:sz w:val="20"/>
                <w:szCs w:val="20"/>
                <w:vertAlign w:val="baseline"/>
                <w:lang w:val="en-US" w:eastAsia="zh-CN" w:bidi="zh-CN"/>
              </w:rPr>
              <w:t>环境要素</w:t>
            </w:r>
            <w:bookmarkEnd w:id="252"/>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53" w:name="_Toc10772"/>
            <w:r>
              <w:rPr>
                <w:rFonts w:hint="default" w:ascii="Times New Roman" w:hAnsi="Times New Roman" w:eastAsia="宋体" w:cs="Times New Roman"/>
                <w:b w:val="0"/>
                <w:bCs w:val="0"/>
                <w:kern w:val="2"/>
                <w:sz w:val="20"/>
                <w:szCs w:val="20"/>
                <w:vertAlign w:val="baseline"/>
                <w:lang w:val="en-US" w:eastAsia="zh-CN" w:bidi="zh-CN"/>
              </w:rPr>
              <w:t>保护目标</w:t>
            </w:r>
            <w:bookmarkEnd w:id="253"/>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54" w:name="_Toc1965"/>
            <w:r>
              <w:rPr>
                <w:rFonts w:hint="default" w:ascii="Times New Roman" w:hAnsi="Times New Roman" w:eastAsia="宋体" w:cs="Times New Roman"/>
                <w:b w:val="0"/>
                <w:bCs w:val="0"/>
                <w:kern w:val="2"/>
                <w:sz w:val="20"/>
                <w:szCs w:val="20"/>
                <w:vertAlign w:val="baseline"/>
                <w:lang w:val="en-US" w:eastAsia="zh-CN" w:bidi="zh-CN"/>
              </w:rPr>
              <w:t>方向</w:t>
            </w:r>
            <w:bookmarkEnd w:id="254"/>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55" w:name="_Toc19011"/>
            <w:r>
              <w:rPr>
                <w:rFonts w:hint="default" w:ascii="Times New Roman" w:hAnsi="Times New Roman" w:eastAsia="宋体" w:cs="Times New Roman"/>
                <w:b w:val="0"/>
                <w:bCs w:val="0"/>
                <w:kern w:val="2"/>
                <w:sz w:val="20"/>
                <w:szCs w:val="20"/>
                <w:vertAlign w:val="baseline"/>
                <w:lang w:val="en-US" w:eastAsia="zh-CN" w:bidi="zh-CN"/>
              </w:rPr>
              <w:t>与厂址边界距离</w:t>
            </w:r>
            <w:bookmarkEnd w:id="255"/>
          </w:p>
        </w:tc>
        <w:tc>
          <w:tcPr>
            <w:tcW w:w="3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56" w:name="_Toc2703"/>
            <w:r>
              <w:rPr>
                <w:rFonts w:hint="default" w:ascii="Times New Roman" w:hAnsi="Times New Roman" w:eastAsia="宋体" w:cs="Times New Roman"/>
                <w:b w:val="0"/>
                <w:bCs w:val="0"/>
                <w:kern w:val="2"/>
                <w:sz w:val="20"/>
                <w:szCs w:val="20"/>
                <w:vertAlign w:val="baseline"/>
                <w:lang w:val="en-US" w:eastAsia="zh-CN" w:bidi="zh-CN"/>
              </w:rPr>
              <w:t>保护级别</w:t>
            </w:r>
            <w:bookmarkEnd w:id="25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57" w:name="_Toc8947"/>
            <w:r>
              <w:rPr>
                <w:rFonts w:hint="default" w:ascii="Times New Roman" w:hAnsi="Times New Roman" w:eastAsia="宋体" w:cs="Times New Roman"/>
                <w:b w:val="0"/>
                <w:bCs w:val="0"/>
                <w:kern w:val="2"/>
                <w:sz w:val="20"/>
                <w:szCs w:val="20"/>
                <w:vertAlign w:val="baseline"/>
                <w:lang w:val="en-US" w:eastAsia="zh-CN" w:bidi="zh-CN"/>
              </w:rPr>
              <w:t>地表水</w:t>
            </w:r>
            <w:bookmarkEnd w:id="257"/>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58" w:name="_Toc14751"/>
            <w:r>
              <w:rPr>
                <w:rFonts w:hint="default" w:ascii="Times New Roman" w:hAnsi="Times New Roman" w:eastAsia="宋体" w:cs="Times New Roman"/>
                <w:b w:val="0"/>
                <w:bCs w:val="0"/>
                <w:kern w:val="2"/>
                <w:sz w:val="20"/>
                <w:szCs w:val="20"/>
                <w:vertAlign w:val="baseline"/>
                <w:lang w:val="en-US" w:eastAsia="zh-CN" w:bidi="zh-CN"/>
              </w:rPr>
              <w:t>灰河</w:t>
            </w:r>
            <w:bookmarkEnd w:id="258"/>
          </w:p>
        </w:tc>
        <w:tc>
          <w:tcPr>
            <w:tcW w:w="750" w:type="dxa"/>
            <w:tcBorders>
              <w:tl2br w:val="nil"/>
              <w:tr2bl w:val="nil"/>
            </w:tcBorders>
            <w:vAlign w:val="center"/>
          </w:tcPr>
          <w:p>
            <w:pPr>
              <w:keepNext w:val="0"/>
              <w:keepLines w:val="0"/>
              <w:pageBreakBefore w:val="0"/>
              <w:widowControl w:val="0"/>
              <w:wordWrap/>
              <w:overflowPunct/>
              <w:topLinePunct w:val="0"/>
              <w:bidi w:val="0"/>
              <w:adjustRightInd w:val="0"/>
              <w:snapToGrid w:val="0"/>
              <w:ind w:left="-105" w:leftChars="-50" w:right="-105" w:rightChars="-50"/>
              <w:jc w:val="center"/>
              <w:outlineLvl w:val="9"/>
              <w:rPr>
                <w:rFonts w:hint="default" w:ascii="Times New Roman" w:hAnsi="Times New Roman" w:eastAsia="宋体" w:cs="Times New Roman"/>
                <w:snapToGrid w:val="0"/>
                <w:color w:val="auto"/>
                <w:kern w:val="0"/>
                <w:sz w:val="20"/>
                <w:szCs w:val="20"/>
                <w:u w:val="none"/>
                <w:lang w:val="en-US" w:eastAsia="zh-CN" w:bidi="ar-SA"/>
              </w:rPr>
            </w:pPr>
            <w:r>
              <w:rPr>
                <w:rFonts w:hint="default" w:ascii="Times New Roman" w:hAnsi="Times New Roman" w:cs="Times New Roman"/>
                <w:color w:val="auto"/>
                <w:kern w:val="0"/>
                <w:sz w:val="20"/>
                <w:szCs w:val="20"/>
                <w:u w:val="none"/>
                <w:lang w:val="en-US" w:eastAsia="zh-CN"/>
              </w:rPr>
              <w:t>北侧</w:t>
            </w:r>
          </w:p>
        </w:tc>
        <w:tc>
          <w:tcPr>
            <w:tcW w:w="1590" w:type="dxa"/>
            <w:tcBorders>
              <w:tl2br w:val="nil"/>
              <w:tr2bl w:val="nil"/>
            </w:tcBorders>
            <w:vAlign w:val="center"/>
          </w:tcPr>
          <w:p>
            <w:pPr>
              <w:keepNext w:val="0"/>
              <w:keepLines w:val="0"/>
              <w:pageBreakBefore w:val="0"/>
              <w:widowControl w:val="0"/>
              <w:wordWrap/>
              <w:overflowPunct/>
              <w:topLinePunct w:val="0"/>
              <w:bidi w:val="0"/>
              <w:adjustRightInd w:val="0"/>
              <w:snapToGrid w:val="0"/>
              <w:ind w:left="-105" w:leftChars="-50" w:right="-105" w:rightChars="-50"/>
              <w:jc w:val="center"/>
              <w:outlineLvl w:val="9"/>
              <w:rPr>
                <w:rFonts w:hint="default" w:ascii="Times New Roman" w:hAnsi="Times New Roman" w:eastAsia="宋体" w:cs="Times New Roman"/>
                <w:snapToGrid w:val="0"/>
                <w:color w:val="auto"/>
                <w:kern w:val="0"/>
                <w:sz w:val="20"/>
                <w:szCs w:val="20"/>
                <w:u w:val="none"/>
                <w:lang w:val="en-US" w:eastAsia="zh-CN" w:bidi="ar-SA"/>
              </w:rPr>
            </w:pPr>
            <w:r>
              <w:rPr>
                <w:rFonts w:hint="default" w:ascii="Times New Roman" w:hAnsi="Times New Roman" w:cs="Times New Roman"/>
                <w:color w:val="auto"/>
                <w:kern w:val="0"/>
                <w:sz w:val="20"/>
                <w:szCs w:val="20"/>
                <w:u w:val="none"/>
                <w:lang w:val="en-US" w:eastAsia="zh-CN"/>
              </w:rPr>
              <w:t>516m</w:t>
            </w:r>
          </w:p>
        </w:tc>
        <w:tc>
          <w:tcPr>
            <w:tcW w:w="3866" w:type="dxa"/>
            <w:tcBorders>
              <w:tl2br w:val="nil"/>
              <w:tr2bl w:val="nil"/>
            </w:tcBorders>
            <w:vAlign w:val="center"/>
          </w:tcPr>
          <w:p>
            <w:pPr>
              <w:keepNext w:val="0"/>
              <w:keepLines w:val="0"/>
              <w:pageBreakBefore w:val="0"/>
              <w:widowControl w:val="0"/>
              <w:wordWrap/>
              <w:overflowPunct/>
              <w:topLinePunct w:val="0"/>
              <w:bidi w:val="0"/>
              <w:adjustRightInd w:val="0"/>
              <w:snapToGrid w:val="0"/>
              <w:ind w:left="-105" w:leftChars="-50" w:right="-105" w:rightChars="-50"/>
              <w:jc w:val="center"/>
              <w:outlineLvl w:val="9"/>
              <w:rPr>
                <w:rFonts w:hint="default" w:ascii="Times New Roman" w:hAnsi="Times New Roman" w:eastAsia="Arial" w:cs="Times New Roman"/>
                <w:snapToGrid w:val="0"/>
                <w:color w:val="auto"/>
                <w:kern w:val="0"/>
                <w:sz w:val="20"/>
                <w:szCs w:val="20"/>
                <w:u w:val="none"/>
                <w:lang w:val="en-US" w:eastAsia="zh-CN" w:bidi="ar-SA"/>
              </w:rPr>
            </w:pPr>
            <w:r>
              <w:rPr>
                <w:rFonts w:hint="default" w:ascii="Times New Roman" w:hAnsi="Times New Roman" w:cs="Times New Roman"/>
                <w:color w:val="auto"/>
                <w:sz w:val="20"/>
                <w:szCs w:val="20"/>
                <w:u w:val="none"/>
              </w:rPr>
              <w:t>《地表水环境质量标准》(GB3838-2002)Ⅳ类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59" w:name="_Toc21244"/>
            <w:r>
              <w:rPr>
                <w:rFonts w:hint="eastAsia" w:ascii="Times New Roman" w:hAnsi="Times New Roman" w:eastAsia="宋体" w:cs="Times New Roman"/>
                <w:b w:val="0"/>
                <w:bCs w:val="0"/>
                <w:kern w:val="2"/>
                <w:sz w:val="20"/>
                <w:szCs w:val="20"/>
                <w:vertAlign w:val="baseline"/>
                <w:lang w:val="en-US" w:eastAsia="zh-CN" w:bidi="zh-CN"/>
              </w:rPr>
              <w:t>沙河</w:t>
            </w:r>
            <w:bookmarkEnd w:id="259"/>
          </w:p>
        </w:tc>
        <w:tc>
          <w:tcPr>
            <w:tcW w:w="750" w:type="dxa"/>
            <w:tcBorders>
              <w:tl2br w:val="nil"/>
              <w:tr2bl w:val="nil"/>
            </w:tcBorders>
            <w:vAlign w:val="center"/>
          </w:tcPr>
          <w:p>
            <w:pPr>
              <w:keepNext w:val="0"/>
              <w:keepLines w:val="0"/>
              <w:pageBreakBefore w:val="0"/>
              <w:widowControl w:val="0"/>
              <w:wordWrap/>
              <w:overflowPunct/>
              <w:topLinePunct w:val="0"/>
              <w:bidi w:val="0"/>
              <w:adjustRightInd w:val="0"/>
              <w:snapToGrid w:val="0"/>
              <w:ind w:left="-105" w:leftChars="-50" w:right="-105" w:rightChars="-50"/>
              <w:jc w:val="center"/>
              <w:outlineLvl w:val="9"/>
              <w:rPr>
                <w:rFonts w:hint="default" w:ascii="Times New Roman" w:hAnsi="Times New Roman" w:cs="Times New Roman"/>
                <w:color w:val="auto"/>
                <w:kern w:val="0"/>
                <w:sz w:val="20"/>
                <w:szCs w:val="20"/>
                <w:u w:val="none"/>
                <w:lang w:val="en-US" w:eastAsia="zh-CN"/>
              </w:rPr>
            </w:pPr>
            <w:r>
              <w:rPr>
                <w:rFonts w:hint="eastAsia" w:ascii="Times New Roman" w:hAnsi="Times New Roman" w:cs="Times New Roman"/>
                <w:color w:val="auto"/>
                <w:kern w:val="0"/>
                <w:sz w:val="20"/>
                <w:szCs w:val="20"/>
                <w:u w:val="none"/>
                <w:lang w:val="en-US" w:eastAsia="zh-CN"/>
              </w:rPr>
              <w:t>北侧</w:t>
            </w:r>
          </w:p>
        </w:tc>
        <w:tc>
          <w:tcPr>
            <w:tcW w:w="1590" w:type="dxa"/>
            <w:tcBorders>
              <w:tl2br w:val="nil"/>
              <w:tr2bl w:val="nil"/>
            </w:tcBorders>
            <w:vAlign w:val="center"/>
          </w:tcPr>
          <w:p>
            <w:pPr>
              <w:keepNext w:val="0"/>
              <w:keepLines w:val="0"/>
              <w:pageBreakBefore w:val="0"/>
              <w:widowControl w:val="0"/>
              <w:wordWrap/>
              <w:overflowPunct/>
              <w:topLinePunct w:val="0"/>
              <w:bidi w:val="0"/>
              <w:adjustRightInd w:val="0"/>
              <w:snapToGrid w:val="0"/>
              <w:ind w:left="-105" w:leftChars="-50" w:right="-105" w:rightChars="-50"/>
              <w:jc w:val="center"/>
              <w:outlineLvl w:val="9"/>
              <w:rPr>
                <w:rFonts w:hint="default" w:ascii="Times New Roman" w:hAnsi="Times New Roman" w:cs="Times New Roman"/>
                <w:color w:val="auto"/>
                <w:kern w:val="0"/>
                <w:sz w:val="20"/>
                <w:szCs w:val="20"/>
                <w:u w:val="none"/>
                <w:lang w:val="en-US" w:eastAsia="zh-CN"/>
              </w:rPr>
            </w:pPr>
            <w:r>
              <w:rPr>
                <w:rFonts w:hint="eastAsia" w:ascii="Times New Roman" w:hAnsi="Times New Roman" w:cs="Times New Roman"/>
                <w:color w:val="auto"/>
                <w:kern w:val="0"/>
                <w:sz w:val="20"/>
                <w:szCs w:val="20"/>
                <w:u w:val="none"/>
                <w:lang w:val="en-US" w:eastAsia="zh-CN"/>
              </w:rPr>
              <w:t>5950</w:t>
            </w:r>
            <w:r>
              <w:rPr>
                <w:rFonts w:hint="default" w:ascii="Times New Roman" w:hAnsi="Times New Roman" w:cs="Times New Roman"/>
                <w:color w:val="auto"/>
                <w:kern w:val="0"/>
                <w:sz w:val="20"/>
                <w:szCs w:val="20"/>
                <w:u w:val="none"/>
                <w:lang w:val="en-US" w:eastAsia="zh-CN"/>
              </w:rPr>
              <w:t>m</w:t>
            </w:r>
          </w:p>
        </w:tc>
        <w:tc>
          <w:tcPr>
            <w:tcW w:w="3866" w:type="dxa"/>
            <w:tcBorders>
              <w:tl2br w:val="nil"/>
              <w:tr2bl w:val="nil"/>
            </w:tcBorders>
            <w:vAlign w:val="center"/>
          </w:tcPr>
          <w:p>
            <w:pPr>
              <w:keepNext w:val="0"/>
              <w:keepLines w:val="0"/>
              <w:pageBreakBefore w:val="0"/>
              <w:widowControl w:val="0"/>
              <w:wordWrap/>
              <w:overflowPunct/>
              <w:topLinePunct w:val="0"/>
              <w:bidi w:val="0"/>
              <w:adjustRightInd w:val="0"/>
              <w:snapToGrid w:val="0"/>
              <w:ind w:left="-105" w:leftChars="-50" w:right="-105" w:rightChars="-50"/>
              <w:jc w:val="center"/>
              <w:outlineLvl w:val="9"/>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t>《地表水环境质量标准》(GB3838-2002)Ⅲ类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0" w:name="_Toc14324"/>
            <w:r>
              <w:rPr>
                <w:rFonts w:hint="eastAsia" w:ascii="Times New Roman" w:hAnsi="Times New Roman" w:eastAsia="宋体" w:cs="Times New Roman"/>
                <w:b w:val="0"/>
                <w:bCs w:val="0"/>
                <w:kern w:val="2"/>
                <w:sz w:val="20"/>
                <w:szCs w:val="20"/>
                <w:vertAlign w:val="baseline"/>
                <w:lang w:val="en-US" w:eastAsia="zh-CN" w:bidi="zh-CN"/>
              </w:rPr>
              <w:t>地下水</w:t>
            </w:r>
            <w:bookmarkEnd w:id="260"/>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1" w:name="_Toc23121"/>
            <w:r>
              <w:rPr>
                <w:rFonts w:hint="eastAsia" w:ascii="Times New Roman" w:hAnsi="Times New Roman" w:eastAsia="宋体" w:cs="Times New Roman"/>
                <w:b w:val="0"/>
                <w:bCs w:val="0"/>
                <w:kern w:val="2"/>
                <w:sz w:val="20"/>
                <w:szCs w:val="20"/>
                <w:vertAlign w:val="baseline"/>
                <w:lang w:val="en-US" w:eastAsia="zh-CN" w:bidi="zh-CN"/>
              </w:rPr>
              <w:t>项目周边潜水含水层</w:t>
            </w:r>
            <w:bookmarkEnd w:id="261"/>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2" w:name="_Toc4634"/>
            <w:r>
              <w:rPr>
                <w:rFonts w:hint="eastAsia" w:ascii="Times New Roman" w:hAnsi="Times New Roman" w:eastAsia="宋体" w:cs="Times New Roman"/>
                <w:b w:val="0"/>
                <w:bCs w:val="0"/>
                <w:kern w:val="2"/>
                <w:sz w:val="20"/>
                <w:szCs w:val="20"/>
                <w:vertAlign w:val="baseline"/>
                <w:lang w:val="en-US" w:eastAsia="zh-CN" w:bidi="zh-CN"/>
              </w:rPr>
              <w:t>/</w:t>
            </w:r>
            <w:bookmarkEnd w:id="262"/>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3" w:name="_Toc5644"/>
            <w:r>
              <w:rPr>
                <w:rFonts w:hint="eastAsia" w:ascii="Times New Roman" w:hAnsi="Times New Roman" w:eastAsia="宋体" w:cs="Times New Roman"/>
                <w:b w:val="0"/>
                <w:bCs w:val="0"/>
                <w:kern w:val="2"/>
                <w:sz w:val="20"/>
                <w:szCs w:val="20"/>
                <w:vertAlign w:val="baseline"/>
                <w:lang w:val="en-US" w:eastAsia="zh-CN" w:bidi="zh-CN"/>
              </w:rPr>
              <w:t>/</w:t>
            </w:r>
            <w:bookmarkEnd w:id="263"/>
          </w:p>
        </w:tc>
        <w:tc>
          <w:tcPr>
            <w:tcW w:w="3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4" w:name="_Toc12418"/>
            <w:r>
              <w:rPr>
                <w:rFonts w:hint="default" w:ascii="Times New Roman" w:hAnsi="Times New Roman" w:eastAsia="宋体" w:cs="Times New Roman"/>
                <w:b w:val="0"/>
                <w:bCs w:val="0"/>
                <w:kern w:val="2"/>
                <w:sz w:val="20"/>
                <w:szCs w:val="20"/>
                <w:vertAlign w:val="baseline"/>
                <w:lang w:val="en-US" w:eastAsia="zh-CN" w:bidi="zh-CN"/>
              </w:rPr>
              <w:t>《地下水质量标准》（GB/T14848-2017）III 类</w:t>
            </w:r>
            <w:bookmarkEnd w:id="26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5" w:name="_Toc13741"/>
            <w:r>
              <w:rPr>
                <w:rFonts w:hint="eastAsia" w:ascii="Times New Roman" w:hAnsi="Times New Roman" w:eastAsia="宋体" w:cs="Times New Roman"/>
                <w:b w:val="0"/>
                <w:bCs w:val="0"/>
                <w:kern w:val="2"/>
                <w:sz w:val="20"/>
                <w:szCs w:val="20"/>
                <w:vertAlign w:val="baseline"/>
                <w:lang w:val="en-US" w:eastAsia="zh-CN" w:bidi="zh-CN"/>
              </w:rPr>
              <w:t>声环境</w:t>
            </w:r>
            <w:bookmarkEnd w:id="265"/>
          </w:p>
        </w:tc>
        <w:tc>
          <w:tcPr>
            <w:tcW w:w="18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6" w:name="_Toc4657"/>
            <w:r>
              <w:rPr>
                <w:rFonts w:hint="default" w:ascii="Times New Roman" w:hAnsi="Times New Roman" w:eastAsia="宋体" w:cs="Times New Roman"/>
                <w:b w:val="0"/>
                <w:bCs w:val="0"/>
                <w:kern w:val="2"/>
                <w:sz w:val="20"/>
                <w:szCs w:val="20"/>
                <w:vertAlign w:val="baseline"/>
                <w:lang w:val="en-US" w:eastAsia="zh-CN" w:bidi="zh-CN"/>
              </w:rPr>
              <w:t>厂</w:t>
            </w:r>
            <w:r>
              <w:rPr>
                <w:rFonts w:hint="eastAsia" w:ascii="Times New Roman" w:hAnsi="Times New Roman" w:eastAsia="宋体" w:cs="Times New Roman"/>
                <w:b w:val="0"/>
                <w:bCs w:val="0"/>
                <w:kern w:val="2"/>
                <w:sz w:val="20"/>
                <w:szCs w:val="20"/>
                <w:vertAlign w:val="baseline"/>
                <w:lang w:val="en-US" w:eastAsia="zh-CN" w:bidi="zh-CN"/>
              </w:rPr>
              <w:t>界</w:t>
            </w:r>
            <w:r>
              <w:rPr>
                <w:rFonts w:hint="default" w:ascii="Times New Roman" w:hAnsi="Times New Roman" w:eastAsia="宋体" w:cs="Times New Roman"/>
                <w:b w:val="0"/>
                <w:bCs w:val="0"/>
                <w:kern w:val="2"/>
                <w:sz w:val="20"/>
                <w:szCs w:val="20"/>
                <w:vertAlign w:val="baseline"/>
                <w:lang w:val="en-US" w:eastAsia="zh-CN" w:bidi="zh-CN"/>
              </w:rPr>
              <w:t>四周200m内</w:t>
            </w:r>
            <w:bookmarkEnd w:id="266"/>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r>
              <w:rPr>
                <w:rFonts w:hint="eastAsia" w:ascii="Times New Roman" w:hAnsi="Times New Roman" w:eastAsia="宋体" w:cs="Times New Roman"/>
                <w:b w:val="0"/>
                <w:bCs w:val="0"/>
                <w:kern w:val="2"/>
                <w:sz w:val="20"/>
                <w:szCs w:val="20"/>
                <w:vertAlign w:val="baseline"/>
                <w:lang w:val="en-US" w:eastAsia="zh-CN" w:bidi="zh-CN"/>
              </w:rPr>
              <w:t>东南北</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7" w:name="_Toc14849"/>
            <w:r>
              <w:rPr>
                <w:rFonts w:hint="eastAsia" w:ascii="Times New Roman" w:hAnsi="Times New Roman" w:eastAsia="宋体" w:cs="Times New Roman"/>
                <w:b w:val="0"/>
                <w:bCs w:val="0"/>
                <w:kern w:val="2"/>
                <w:sz w:val="20"/>
                <w:szCs w:val="20"/>
                <w:vertAlign w:val="baseline"/>
                <w:lang w:val="en-US" w:eastAsia="zh-CN" w:bidi="zh-CN"/>
              </w:rPr>
              <w:t>/</w:t>
            </w:r>
            <w:bookmarkEnd w:id="267"/>
          </w:p>
        </w:tc>
        <w:tc>
          <w:tcPr>
            <w:tcW w:w="3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bookmarkStart w:id="268" w:name="_Toc27009"/>
            <w:r>
              <w:rPr>
                <w:rFonts w:hint="default" w:ascii="Times New Roman" w:hAnsi="Times New Roman" w:eastAsia="宋体" w:cs="Times New Roman"/>
                <w:b w:val="0"/>
                <w:bCs w:val="0"/>
                <w:kern w:val="2"/>
                <w:sz w:val="20"/>
                <w:szCs w:val="20"/>
                <w:vertAlign w:val="baseline"/>
                <w:lang w:val="en-US" w:eastAsia="zh-CN" w:bidi="zh-CN"/>
              </w:rPr>
              <w:t>《声环境质量标准》（GB3096-2008）2类</w:t>
            </w:r>
            <w:bookmarkEnd w:id="26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eastAsia" w:ascii="Times New Roman" w:hAnsi="Times New Roman" w:eastAsia="宋体" w:cs="Times New Roman"/>
                <w:b w:val="0"/>
                <w:bCs w:val="0"/>
                <w:kern w:val="2"/>
                <w:sz w:val="20"/>
                <w:szCs w:val="20"/>
                <w:vertAlign w:val="baseline"/>
                <w:lang w:val="en-US" w:eastAsia="zh-CN" w:bidi="zh-CN"/>
              </w:rPr>
            </w:pPr>
            <w:bookmarkStart w:id="269" w:name="_Toc32572"/>
            <w:bookmarkStart w:id="270" w:name="_Toc19203"/>
          </w:p>
        </w:tc>
        <w:tc>
          <w:tcPr>
            <w:tcW w:w="18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eastAsia" w:ascii="Times New Roman" w:hAnsi="Times New Roman" w:eastAsia="宋体" w:cs="Times New Roman"/>
                <w:b w:val="0"/>
                <w:bCs w:val="0"/>
                <w:kern w:val="2"/>
                <w:sz w:val="20"/>
                <w:szCs w:val="20"/>
                <w:vertAlign w:val="baseline"/>
                <w:lang w:val="en-US" w:eastAsia="zh-CN" w:bidi="zh-CN"/>
              </w:rPr>
            </w:pPr>
            <w:r>
              <w:rPr>
                <w:rFonts w:hint="eastAsia" w:ascii="Times New Roman" w:hAnsi="Times New Roman" w:eastAsia="宋体" w:cs="Times New Roman"/>
                <w:b w:val="0"/>
                <w:bCs w:val="0"/>
                <w:kern w:val="2"/>
                <w:sz w:val="20"/>
                <w:szCs w:val="20"/>
                <w:vertAlign w:val="baseline"/>
                <w:lang w:val="en-US" w:eastAsia="zh-CN" w:bidi="zh-CN"/>
              </w:rPr>
              <w:t>西</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eastAsia" w:ascii="Times New Roman" w:hAnsi="Times New Roman" w:eastAsia="宋体" w:cs="Times New Roman"/>
                <w:b w:val="0"/>
                <w:bCs w:val="0"/>
                <w:kern w:val="2"/>
                <w:sz w:val="20"/>
                <w:szCs w:val="20"/>
                <w:vertAlign w:val="baseline"/>
                <w:lang w:val="en-US" w:eastAsia="zh-CN" w:bidi="zh-CN"/>
              </w:rPr>
            </w:pPr>
          </w:p>
        </w:tc>
        <w:tc>
          <w:tcPr>
            <w:tcW w:w="3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b w:val="0"/>
                <w:bCs w:val="0"/>
                <w:kern w:val="2"/>
                <w:sz w:val="20"/>
                <w:szCs w:val="20"/>
                <w:vertAlign w:val="baseline"/>
                <w:lang w:val="en-US" w:eastAsia="zh-CN" w:bidi="zh-CN"/>
              </w:rPr>
            </w:pPr>
            <w:r>
              <w:rPr>
                <w:rFonts w:hint="default" w:ascii="Times New Roman" w:hAnsi="Times New Roman" w:eastAsia="宋体" w:cs="Times New Roman"/>
                <w:b w:val="0"/>
                <w:bCs w:val="0"/>
                <w:kern w:val="2"/>
                <w:sz w:val="20"/>
                <w:szCs w:val="20"/>
                <w:vertAlign w:val="baseline"/>
                <w:lang w:val="en-US" w:eastAsia="zh-CN" w:bidi="zh-CN"/>
              </w:rPr>
              <w:t>《声环境质量标准》（GB3096-2008）</w:t>
            </w:r>
            <w:r>
              <w:rPr>
                <w:rFonts w:hint="eastAsia" w:ascii="Times New Roman" w:hAnsi="Times New Roman" w:eastAsia="宋体" w:cs="Times New Roman"/>
                <w:b w:val="0"/>
                <w:bCs w:val="0"/>
                <w:kern w:val="2"/>
                <w:sz w:val="20"/>
                <w:szCs w:val="20"/>
                <w:vertAlign w:val="baseline"/>
                <w:lang w:val="en-US" w:eastAsia="zh-CN" w:bidi="zh-CN"/>
              </w:rPr>
              <w:t>4a类</w:t>
            </w:r>
          </w:p>
        </w:tc>
      </w:tr>
    </w:tbl>
    <w:p>
      <w:pPr>
        <w:pStyle w:val="4"/>
        <w:keepNext/>
        <w:keepLines/>
        <w:pageBreakBefore w:val="0"/>
        <w:widowControl/>
        <w:kinsoku w:val="0"/>
        <w:wordWrap/>
        <w:overflowPunct/>
        <w:topLinePunct w:val="0"/>
        <w:autoSpaceDE w:val="0"/>
        <w:autoSpaceDN w:val="0"/>
        <w:bidi w:val="0"/>
        <w:adjustRightInd w:val="0"/>
        <w:snapToGrid w:val="0"/>
        <w:spacing w:after="20" w:line="413" w:lineRule="auto"/>
        <w:textAlignment w:val="baseline"/>
        <w:rPr>
          <w:rFonts w:ascii="Times New Roman" w:hAnsi="Times New Roman" w:eastAsia="宋体" w:cs="Times New Roman"/>
          <w:snapToGrid/>
          <w:kern w:val="2"/>
          <w:sz w:val="24"/>
          <w:szCs w:val="24"/>
          <w:lang w:eastAsia="zh-CN"/>
        </w:rPr>
      </w:pPr>
      <w:r>
        <w:rPr>
          <w:rFonts w:hint="default" w:ascii="Times New Roman" w:hAnsi="Times New Roman" w:eastAsia="宋体" w:cs="Times New Roman"/>
          <w:snapToGrid/>
          <w:color w:val="000000"/>
          <w:kern w:val="0"/>
          <w:sz w:val="28"/>
          <w:szCs w:val="28"/>
          <w:lang w:val="en-US" w:eastAsia="zh-CN" w:bidi="ar"/>
        </w:rPr>
        <w:t>2.7</w:t>
      </w:r>
      <w:r>
        <w:rPr>
          <w:rFonts w:ascii="黑体" w:hAnsi="宋体" w:eastAsia="黑体" w:cs="黑体"/>
          <w:snapToGrid/>
          <w:color w:val="000000"/>
          <w:kern w:val="0"/>
          <w:sz w:val="28"/>
          <w:szCs w:val="28"/>
          <w:lang w:val="en-US" w:eastAsia="zh-CN" w:bidi="ar"/>
        </w:rPr>
        <w:t>评价重点</w:t>
      </w:r>
      <w:bookmarkEnd w:id="269"/>
      <w:bookmarkEnd w:id="270"/>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通过对项目工程分析，根据项目的产污特点，结合项目周围的环境现状，确定本项目环境影响评价工作的重点为：</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1</w:t>
      </w:r>
      <w:r>
        <w:rPr>
          <w:rFonts w:hint="eastAsia" w:ascii="宋体" w:hAnsi="宋体" w:eastAsia="宋体" w:cs="宋体"/>
          <w:snapToGrid/>
          <w:color w:val="000000"/>
          <w:kern w:val="0"/>
          <w:sz w:val="24"/>
          <w:szCs w:val="24"/>
          <w:lang w:val="en-US" w:eastAsia="zh-CN" w:bidi="ar"/>
        </w:rPr>
        <w:t>）项目选址合理性分析；</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2</w:t>
      </w:r>
      <w:r>
        <w:rPr>
          <w:rFonts w:hint="eastAsia" w:ascii="宋体" w:hAnsi="宋体" w:eastAsia="宋体" w:cs="宋体"/>
          <w:snapToGrid/>
          <w:color w:val="000000"/>
          <w:kern w:val="0"/>
          <w:sz w:val="24"/>
          <w:szCs w:val="24"/>
          <w:lang w:val="en-US" w:eastAsia="zh-CN" w:bidi="ar"/>
        </w:rPr>
        <w:t>）屠宰废水防治措施及技术经济可行性论证；</w:t>
      </w:r>
    </w:p>
    <w:p>
      <w:pPr>
        <w:keepNext w:val="0"/>
        <w:keepLines w:val="0"/>
        <w:widowControl/>
        <w:suppressLineNumbers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3</w:t>
      </w:r>
      <w:r>
        <w:rPr>
          <w:rFonts w:hint="eastAsia" w:ascii="宋体" w:hAnsi="宋体" w:eastAsia="宋体" w:cs="宋体"/>
          <w:snapToGrid/>
          <w:color w:val="000000"/>
          <w:kern w:val="0"/>
          <w:sz w:val="24"/>
          <w:szCs w:val="24"/>
          <w:lang w:val="en-US" w:eastAsia="zh-CN" w:bidi="ar"/>
        </w:rPr>
        <w:t>）恶臭气体对环境空气质量的影响及防治对策分析；</w:t>
      </w:r>
    </w:p>
    <w:p>
      <w:pPr>
        <w:keepNext w:val="0"/>
        <w:keepLines w:val="0"/>
        <w:widowControl/>
        <w:suppressLineNumbers w:val="0"/>
        <w:kinsoku/>
        <w:autoSpaceDE/>
        <w:autoSpaceDN/>
        <w:adjustRightInd/>
        <w:snapToGrid/>
        <w:spacing w:line="360" w:lineRule="auto"/>
        <w:ind w:firstLine="480" w:firstLineChars="200"/>
        <w:jc w:val="left"/>
        <w:textAlignment w:val="auto"/>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w:t>
      </w:r>
      <w:r>
        <w:rPr>
          <w:rFonts w:hint="default" w:ascii="Times New Roman" w:hAnsi="Times New Roman" w:eastAsia="宋体" w:cs="Times New Roman"/>
          <w:snapToGrid/>
          <w:color w:val="000000"/>
          <w:kern w:val="0"/>
          <w:sz w:val="24"/>
          <w:szCs w:val="24"/>
          <w:lang w:val="en-US" w:eastAsia="zh-CN" w:bidi="ar"/>
        </w:rPr>
        <w:t>4</w:t>
      </w:r>
      <w:r>
        <w:rPr>
          <w:rFonts w:hint="eastAsia" w:ascii="宋体" w:hAnsi="宋体" w:eastAsia="宋体" w:cs="宋体"/>
          <w:snapToGrid/>
          <w:color w:val="000000"/>
          <w:kern w:val="0"/>
          <w:sz w:val="24"/>
          <w:szCs w:val="24"/>
          <w:lang w:val="en-US" w:eastAsia="zh-CN" w:bidi="ar"/>
        </w:rPr>
        <w:t>）固废的无害化处理与处置。</w:t>
      </w:r>
    </w:p>
    <w:p>
      <w:pPr>
        <w:keepNext w:val="0"/>
        <w:keepLines w:val="0"/>
        <w:widowControl/>
        <w:suppressLineNumbers w:val="0"/>
        <w:kinsoku/>
        <w:autoSpaceDE/>
        <w:autoSpaceDN/>
        <w:adjustRightInd/>
        <w:snapToGrid/>
        <w:spacing w:line="360" w:lineRule="auto"/>
        <w:ind w:firstLine="480" w:firstLineChars="200"/>
        <w:jc w:val="left"/>
        <w:textAlignment w:val="auto"/>
        <w:rPr>
          <w:rFonts w:hint="eastAsia" w:ascii="宋体" w:hAnsi="宋体" w:eastAsia="宋体" w:cs="宋体"/>
          <w:snapToGrid/>
          <w:color w:val="000000"/>
          <w:kern w:val="0"/>
          <w:sz w:val="24"/>
          <w:szCs w:val="24"/>
          <w:lang w:val="en-US" w:eastAsia="zh-CN" w:bidi="ar"/>
        </w:rPr>
      </w:pPr>
    </w:p>
    <w:p>
      <w:pPr>
        <w:spacing w:line="220" w:lineRule="auto"/>
        <w:rPr>
          <w:rFonts w:ascii="宋体" w:hAnsi="宋体" w:eastAsia="宋体" w:cs="宋体"/>
          <w:sz w:val="24"/>
          <w:szCs w:val="24"/>
        </w:rPr>
        <w:sectPr>
          <w:footerReference r:id="rId6" w:type="default"/>
          <w:pgSz w:w="11906" w:h="16839"/>
          <w:pgMar w:top="1431" w:right="1526" w:bottom="1278" w:left="1526" w:header="0" w:footer="1116" w:gutter="0"/>
          <w:pgBorders>
            <w:top w:val="none" w:sz="0" w:space="0"/>
            <w:left w:val="none" w:sz="0" w:space="0"/>
            <w:bottom w:val="none" w:sz="0" w:space="0"/>
            <w:right w:val="none" w:sz="0" w:space="0"/>
          </w:pgBorders>
          <w:pgNumType w:fmt="numberInDash"/>
          <w:cols w:space="720" w:num="1"/>
        </w:sectPr>
      </w:pPr>
    </w:p>
    <w:p>
      <w:pPr>
        <w:widowControl w:val="0"/>
        <w:spacing w:beforeAutospacing="1" w:afterAutospacing="1" w:line="360" w:lineRule="auto"/>
        <w:ind w:firstLine="0" w:firstLineChars="0"/>
        <w:jc w:val="center"/>
        <w:outlineLvl w:val="0"/>
        <w:rPr>
          <w:rFonts w:hint="eastAsia" w:ascii="宋体" w:hAnsi="宋体" w:eastAsia="宋体" w:cs="Times New Roman"/>
          <w:b/>
          <w:bCs/>
          <w:kern w:val="2"/>
          <w:sz w:val="48"/>
          <w:szCs w:val="48"/>
          <w:lang w:val="en-US" w:eastAsia="zh-CN" w:bidi="ar-SA"/>
        </w:rPr>
        <w:sectPr>
          <w:footerReference r:id="rId7" w:type="default"/>
          <w:type w:val="continuous"/>
          <w:pgSz w:w="11906" w:h="16839"/>
          <w:pgMar w:top="1431" w:right="1350" w:bottom="1278" w:left="1402" w:header="0" w:footer="1116" w:gutter="0"/>
          <w:pgBorders>
            <w:top w:val="none" w:sz="0" w:space="0"/>
            <w:left w:val="none" w:sz="0" w:space="0"/>
            <w:bottom w:val="none" w:sz="0" w:space="0"/>
            <w:right w:val="none" w:sz="0" w:space="0"/>
          </w:pgBorders>
          <w:pgNumType w:fmt="numberInDash"/>
          <w:cols w:equalWidth="0" w:num="1">
            <w:col w:w="9154"/>
          </w:cols>
        </w:sectPr>
      </w:pPr>
      <w:bookmarkStart w:id="271" w:name="bookmark48"/>
      <w:bookmarkEnd w:id="271"/>
      <w:bookmarkStart w:id="272" w:name="_Toc20981"/>
      <w:bookmarkStart w:id="273" w:name="_Toc26493"/>
      <w:bookmarkStart w:id="274" w:name="_Toc4010"/>
    </w:p>
    <w:p>
      <w:pPr>
        <w:pStyle w:val="3"/>
        <w:bidi w:val="0"/>
        <w:jc w:val="center"/>
        <w:rPr>
          <w:rFonts w:hint="eastAsia"/>
          <w:b w:val="0"/>
          <w:bCs/>
          <w:lang w:val="en-US" w:eastAsia="zh-CN"/>
        </w:rPr>
      </w:pPr>
      <w:bookmarkStart w:id="275" w:name="_Toc29398"/>
      <w:bookmarkStart w:id="276" w:name="_Toc17510"/>
      <w:r>
        <w:rPr>
          <w:rFonts w:hint="eastAsia"/>
          <w:b w:val="0"/>
          <w:bCs/>
          <w:lang w:val="en-US" w:eastAsia="zh-CN"/>
        </w:rPr>
        <w:t xml:space="preserve">3 </w:t>
      </w:r>
      <w:bookmarkEnd w:id="272"/>
      <w:bookmarkEnd w:id="273"/>
      <w:bookmarkEnd w:id="274"/>
      <w:r>
        <w:rPr>
          <w:rFonts w:hint="eastAsia"/>
          <w:b w:val="0"/>
          <w:bCs/>
          <w:lang w:val="en-US" w:eastAsia="zh-CN"/>
        </w:rPr>
        <w:t xml:space="preserve"> 建设项目工程分析</w:t>
      </w:r>
      <w:bookmarkEnd w:id="275"/>
      <w:bookmarkEnd w:id="276"/>
    </w:p>
    <w:p>
      <w:pPr>
        <w:pStyle w:val="4"/>
        <w:bidi w:val="0"/>
        <w:rPr>
          <w:lang w:val="en-US" w:eastAsia="zh-CN"/>
        </w:rPr>
      </w:pPr>
      <w:bookmarkStart w:id="277" w:name="_Toc27220"/>
      <w:bookmarkStart w:id="278" w:name="_Toc25163"/>
      <w:bookmarkStart w:id="279" w:name="_Toc21351"/>
      <w:bookmarkStart w:id="280" w:name="_Toc18877"/>
      <w:bookmarkStart w:id="281" w:name="_Toc29880"/>
      <w:r>
        <w:rPr>
          <w:rFonts w:hint="eastAsia"/>
          <w:lang w:val="en-US" w:eastAsia="zh-CN"/>
        </w:rPr>
        <w:t>3</w:t>
      </w:r>
      <w:r>
        <w:rPr>
          <w:lang w:val="en-US" w:eastAsia="zh-CN"/>
        </w:rPr>
        <w:t>.1项目基本情况</w:t>
      </w:r>
      <w:bookmarkEnd w:id="277"/>
      <w:bookmarkEnd w:id="278"/>
      <w:bookmarkEnd w:id="279"/>
      <w:bookmarkEnd w:id="280"/>
      <w:bookmarkEnd w:id="281"/>
    </w:p>
    <w:p>
      <w:pPr>
        <w:keepNext w:val="0"/>
        <w:keepLines w:val="0"/>
        <w:widowControl w:val="0"/>
        <w:autoSpaceDE w:val="0"/>
        <w:autoSpaceDN w:val="0"/>
        <w:spacing w:line="360" w:lineRule="auto"/>
        <w:ind w:left="0" w:leftChars="0" w:firstLine="0" w:firstLineChars="0"/>
        <w:jc w:val="both"/>
        <w:outlineLvl w:val="9"/>
        <w:rPr>
          <w:rFonts w:hint="eastAsia" w:ascii="楷体" w:hAnsi="楷体" w:eastAsia="楷体" w:cs="楷体"/>
          <w:b/>
          <w:kern w:val="2"/>
          <w:sz w:val="28"/>
          <w:szCs w:val="24"/>
          <w:lang w:val="en-US" w:eastAsia="zh-CN" w:bidi="ar-SA"/>
        </w:rPr>
      </w:pPr>
      <w:r>
        <w:rPr>
          <w:rFonts w:hint="eastAsia" w:ascii="楷体" w:hAnsi="楷体" w:eastAsia="楷体" w:cs="楷体"/>
          <w:b/>
          <w:kern w:val="2"/>
          <w:sz w:val="28"/>
          <w:szCs w:val="24"/>
          <w:lang w:val="en-US" w:eastAsia="zh-CN" w:bidi="ar-SA"/>
        </w:rPr>
        <w:t>3.1.1项目基本信息</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项目名称：叶县2022年马庄乡张庄村畜产品精细加工物流园建设项目；</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建设单位：叶县迪可清真食品有限公司；</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建设地点：叶县马庄乡张庄村（河南省平顶山市迪可集团食品有限公司厂区院内，</w:t>
      </w:r>
      <w:r>
        <w:rPr>
          <w:rFonts w:hint="eastAsia" w:ascii="Times New Roman" w:hAnsi="Times New Roman" w:eastAsia="宋体" w:cs="Times New Roman"/>
          <w:snapToGrid/>
          <w:kern w:val="2"/>
          <w:sz w:val="24"/>
          <w:szCs w:val="24"/>
          <w:lang w:val="en-US" w:eastAsia="zh-CN"/>
        </w:rPr>
        <w:t>中心坐标：东经113度20分50.331秒，北纬33度35分41.342秒</w:t>
      </w:r>
      <w:r>
        <w:rPr>
          <w:rFonts w:hint="eastAsia" w:ascii="Times New Roman" w:hAnsi="Times New Roman" w:eastAsia="宋体" w:cs="Times New Roman"/>
          <w:snapToGrid/>
          <w:kern w:val="2"/>
          <w:sz w:val="24"/>
          <w:szCs w:val="24"/>
          <w:lang w:eastAsia="zh-CN"/>
        </w:rPr>
        <w:t>）；</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建设性质：新建；</w:t>
      </w:r>
    </w:p>
    <w:p>
      <w:pPr>
        <w:widowControl/>
        <w:kinsoku/>
        <w:autoSpaceDE w:val="0"/>
        <w:autoSpaceDN w:val="0"/>
        <w:adjustRightInd/>
        <w:snapToGrid/>
        <w:spacing w:line="360" w:lineRule="auto"/>
        <w:ind w:firstLine="480" w:firstLineChars="200"/>
        <w:jc w:val="both"/>
        <w:textAlignment w:val="auto"/>
        <w:rPr>
          <w:rFonts w:ascii="Times New Roman" w:hAnsi="宋体" w:eastAsia="宋体" w:cs="Times New Roman"/>
          <w:snapToGrid/>
          <w:kern w:val="2"/>
          <w:sz w:val="24"/>
          <w:szCs w:val="24"/>
          <w:lang w:eastAsia="zh-CN"/>
        </w:rPr>
      </w:pPr>
      <w:r>
        <w:rPr>
          <w:rFonts w:hint="eastAsia" w:ascii="Times New Roman" w:hAnsi="Times New Roman" w:eastAsia="宋体" w:cs="宋体"/>
          <w:snapToGrid/>
          <w:color w:val="000000"/>
          <w:kern w:val="0"/>
          <w:sz w:val="24"/>
          <w:szCs w:val="24"/>
          <w:lang w:eastAsia="zh-CN" w:bidi="ar"/>
        </w:rPr>
        <w:t>行业类别：</w:t>
      </w:r>
      <w:r>
        <w:rPr>
          <w:rFonts w:hint="eastAsia" w:ascii="Times New Roman" w:hAnsi="Times New Roman" w:eastAsia="宋体" w:cs="Times New Roman"/>
          <w:snapToGrid/>
          <w:kern w:val="2"/>
          <w:sz w:val="24"/>
          <w:szCs w:val="24"/>
          <w:lang w:val="en-US" w:eastAsia="zh-CN"/>
        </w:rPr>
        <w:t>C1351牲畜屠宰</w:t>
      </w:r>
      <w:r>
        <w:rPr>
          <w:rFonts w:hint="eastAsia" w:ascii="Times New Roman" w:hAnsi="宋体" w:eastAsia="宋体" w:cs="Times New Roman"/>
          <w:snapToGrid/>
          <w:kern w:val="2"/>
          <w:sz w:val="24"/>
          <w:szCs w:val="24"/>
          <w:lang w:eastAsia="zh-CN"/>
        </w:rPr>
        <w:t>；</w:t>
      </w:r>
    </w:p>
    <w:p>
      <w:pPr>
        <w:widowControl/>
        <w:kinsoku/>
        <w:autoSpaceDE w:val="0"/>
        <w:autoSpaceDN w:val="0"/>
        <w:adjustRightInd/>
        <w:snapToGrid/>
        <w:spacing w:line="360" w:lineRule="auto"/>
        <w:ind w:firstLine="480" w:firstLineChars="200"/>
        <w:jc w:val="both"/>
        <w:textAlignment w:val="auto"/>
        <w:rPr>
          <w:rFonts w:ascii="Times New Roman" w:hAnsi="Times New Roman" w:eastAsia="宋体" w:cs="宋体"/>
          <w:snapToGrid/>
          <w:color w:val="000000"/>
          <w:kern w:val="0"/>
          <w:sz w:val="24"/>
          <w:szCs w:val="24"/>
          <w:lang w:eastAsia="zh-CN" w:bidi="ar"/>
        </w:rPr>
      </w:pPr>
      <w:r>
        <w:rPr>
          <w:rFonts w:hint="eastAsia" w:ascii="Times New Roman" w:hAnsi="Times New Roman" w:eastAsia="宋体" w:cs="宋体"/>
          <w:snapToGrid/>
          <w:color w:val="000000"/>
          <w:kern w:val="0"/>
          <w:sz w:val="24"/>
          <w:szCs w:val="24"/>
          <w:lang w:eastAsia="zh-CN" w:bidi="ar"/>
        </w:rPr>
        <w:t>建设规模：项目</w:t>
      </w:r>
      <w:r>
        <w:rPr>
          <w:rFonts w:hint="default" w:ascii="Times New Roman" w:hAnsi="Times New Roman" w:eastAsia="宋体" w:cs="Times New Roman"/>
          <w:snapToGrid/>
          <w:color w:val="auto"/>
          <w:kern w:val="2"/>
          <w:sz w:val="24"/>
          <w:szCs w:val="24"/>
          <w:highlight w:val="none"/>
          <w:lang w:eastAsia="zh-CN"/>
        </w:rPr>
        <w:t>占地面积</w:t>
      </w:r>
      <w:r>
        <w:rPr>
          <w:rFonts w:hint="eastAsia" w:ascii="Times New Roman" w:hAnsi="Times New Roman" w:eastAsia="宋体" w:cs="Times New Roman"/>
          <w:snapToGrid/>
          <w:color w:val="auto"/>
          <w:kern w:val="2"/>
          <w:sz w:val="24"/>
          <w:szCs w:val="24"/>
          <w:highlight w:val="none"/>
          <w:lang w:val="en-US" w:eastAsia="zh-CN"/>
        </w:rPr>
        <w:t>6824.86m</w:t>
      </w:r>
      <w:r>
        <w:rPr>
          <w:rFonts w:hint="eastAsia" w:ascii="Times New Roman" w:hAnsi="Times New Roman" w:eastAsia="宋体" w:cs="Times New Roman"/>
          <w:snapToGrid/>
          <w:color w:val="auto"/>
          <w:kern w:val="2"/>
          <w:sz w:val="24"/>
          <w:szCs w:val="24"/>
          <w:highlight w:val="none"/>
          <w:vertAlign w:val="superscript"/>
          <w:lang w:val="en-US" w:eastAsia="zh-CN"/>
        </w:rPr>
        <w:t>2</w:t>
      </w:r>
      <w:r>
        <w:rPr>
          <w:rFonts w:hint="eastAsia" w:ascii="Times New Roman" w:hAnsi="Times New Roman" w:eastAsia="宋体" w:cs="Times New Roman"/>
          <w:snapToGrid/>
          <w:color w:val="auto"/>
          <w:kern w:val="2"/>
          <w:sz w:val="24"/>
          <w:szCs w:val="24"/>
          <w:highlight w:val="none"/>
          <w:lang w:val="en-US" w:eastAsia="zh-CN"/>
        </w:rPr>
        <w:t>，约10.24亩</w:t>
      </w:r>
      <w:r>
        <w:rPr>
          <w:rFonts w:hint="eastAsia" w:ascii="Times New Roman" w:hAnsi="Times New Roman" w:eastAsia="宋体" w:cs="Times New Roman"/>
          <w:snapToGrid/>
          <w:color w:val="auto"/>
          <w:kern w:val="2"/>
          <w:sz w:val="24"/>
          <w:szCs w:val="24"/>
          <w:lang w:val="en-US" w:eastAsia="zh-CN"/>
        </w:rPr>
        <w:t>；年屠宰肉牛1万头，</w:t>
      </w:r>
      <w:r>
        <w:rPr>
          <w:rFonts w:hint="eastAsia" w:ascii="Times New Roman" w:hAnsi="Times New Roman" w:eastAsia="宋体" w:cs="Times New Roman"/>
          <w:snapToGrid/>
          <w:color w:val="auto"/>
          <w:kern w:val="2"/>
          <w:sz w:val="24"/>
          <w:szCs w:val="24"/>
          <w:lang w:eastAsia="zh-CN"/>
        </w:rPr>
        <w:t>肉羊</w:t>
      </w:r>
      <w:r>
        <w:rPr>
          <w:rFonts w:hint="eastAsia" w:ascii="Times New Roman" w:hAnsi="Times New Roman" w:eastAsia="宋体" w:cs="Times New Roman"/>
          <w:snapToGrid/>
          <w:color w:val="auto"/>
          <w:kern w:val="2"/>
          <w:sz w:val="24"/>
          <w:szCs w:val="24"/>
          <w:lang w:val="en-US" w:eastAsia="zh-CN"/>
        </w:rPr>
        <w:t>15万只</w:t>
      </w:r>
      <w:r>
        <w:rPr>
          <w:rFonts w:hint="eastAsia" w:ascii="Times New Roman" w:hAnsi="Times New Roman" w:eastAsia="宋体" w:cs="宋体"/>
          <w:snapToGrid/>
          <w:color w:val="000000"/>
          <w:kern w:val="0"/>
          <w:sz w:val="24"/>
          <w:szCs w:val="24"/>
          <w:lang w:eastAsia="zh-CN" w:bidi="ar"/>
        </w:rPr>
        <w:t>；</w:t>
      </w:r>
    </w:p>
    <w:p>
      <w:pPr>
        <w:widowControl/>
        <w:kinsoku/>
        <w:autoSpaceDE w:val="0"/>
        <w:autoSpaceDN w:val="0"/>
        <w:adjustRightInd/>
        <w:snapToGrid/>
        <w:spacing w:line="360" w:lineRule="auto"/>
        <w:ind w:firstLine="480" w:firstLineChars="200"/>
        <w:jc w:val="both"/>
        <w:textAlignment w:val="auto"/>
        <w:rPr>
          <w:rFonts w:ascii="Times New Roman" w:hAnsi="Times New Roman" w:eastAsia="宋体" w:cs="宋体"/>
          <w:snapToGrid/>
          <w:color w:val="000000"/>
          <w:kern w:val="0"/>
          <w:sz w:val="24"/>
          <w:szCs w:val="24"/>
          <w:lang w:eastAsia="zh-CN" w:bidi="ar"/>
        </w:rPr>
      </w:pPr>
      <w:r>
        <w:rPr>
          <w:rFonts w:hint="eastAsia" w:ascii="Times New Roman" w:hAnsi="Times New Roman" w:eastAsia="宋体" w:cs="宋体"/>
          <w:snapToGrid/>
          <w:color w:val="000000"/>
          <w:kern w:val="0"/>
          <w:sz w:val="24"/>
          <w:szCs w:val="24"/>
          <w:lang w:eastAsia="zh-CN" w:bidi="ar"/>
        </w:rPr>
        <w:t>总投资：</w:t>
      </w:r>
      <w:r>
        <w:rPr>
          <w:rFonts w:hint="eastAsia" w:ascii="Times New Roman" w:hAnsi="Times New Roman" w:eastAsia="宋体" w:cs="宋体"/>
          <w:snapToGrid/>
          <w:color w:val="000000"/>
          <w:kern w:val="0"/>
          <w:sz w:val="24"/>
          <w:szCs w:val="24"/>
          <w:lang w:val="en-US" w:eastAsia="zh-CN" w:bidi="ar"/>
        </w:rPr>
        <w:t>2074.53</w:t>
      </w:r>
      <w:r>
        <w:rPr>
          <w:rFonts w:hint="eastAsia" w:ascii="Times New Roman" w:hAnsi="Times New Roman" w:eastAsia="宋体" w:cs="宋体"/>
          <w:snapToGrid/>
          <w:color w:val="000000"/>
          <w:kern w:val="0"/>
          <w:sz w:val="24"/>
          <w:szCs w:val="24"/>
          <w:lang w:eastAsia="zh-CN" w:bidi="ar"/>
        </w:rPr>
        <w:t>万元；</w:t>
      </w:r>
    </w:p>
    <w:p>
      <w:pPr>
        <w:widowControl/>
        <w:kinsoku/>
        <w:autoSpaceDE w:val="0"/>
        <w:autoSpaceDN w:val="0"/>
        <w:adjustRightInd/>
        <w:snapToGrid/>
        <w:spacing w:line="360" w:lineRule="auto"/>
        <w:ind w:firstLine="480" w:firstLineChars="200"/>
        <w:jc w:val="both"/>
        <w:textAlignment w:val="auto"/>
        <w:rPr>
          <w:rFonts w:hint="eastAsia" w:ascii="Times New Roman" w:hAnsi="Times New Roman" w:eastAsia="宋体" w:cs="宋体"/>
          <w:snapToGrid/>
          <w:color w:val="000000"/>
          <w:kern w:val="0"/>
          <w:sz w:val="24"/>
          <w:szCs w:val="24"/>
          <w:u w:val="none"/>
          <w:lang w:eastAsia="zh-CN" w:bidi="ar"/>
        </w:rPr>
      </w:pPr>
      <w:r>
        <w:rPr>
          <w:rFonts w:hint="eastAsia" w:ascii="Times New Roman" w:hAnsi="Times New Roman" w:eastAsia="宋体" w:cs="宋体"/>
          <w:snapToGrid/>
          <w:color w:val="000000"/>
          <w:kern w:val="0"/>
          <w:sz w:val="24"/>
          <w:szCs w:val="24"/>
          <w:u w:val="none"/>
          <w:lang w:eastAsia="zh-CN" w:bidi="ar"/>
        </w:rPr>
        <w:t>工作制度：项目劳动动员</w:t>
      </w:r>
      <w:r>
        <w:rPr>
          <w:rFonts w:hint="eastAsia" w:ascii="Times New Roman" w:hAnsi="Times New Roman" w:eastAsia="宋体" w:cs="宋体"/>
          <w:snapToGrid/>
          <w:color w:val="000000"/>
          <w:kern w:val="0"/>
          <w:sz w:val="24"/>
          <w:szCs w:val="24"/>
          <w:u w:val="none"/>
          <w:lang w:val="en-US" w:eastAsia="zh-CN" w:bidi="ar"/>
        </w:rPr>
        <w:t>50人，年工作320d，分两班，每班8h，16h/d，5120h/a</w:t>
      </w:r>
      <w:r>
        <w:rPr>
          <w:rFonts w:hint="eastAsia" w:ascii="Times New Roman" w:hAnsi="Times New Roman" w:eastAsia="宋体" w:cs="宋体"/>
          <w:snapToGrid/>
          <w:color w:val="000000"/>
          <w:kern w:val="0"/>
          <w:sz w:val="24"/>
          <w:szCs w:val="24"/>
          <w:u w:val="none"/>
          <w:lang w:eastAsia="zh-CN" w:bidi="ar"/>
        </w:rPr>
        <w:t>。</w:t>
      </w:r>
    </w:p>
    <w:p>
      <w:pPr>
        <w:widowControl w:val="0"/>
        <w:kinsoku/>
        <w:autoSpaceDE/>
        <w:autoSpaceDN/>
        <w:adjustRightInd w:val="0"/>
        <w:snapToGrid w:val="0"/>
        <w:spacing w:line="520" w:lineRule="exact"/>
        <w:jc w:val="both"/>
        <w:textAlignment w:val="auto"/>
        <w:rPr>
          <w:rFonts w:hint="default" w:ascii="Times New Roman" w:hAnsi="Times New Roman" w:eastAsia="楷体" w:cs="Times New Roman"/>
          <w:b/>
          <w:snapToGrid/>
          <w:kern w:val="2"/>
          <w:sz w:val="28"/>
          <w:szCs w:val="28"/>
          <w:lang w:eastAsia="zh-CN"/>
        </w:rPr>
      </w:pPr>
      <w:r>
        <w:rPr>
          <w:rFonts w:hint="default" w:ascii="Times New Roman" w:hAnsi="Times New Roman" w:eastAsia="楷体" w:cs="Times New Roman"/>
          <w:b/>
          <w:snapToGrid/>
          <w:kern w:val="2"/>
          <w:sz w:val="28"/>
          <w:szCs w:val="28"/>
          <w:lang w:val="en-US" w:eastAsia="zh-CN"/>
        </w:rPr>
        <w:t>3.1.</w:t>
      </w:r>
      <w:r>
        <w:rPr>
          <w:rFonts w:hint="eastAsia" w:ascii="Times New Roman" w:hAnsi="Times New Roman" w:eastAsia="楷体" w:cs="Times New Roman"/>
          <w:b/>
          <w:snapToGrid/>
          <w:kern w:val="2"/>
          <w:sz w:val="28"/>
          <w:szCs w:val="28"/>
          <w:lang w:val="en-US" w:eastAsia="zh-CN"/>
        </w:rPr>
        <w:t>2</w:t>
      </w:r>
      <w:r>
        <w:rPr>
          <w:rFonts w:hint="default" w:ascii="Times New Roman" w:hAnsi="Times New Roman" w:eastAsia="楷体" w:cs="Times New Roman"/>
          <w:b/>
          <w:snapToGrid/>
          <w:kern w:val="2"/>
          <w:sz w:val="28"/>
          <w:szCs w:val="28"/>
          <w:lang w:eastAsia="zh-CN"/>
        </w:rPr>
        <w:t>屠宰来源及</w:t>
      </w:r>
      <w:r>
        <w:rPr>
          <w:rFonts w:hint="eastAsia" w:ascii="Times New Roman" w:hAnsi="Times New Roman" w:eastAsia="楷体" w:cs="Times New Roman"/>
          <w:b/>
          <w:snapToGrid/>
          <w:kern w:val="2"/>
          <w:sz w:val="28"/>
          <w:szCs w:val="28"/>
          <w:lang w:eastAsia="zh-CN"/>
        </w:rPr>
        <w:t>原辅料消耗</w:t>
      </w:r>
    </w:p>
    <w:p>
      <w:pPr>
        <w:widowControl w:val="0"/>
        <w:kinsoku/>
        <w:autoSpaceDE/>
        <w:autoSpaceDN/>
        <w:adjustRightInd w:val="0"/>
        <w:snapToGrid w:val="0"/>
        <w:spacing w:line="500" w:lineRule="exact"/>
        <w:ind w:firstLine="480" w:firstLineChars="200"/>
        <w:jc w:val="both"/>
        <w:textAlignment w:val="auto"/>
        <w:rPr>
          <w:rFonts w:hint="eastAsia" w:ascii="Calibri" w:hAnsi="Calibri" w:eastAsia="宋体" w:cs="Times New Roman"/>
          <w:snapToGrid/>
          <w:kern w:val="2"/>
          <w:sz w:val="24"/>
          <w:szCs w:val="24"/>
          <w:lang w:eastAsia="zh-CN"/>
        </w:rPr>
      </w:pPr>
      <w:r>
        <w:rPr>
          <w:rFonts w:hint="default" w:ascii="Times New Roman" w:hAnsi="Times New Roman" w:eastAsia="宋体" w:cs="Times New Roman"/>
          <w:snapToGrid/>
          <w:kern w:val="2"/>
          <w:sz w:val="24"/>
          <w:szCs w:val="24"/>
          <w:lang w:eastAsia="zh-CN"/>
        </w:rPr>
        <w:t>（</w:t>
      </w:r>
      <w:r>
        <w:rPr>
          <w:rFonts w:hint="default" w:ascii="Times New Roman" w:hAnsi="Times New Roman" w:eastAsia="宋体" w:cs="Times New Roman"/>
          <w:snapToGrid/>
          <w:kern w:val="2"/>
          <w:sz w:val="24"/>
          <w:szCs w:val="24"/>
          <w:lang w:val="en-US" w:eastAsia="zh-CN"/>
        </w:rPr>
        <w:t>1</w:t>
      </w:r>
      <w:r>
        <w:rPr>
          <w:rFonts w:hint="default" w:ascii="Times New Roman" w:hAnsi="Times New Roman" w:eastAsia="宋体" w:cs="Times New Roman"/>
          <w:snapToGrid/>
          <w:kern w:val="2"/>
          <w:sz w:val="24"/>
          <w:szCs w:val="24"/>
          <w:lang w:eastAsia="zh-CN"/>
        </w:rPr>
        <w:t>）</w:t>
      </w:r>
      <w:r>
        <w:rPr>
          <w:rFonts w:hint="eastAsia" w:ascii="Calibri" w:hAnsi="Calibri" w:eastAsia="宋体" w:cs="Times New Roman"/>
          <w:snapToGrid/>
          <w:kern w:val="2"/>
          <w:sz w:val="24"/>
          <w:szCs w:val="24"/>
          <w:lang w:eastAsia="zh-CN"/>
        </w:rPr>
        <w:t>厂区购入牛羊的要求</w:t>
      </w:r>
    </w:p>
    <w:p>
      <w:pPr>
        <w:widowControl w:val="0"/>
        <w:kinsoku/>
        <w:autoSpaceDE/>
        <w:autoSpaceDN/>
        <w:adjustRightInd w:val="0"/>
        <w:snapToGrid w:val="0"/>
        <w:spacing w:line="500" w:lineRule="exact"/>
        <w:ind w:firstLine="480" w:firstLineChars="200"/>
        <w:jc w:val="both"/>
        <w:textAlignment w:val="auto"/>
        <w:rPr>
          <w:rFonts w:ascii="Calibri" w:hAnsi="Calibri" w:eastAsia="宋体" w:cs="Times New Roman"/>
          <w:snapToGrid/>
          <w:kern w:val="2"/>
          <w:sz w:val="24"/>
          <w:szCs w:val="24"/>
          <w:lang w:eastAsia="zh-CN"/>
        </w:rPr>
      </w:pPr>
      <w:r>
        <w:rPr>
          <w:rFonts w:ascii="Calibri" w:hAnsi="Calibri" w:eastAsia="宋体" w:cs="Times New Roman"/>
          <w:snapToGrid/>
          <w:kern w:val="2"/>
          <w:sz w:val="24"/>
          <w:szCs w:val="24"/>
          <w:lang w:eastAsia="zh-CN"/>
        </w:rPr>
        <w:t>项目建成后，</w:t>
      </w:r>
      <w:r>
        <w:rPr>
          <w:rFonts w:hint="eastAsia" w:ascii="Calibri" w:hAnsi="Calibri" w:eastAsia="宋体" w:cs="Times New Roman"/>
          <w:snapToGrid/>
          <w:kern w:val="2"/>
          <w:sz w:val="24"/>
          <w:szCs w:val="24"/>
          <w:lang w:eastAsia="zh-CN"/>
        </w:rPr>
        <w:t>建设单位</w:t>
      </w:r>
      <w:r>
        <w:rPr>
          <w:rFonts w:ascii="Calibri" w:hAnsi="宋体" w:eastAsia="宋体" w:cs="Times New Roman"/>
          <w:snapToGrid/>
          <w:kern w:val="2"/>
          <w:sz w:val="24"/>
          <w:szCs w:val="24"/>
          <w:lang w:eastAsia="zh-CN"/>
        </w:rPr>
        <w:t>从</w:t>
      </w:r>
      <w:r>
        <w:rPr>
          <w:rFonts w:hint="eastAsia" w:ascii="Calibri" w:hAnsi="宋体" w:eastAsia="宋体" w:cs="Times New Roman"/>
          <w:snapToGrid/>
          <w:kern w:val="2"/>
          <w:sz w:val="24"/>
          <w:szCs w:val="24"/>
          <w:lang w:eastAsia="zh-CN"/>
        </w:rPr>
        <w:t>叶县以及周边县区</w:t>
      </w:r>
      <w:r>
        <w:rPr>
          <w:rFonts w:hint="eastAsia" w:ascii="Calibri" w:hAnsi="Calibri" w:eastAsia="宋体" w:cs="Times New Roman"/>
          <w:snapToGrid/>
          <w:kern w:val="2"/>
          <w:sz w:val="24"/>
          <w:szCs w:val="24"/>
          <w:lang w:eastAsia="zh-CN"/>
        </w:rPr>
        <w:t>收购优良、健康的肉牛和肉羊。</w:t>
      </w:r>
      <w:r>
        <w:rPr>
          <w:rFonts w:hint="eastAsia" w:ascii="Calibri" w:hAnsi="宋体" w:eastAsia="宋体" w:cs="Times New Roman"/>
          <w:snapToGrid/>
          <w:kern w:val="2"/>
          <w:sz w:val="24"/>
          <w:szCs w:val="24"/>
          <w:lang w:eastAsia="zh-CN"/>
        </w:rPr>
        <w:t>企业在收购前</w:t>
      </w:r>
      <w:r>
        <w:rPr>
          <w:rFonts w:ascii="Calibri" w:hAnsi="宋体" w:eastAsia="宋体" w:cs="Times New Roman"/>
          <w:snapToGrid/>
          <w:kern w:val="2"/>
          <w:sz w:val="24"/>
          <w:szCs w:val="24"/>
          <w:lang w:eastAsia="zh-CN"/>
        </w:rPr>
        <w:t>，首先要了解产地有无疫情，并作检疫。重点调查口蹄疫、黏膜病毒病、结核病、布氏杆菌病、焦虫病等流行情况，计划免疫情况，确认无疫情时方可购买。</w:t>
      </w:r>
    </w:p>
    <w:p>
      <w:pPr>
        <w:widowControl w:val="0"/>
        <w:kinsoku/>
        <w:autoSpaceDE/>
        <w:autoSpaceDN/>
        <w:adjustRightInd w:val="0"/>
        <w:snapToGrid w:val="0"/>
        <w:spacing w:line="500" w:lineRule="exact"/>
        <w:ind w:firstLine="480" w:firstLineChars="200"/>
        <w:jc w:val="both"/>
        <w:textAlignment w:val="auto"/>
        <w:rPr>
          <w:rFonts w:ascii="Calibri" w:hAnsi="Calibri" w:eastAsia="宋体" w:cs="Times New Roman"/>
          <w:snapToGrid/>
          <w:kern w:val="2"/>
          <w:sz w:val="24"/>
          <w:szCs w:val="24"/>
          <w:lang w:eastAsia="zh-CN"/>
        </w:rPr>
      </w:pPr>
      <w:r>
        <w:rPr>
          <w:rFonts w:hint="eastAsia" w:ascii="Calibri" w:hAnsi="Calibri" w:eastAsia="宋体" w:cs="Times New Roman"/>
          <w:snapToGrid/>
          <w:kern w:val="2"/>
          <w:sz w:val="24"/>
          <w:szCs w:val="24"/>
          <w:lang w:eastAsia="zh-CN"/>
        </w:rPr>
        <w:t>牛羊收购以后，</w:t>
      </w:r>
      <w:r>
        <w:rPr>
          <w:rFonts w:ascii="Calibri" w:hAnsi="Calibri" w:eastAsia="宋体" w:cs="Times New Roman"/>
          <w:snapToGrid/>
          <w:kern w:val="2"/>
          <w:sz w:val="24"/>
          <w:szCs w:val="24"/>
          <w:lang w:eastAsia="zh-CN"/>
        </w:rPr>
        <w:t>先转入</w:t>
      </w:r>
      <w:r>
        <w:rPr>
          <w:rFonts w:hint="eastAsia" w:ascii="Calibri" w:hAnsi="Calibri" w:eastAsia="宋体" w:cs="Times New Roman"/>
          <w:snapToGrid/>
          <w:kern w:val="2"/>
          <w:sz w:val="24"/>
          <w:szCs w:val="24"/>
          <w:lang w:eastAsia="zh-CN"/>
        </w:rPr>
        <w:t>待宰区隔离观察</w:t>
      </w:r>
      <w:r>
        <w:rPr>
          <w:rFonts w:hint="eastAsia" w:ascii="Times New Roman" w:hAnsi="Times New Roman" w:eastAsia="宋体" w:cs="Times New Roman"/>
          <w:snapToGrid/>
          <w:kern w:val="2"/>
          <w:sz w:val="24"/>
          <w:szCs w:val="24"/>
          <w:lang w:val="en-US" w:eastAsia="zh-CN"/>
        </w:rPr>
        <w:t>1</w:t>
      </w:r>
      <w:r>
        <w:rPr>
          <w:rFonts w:hint="eastAsia" w:ascii="Calibri" w:hAnsi="Calibri" w:eastAsia="宋体" w:cs="Times New Roman"/>
          <w:snapToGrid/>
          <w:kern w:val="2"/>
          <w:sz w:val="24"/>
          <w:szCs w:val="24"/>
          <w:lang w:val="en-US" w:eastAsia="zh-CN"/>
        </w:rPr>
        <w:t>天</w:t>
      </w:r>
      <w:r>
        <w:rPr>
          <w:rFonts w:ascii="Calibri" w:hAnsi="Calibri" w:eastAsia="宋体" w:cs="Times New Roman"/>
          <w:snapToGrid/>
          <w:kern w:val="2"/>
          <w:sz w:val="24"/>
          <w:szCs w:val="24"/>
          <w:lang w:eastAsia="zh-CN"/>
        </w:rPr>
        <w:t>，由兽医主管亲自临床检查，隔离期间按本场的免疫程序进行疫苗接种，</w:t>
      </w:r>
      <w:r>
        <w:rPr>
          <w:rFonts w:hint="eastAsia" w:ascii="Calibri" w:hAnsi="Calibri" w:eastAsia="宋体" w:cs="Times New Roman"/>
          <w:snapToGrid/>
          <w:kern w:val="2"/>
          <w:sz w:val="24"/>
          <w:szCs w:val="24"/>
          <w:lang w:eastAsia="zh-CN"/>
        </w:rPr>
        <w:t>检疫</w:t>
      </w:r>
      <w:r>
        <w:rPr>
          <w:rFonts w:ascii="Calibri" w:hAnsi="Calibri" w:eastAsia="宋体" w:cs="Times New Roman"/>
          <w:snapToGrid/>
          <w:kern w:val="2"/>
          <w:sz w:val="24"/>
          <w:szCs w:val="24"/>
          <w:lang w:eastAsia="zh-CN"/>
        </w:rPr>
        <w:t>合格后方可转入</w:t>
      </w:r>
      <w:r>
        <w:rPr>
          <w:rFonts w:hint="eastAsia" w:ascii="Calibri" w:hAnsi="Calibri" w:eastAsia="宋体" w:cs="Times New Roman"/>
          <w:snapToGrid/>
          <w:kern w:val="2"/>
          <w:sz w:val="24"/>
          <w:szCs w:val="24"/>
          <w:lang w:eastAsia="zh-CN"/>
        </w:rPr>
        <w:t>屠宰线</w:t>
      </w:r>
      <w:r>
        <w:rPr>
          <w:rFonts w:ascii="Calibri" w:hAnsi="Calibri" w:eastAsia="宋体" w:cs="Times New Roman"/>
          <w:snapToGrid/>
          <w:kern w:val="2"/>
          <w:sz w:val="24"/>
          <w:szCs w:val="24"/>
          <w:lang w:eastAsia="zh-CN"/>
        </w:rPr>
        <w:t>。工程原辅材料及能源消耗</w:t>
      </w:r>
      <w:r>
        <w:rPr>
          <w:rFonts w:hint="eastAsia" w:ascii="Calibri" w:hAnsi="Calibri" w:eastAsia="宋体" w:cs="Times New Roman"/>
          <w:snapToGrid/>
          <w:kern w:val="2"/>
          <w:sz w:val="24"/>
          <w:szCs w:val="24"/>
          <w:lang w:eastAsia="zh-CN"/>
        </w:rPr>
        <w:t>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Calibri" w:hAnsi="Calibri" w:eastAsia="宋体" w:cs="Times New Roman"/>
          <w:b/>
          <w:bCs/>
          <w:snapToGrid/>
          <w:kern w:val="2"/>
          <w:sz w:val="24"/>
          <w:szCs w:val="24"/>
          <w:lang w:eastAsia="zh-CN"/>
        </w:rPr>
      </w:pPr>
      <w:r>
        <w:rPr>
          <w:rFonts w:ascii="Calibri" w:hAnsi="Calibri" w:eastAsia="宋体" w:cs="Times New Roman"/>
          <w:b/>
          <w:bCs/>
          <w:snapToGrid/>
          <w:kern w:val="2"/>
          <w:sz w:val="24"/>
          <w:szCs w:val="24"/>
          <w:lang w:eastAsia="zh-CN"/>
        </w:rPr>
        <w:t>表3-</w:t>
      </w:r>
      <w:r>
        <w:rPr>
          <w:rFonts w:hint="eastAsia" w:ascii="Calibri" w:hAnsi="Calibri" w:eastAsia="宋体" w:cs="Times New Roman"/>
          <w:b/>
          <w:bCs/>
          <w:snapToGrid/>
          <w:kern w:val="2"/>
          <w:sz w:val="24"/>
          <w:szCs w:val="24"/>
          <w:lang w:val="en-US" w:eastAsia="zh-CN"/>
        </w:rPr>
        <w:t>1</w:t>
      </w:r>
      <w:r>
        <w:rPr>
          <w:rFonts w:ascii="Calibri" w:hAnsi="Calibri" w:eastAsia="宋体" w:cs="Times New Roman"/>
          <w:b/>
          <w:bCs/>
          <w:snapToGrid/>
          <w:kern w:val="2"/>
          <w:sz w:val="24"/>
          <w:szCs w:val="24"/>
          <w:lang w:eastAsia="zh-CN"/>
        </w:rPr>
        <w:t xml:space="preserve">            工程原辅材料及能源消耗一览表</w:t>
      </w:r>
    </w:p>
    <w:tbl>
      <w:tblPr>
        <w:tblStyle w:val="24"/>
        <w:tblW w:w="8950"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528"/>
        <w:gridCol w:w="1481"/>
        <w:gridCol w:w="1665"/>
        <w:gridCol w:w="346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类别</w:t>
            </w: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名称</w:t>
            </w:r>
          </w:p>
        </w:tc>
        <w:tc>
          <w:tcPr>
            <w:tcW w:w="1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储存位置</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用量</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说明</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原料</w:t>
            </w: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肉羊</w:t>
            </w:r>
          </w:p>
        </w:tc>
        <w:tc>
          <w:tcPr>
            <w:tcW w:w="1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羊待宰间</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w:t>
            </w:r>
            <w:r>
              <w:rPr>
                <w:rFonts w:hint="eastAsia" w:ascii="Times New Roman" w:hAnsi="Times New Roman" w:eastAsia="宋体" w:cs="Times New Roman"/>
                <w:snapToGrid/>
                <w:kern w:val="2"/>
                <w:sz w:val="21"/>
                <w:szCs w:val="21"/>
                <w:lang w:val="en-US" w:eastAsia="zh-CN"/>
              </w:rPr>
              <w:t>5</w:t>
            </w:r>
            <w:r>
              <w:rPr>
                <w:rFonts w:hint="default" w:ascii="Times New Roman" w:hAnsi="Times New Roman" w:eastAsia="宋体" w:cs="Times New Roman"/>
                <w:snapToGrid/>
                <w:kern w:val="2"/>
                <w:sz w:val="21"/>
                <w:szCs w:val="21"/>
                <w:lang w:eastAsia="zh-CN"/>
              </w:rPr>
              <w:t>万</w:t>
            </w:r>
            <w:r>
              <w:rPr>
                <w:rFonts w:hint="eastAsia" w:ascii="Times New Roman" w:hAnsi="Times New Roman" w:eastAsia="宋体" w:cs="Times New Roman"/>
                <w:snapToGrid/>
                <w:kern w:val="2"/>
                <w:sz w:val="21"/>
                <w:szCs w:val="21"/>
                <w:lang w:eastAsia="zh-CN"/>
              </w:rPr>
              <w:t>只</w:t>
            </w:r>
            <w:r>
              <w:rPr>
                <w:rFonts w:hint="default" w:ascii="Times New Roman" w:hAnsi="Times New Roman" w:eastAsia="宋体" w:cs="Times New Roman"/>
                <w:snapToGrid/>
                <w:kern w:val="2"/>
                <w:sz w:val="21"/>
                <w:szCs w:val="21"/>
                <w:lang w:eastAsia="zh-CN"/>
              </w:rPr>
              <w:t>/a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产品为各种档次分割羊肉、食用内脏、食用骨、羊皮等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kern w:val="2"/>
                <w:sz w:val="21"/>
                <w:szCs w:val="21"/>
                <w:lang w:val="en-US" w:eastAsia="zh-CN" w:bidi="ar-SA"/>
              </w:rPr>
            </w:pPr>
            <w:r>
              <w:rPr>
                <w:rFonts w:hint="eastAsia" w:ascii="Times New Roman" w:hAnsi="Times New Roman" w:eastAsia="宋体" w:cs="Times New Roman"/>
                <w:snapToGrid/>
                <w:kern w:val="2"/>
                <w:sz w:val="21"/>
                <w:szCs w:val="21"/>
                <w:lang w:eastAsia="zh-CN"/>
              </w:rPr>
              <w:t>肉牛</w:t>
            </w:r>
          </w:p>
        </w:tc>
        <w:tc>
          <w:tcPr>
            <w:tcW w:w="1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kern w:val="2"/>
                <w:sz w:val="21"/>
                <w:szCs w:val="21"/>
                <w:lang w:val="en-US" w:eastAsia="zh-CN" w:bidi="ar-SA"/>
              </w:rPr>
            </w:pPr>
            <w:r>
              <w:rPr>
                <w:rFonts w:hint="eastAsia" w:ascii="Times New Roman" w:hAnsi="Times New Roman" w:eastAsia="宋体" w:cs="Times New Roman"/>
                <w:snapToGrid/>
                <w:kern w:val="2"/>
                <w:sz w:val="21"/>
                <w:szCs w:val="21"/>
                <w:lang w:eastAsia="zh-CN"/>
              </w:rPr>
              <w:t>牛</w:t>
            </w:r>
            <w:r>
              <w:rPr>
                <w:rFonts w:hint="default" w:ascii="Times New Roman" w:hAnsi="Times New Roman" w:eastAsia="宋体" w:cs="Times New Roman"/>
                <w:snapToGrid/>
                <w:kern w:val="2"/>
                <w:sz w:val="21"/>
                <w:szCs w:val="21"/>
                <w:lang w:eastAsia="zh-CN"/>
              </w:rPr>
              <w:t>待宰间</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kern w:val="2"/>
                <w:sz w:val="21"/>
                <w:szCs w:val="21"/>
                <w:lang w:val="en-US" w:eastAsia="zh-CN" w:bidi="ar-SA"/>
              </w:rPr>
            </w:pPr>
            <w:r>
              <w:rPr>
                <w:rFonts w:hint="default" w:ascii="Times New Roman" w:hAnsi="Times New Roman" w:eastAsia="宋体" w:cs="Times New Roman"/>
                <w:snapToGrid/>
                <w:kern w:val="2"/>
                <w:sz w:val="21"/>
                <w:szCs w:val="21"/>
                <w:lang w:eastAsia="zh-CN"/>
              </w:rPr>
              <w:t>1万头/a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000000"/>
                <w:kern w:val="2"/>
                <w:sz w:val="21"/>
                <w:szCs w:val="21"/>
                <w:lang w:val="en-US" w:eastAsia="zh-CN" w:bidi="ar-SA"/>
              </w:rPr>
            </w:pPr>
            <w:r>
              <w:rPr>
                <w:rFonts w:hint="eastAsia" w:ascii="Times New Roman" w:hAnsi="Times New Roman" w:eastAsia="宋体" w:cs="Times New Roman"/>
                <w:snapToGrid/>
                <w:kern w:val="2"/>
                <w:sz w:val="21"/>
                <w:szCs w:val="21"/>
                <w:lang w:eastAsia="zh-CN"/>
              </w:rPr>
              <w:t>产品为各种档次分割牛肉、食用内脏、食用骨、牛皮等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81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牛羊主要来源于</w:t>
            </w:r>
            <w:r>
              <w:rPr>
                <w:rFonts w:hint="default" w:ascii="Times New Roman" w:hAnsi="Times New Roman" w:eastAsia="宋体" w:cs="Times New Roman"/>
                <w:snapToGrid/>
                <w:kern w:val="2"/>
                <w:sz w:val="21"/>
                <w:szCs w:val="21"/>
                <w:lang w:eastAsia="zh-CN"/>
              </w:rPr>
              <w:t>叶县、舞钢、鲁山、襄县、舞阳等周边县市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能源</w:t>
            </w: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电</w:t>
            </w:r>
          </w:p>
        </w:tc>
        <w:tc>
          <w:tcPr>
            <w:tcW w:w="1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180万kw·h/a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供电电网</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新鲜水</w:t>
            </w:r>
          </w:p>
        </w:tc>
        <w:tc>
          <w:tcPr>
            <w:tcW w:w="1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93584</w:t>
            </w:r>
            <w:r>
              <w:rPr>
                <w:rFonts w:hint="default" w:ascii="Times New Roman" w:hAnsi="Times New Roman" w:eastAsia="宋体" w:cs="Times New Roman"/>
                <w:snapToGrid/>
                <w:kern w:val="2"/>
                <w:sz w:val="21"/>
                <w:szCs w:val="21"/>
                <w:lang w:eastAsia="zh-CN"/>
              </w:rPr>
              <w:t>m</w:t>
            </w:r>
            <w:r>
              <w:rPr>
                <w:rFonts w:hint="default" w:ascii="Times New Roman" w:hAnsi="Times New Roman" w:eastAsia="宋体" w:cs="Times New Roman"/>
                <w:snapToGrid/>
                <w:kern w:val="2"/>
                <w:sz w:val="21"/>
                <w:szCs w:val="21"/>
                <w:vertAlign w:val="superscript"/>
                <w:lang w:eastAsia="zh-CN"/>
              </w:rPr>
              <w:t>3</w:t>
            </w:r>
            <w:r>
              <w:rPr>
                <w:rFonts w:hint="default" w:ascii="Times New Roman" w:hAnsi="Times New Roman" w:eastAsia="宋体" w:cs="Times New Roman"/>
                <w:snapToGrid/>
                <w:kern w:val="2"/>
                <w:sz w:val="21"/>
                <w:szCs w:val="21"/>
                <w:lang w:eastAsia="zh-CN"/>
              </w:rPr>
              <w:t>/a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highlight w:val="none"/>
                <w:lang w:eastAsia="zh-CN"/>
              </w:rPr>
              <w:t>自来水供应</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其他</w:t>
            </w: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食盐（</w:t>
            </w:r>
            <w:r>
              <w:rPr>
                <w:rFonts w:hint="eastAsia" w:ascii="Times New Roman" w:hAnsi="Times New Roman" w:eastAsia="宋体" w:cs="Times New Roman"/>
                <w:snapToGrid/>
                <w:kern w:val="2"/>
                <w:sz w:val="21"/>
                <w:szCs w:val="21"/>
                <w:lang w:val="en-US" w:eastAsia="zh-CN"/>
              </w:rPr>
              <w:t>NaCl</w:t>
            </w:r>
            <w:r>
              <w:rPr>
                <w:rFonts w:hint="eastAsia" w:ascii="Times New Roman" w:hAnsi="Times New Roman" w:eastAsia="宋体" w:cs="Times New Roman"/>
                <w:snapToGrid/>
                <w:kern w:val="2"/>
                <w:sz w:val="21"/>
                <w:szCs w:val="21"/>
                <w:lang w:eastAsia="zh-CN"/>
              </w:rPr>
              <w:t>）</w:t>
            </w:r>
          </w:p>
        </w:tc>
        <w:tc>
          <w:tcPr>
            <w:tcW w:w="1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highlight w:val="none"/>
                <w:lang w:eastAsia="zh-CN"/>
              </w:rPr>
              <w:t>精细加工车间</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1.8t/a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用于牛羊皮的杀菌消毒处理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kern w:val="2"/>
                <w:sz w:val="21"/>
                <w:szCs w:val="21"/>
                <w:lang w:val="en-US" w:eastAsia="zh-CN" w:bidi="ar-SA"/>
              </w:rPr>
            </w:pPr>
            <w:r>
              <w:rPr>
                <w:rFonts w:hint="default" w:ascii="Times New Roman" w:hAnsi="Times New Roman" w:eastAsia="宋体" w:cs="Times New Roman"/>
                <w:snapToGrid/>
                <w:kern w:val="2"/>
                <w:sz w:val="21"/>
                <w:szCs w:val="21"/>
                <w:lang w:eastAsia="zh-CN"/>
              </w:rPr>
              <w:t>R507</w:t>
            </w:r>
          </w:p>
        </w:tc>
        <w:tc>
          <w:tcPr>
            <w:tcW w:w="1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kern w:val="2"/>
                <w:sz w:val="21"/>
                <w:szCs w:val="21"/>
                <w:lang w:val="en-US" w:eastAsia="zh-CN" w:bidi="ar-SA"/>
              </w:rPr>
            </w:pPr>
            <w:r>
              <w:rPr>
                <w:rFonts w:hint="default" w:ascii="Times New Roman" w:hAnsi="Times New Roman" w:eastAsia="宋体" w:cs="Times New Roman"/>
                <w:snapToGrid/>
                <w:kern w:val="2"/>
                <w:sz w:val="21"/>
                <w:szCs w:val="21"/>
                <w:lang w:eastAsia="zh-CN"/>
              </w:rPr>
              <w:t>冷库内循环</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kern w:val="2"/>
                <w:sz w:val="21"/>
                <w:szCs w:val="21"/>
                <w:lang w:val="en-US" w:eastAsia="zh-CN" w:bidi="ar-SA"/>
              </w:rPr>
            </w:pPr>
            <w:r>
              <w:rPr>
                <w:rFonts w:hint="default" w:ascii="Times New Roman" w:hAnsi="Times New Roman" w:eastAsia="宋体" w:cs="Times New Roman"/>
                <w:snapToGrid/>
                <w:kern w:val="2"/>
                <w:sz w:val="21"/>
                <w:szCs w:val="21"/>
                <w:lang w:eastAsia="zh-CN"/>
              </w:rPr>
              <w:t>0.8t/a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000000"/>
                <w:kern w:val="2"/>
                <w:sz w:val="21"/>
                <w:szCs w:val="21"/>
                <w:lang w:val="en-US" w:eastAsia="zh-CN" w:bidi="ar-SA"/>
              </w:rPr>
            </w:pPr>
            <w:r>
              <w:rPr>
                <w:rFonts w:hint="eastAsia" w:ascii="Times New Roman" w:hAnsi="Times New Roman" w:eastAsia="宋体" w:cs="Times New Roman"/>
                <w:snapToGrid/>
                <w:kern w:val="2"/>
                <w:sz w:val="21"/>
                <w:szCs w:val="21"/>
                <w:lang w:eastAsia="zh-CN"/>
              </w:rPr>
              <w:t>首次加入量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次氯酸钠</w:t>
            </w:r>
          </w:p>
        </w:tc>
        <w:tc>
          <w:tcPr>
            <w:tcW w:w="148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污水处理站</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（在站</w:t>
            </w:r>
            <w:r>
              <w:rPr>
                <w:rFonts w:hint="eastAsia" w:ascii="Times New Roman" w:hAnsi="Times New Roman" w:eastAsia="宋体" w:cs="Times New Roman"/>
                <w:snapToGrid/>
                <w:kern w:val="2"/>
                <w:sz w:val="21"/>
                <w:szCs w:val="21"/>
                <w:lang w:eastAsia="zh-CN"/>
              </w:rPr>
              <w:t>区</w:t>
            </w:r>
            <w:r>
              <w:rPr>
                <w:rFonts w:hint="default" w:ascii="Times New Roman" w:hAnsi="Times New Roman" w:eastAsia="宋体" w:cs="Times New Roman"/>
                <w:snapToGrid/>
                <w:kern w:val="2"/>
                <w:sz w:val="21"/>
                <w:szCs w:val="21"/>
                <w:lang w:eastAsia="zh-CN"/>
              </w:rPr>
              <w:t>建</w:t>
            </w:r>
            <w:r>
              <w:rPr>
                <w:rFonts w:hint="eastAsia" w:ascii="Times New Roman" w:hAnsi="Times New Roman" w:eastAsia="宋体" w:cs="Times New Roman"/>
                <w:snapToGrid/>
                <w:kern w:val="2"/>
                <w:sz w:val="21"/>
                <w:szCs w:val="21"/>
                <w:lang w:eastAsia="zh-CN"/>
              </w:rPr>
              <w:t>设备管理间</w:t>
            </w:r>
            <w:r>
              <w:rPr>
                <w:rFonts w:hint="default" w:ascii="Times New Roman" w:hAnsi="Times New Roman" w:eastAsia="宋体" w:cs="Times New Roman"/>
                <w:snapToGrid/>
                <w:kern w:val="2"/>
                <w:sz w:val="21"/>
                <w:szCs w:val="21"/>
                <w:lang w:eastAsia="zh-CN"/>
              </w:rPr>
              <w:t>用于存放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化学品）</w:t>
            </w: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0.08t/a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消毒剂，每桶10kg ，市场采购</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漂白粉</w:t>
            </w:r>
          </w:p>
        </w:tc>
        <w:tc>
          <w:tcPr>
            <w:tcW w:w="148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0.5t/a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主要成分次氯酸钙，用于地面墙壁、出入口处的的消毒</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15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微生物除臭剂</w:t>
            </w:r>
          </w:p>
        </w:tc>
        <w:tc>
          <w:tcPr>
            <w:tcW w:w="148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p>
        </w:tc>
        <w:tc>
          <w:tcPr>
            <w:tcW w:w="16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0.06t/a</w:t>
            </w:r>
          </w:p>
        </w:tc>
        <w:tc>
          <w:tcPr>
            <w:tcW w:w="34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除臭剂，外购</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firstLine="476" w:firstLineChars="200"/>
        <w:textAlignment w:val="baseline"/>
        <w:outlineLvl w:val="9"/>
        <w:rPr>
          <w:rFonts w:hint="eastAsia" w:ascii="Times New Roman" w:hAnsi="Times New Roman" w:eastAsia="宋体" w:cs="Times New Roman"/>
          <w:spacing w:val="-1"/>
          <w:sz w:val="24"/>
          <w:szCs w:val="24"/>
          <w:lang w:eastAsia="zh-CN"/>
        </w:rPr>
      </w:pP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spacing w:val="-1"/>
          <w:sz w:val="24"/>
          <w:szCs w:val="24"/>
          <w:lang w:val="en-US" w:eastAsia="zh-CN"/>
        </w:rPr>
        <w:t>2</w:t>
      </w:r>
      <w:r>
        <w:rPr>
          <w:rFonts w:hint="eastAsia" w:ascii="Times New Roman" w:hAnsi="Times New Roman" w:eastAsia="宋体" w:cs="Times New Roman"/>
          <w:spacing w:val="-1"/>
          <w:sz w:val="24"/>
          <w:szCs w:val="24"/>
          <w:lang w:eastAsia="zh-CN"/>
        </w:rPr>
        <w:t>）厂区涉及的化学品及其理化性质</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firstLine="476" w:firstLineChars="200"/>
        <w:textAlignment w:val="baseline"/>
        <w:outlineLvl w:val="9"/>
        <w:rPr>
          <w:rFonts w:hint="default" w:ascii="Times New Roman" w:hAnsi="Times New Roman" w:eastAsia="Times New Roman" w:cs="Times New Roman"/>
          <w:spacing w:val="-1"/>
          <w:sz w:val="24"/>
          <w:szCs w:val="24"/>
        </w:rPr>
      </w:pPr>
      <w:r>
        <w:rPr>
          <w:rFonts w:hint="default" w:ascii="Times New Roman" w:hAnsi="Times New Roman" w:eastAsia="Times New Roman" w:cs="Times New Roman"/>
          <w:spacing w:val="-1"/>
          <w:sz w:val="24"/>
          <w:szCs w:val="24"/>
        </w:rPr>
        <w:t>①R</w:t>
      </w:r>
      <w:r>
        <w:rPr>
          <w:rFonts w:hint="eastAsia" w:ascii="Times New Roman" w:hAnsi="Times New Roman" w:eastAsia="Times New Roman" w:cs="Times New Roman"/>
          <w:spacing w:val="-1"/>
          <w:sz w:val="24"/>
          <w:szCs w:val="24"/>
          <w:lang w:val="en-US" w:eastAsia="zh-CN"/>
        </w:rPr>
        <w:t>507</w:t>
      </w:r>
      <w:r>
        <w:rPr>
          <w:rFonts w:hint="default" w:ascii="Times New Roman" w:hAnsi="Times New Roman" w:eastAsia="Times New Roman" w:cs="Times New Roman"/>
          <w:spacing w:val="-1"/>
          <w:sz w:val="24"/>
          <w:szCs w:val="24"/>
        </w:rPr>
        <w:t>，本项目冷库选用</w:t>
      </w:r>
      <w:r>
        <w:rPr>
          <w:rFonts w:hint="eastAsia" w:ascii="Times New Roman" w:hAnsi="Times New Roman" w:eastAsia="宋体" w:cs="Times New Roman"/>
          <w:spacing w:val="-1"/>
          <w:sz w:val="24"/>
          <w:szCs w:val="24"/>
          <w:lang w:eastAsia="zh-CN"/>
        </w:rPr>
        <w:t>的</w:t>
      </w:r>
      <w:r>
        <w:rPr>
          <w:rFonts w:hint="default" w:ascii="Times New Roman" w:hAnsi="Times New Roman" w:eastAsia="Times New Roman" w:cs="Times New Roman"/>
          <w:spacing w:val="-1"/>
          <w:sz w:val="24"/>
          <w:szCs w:val="24"/>
        </w:rPr>
        <w:t>氟基制冷剂</w:t>
      </w:r>
      <w:r>
        <w:rPr>
          <w:rFonts w:hint="eastAsia" w:ascii="Times New Roman" w:hAnsi="Times New Roman" w:eastAsia="宋体" w:cs="Times New Roman"/>
          <w:spacing w:val="-1"/>
          <w:sz w:val="24"/>
          <w:szCs w:val="24"/>
          <w:lang w:eastAsia="zh-CN"/>
        </w:rPr>
        <w:t>，</w:t>
      </w:r>
      <w:r>
        <w:rPr>
          <w:rFonts w:hint="default" w:ascii="Times New Roman" w:hAnsi="Times New Roman" w:eastAsia="Times New Roman" w:cs="Times New Roman"/>
          <w:spacing w:val="-1"/>
          <w:sz w:val="24"/>
          <w:szCs w:val="24"/>
        </w:rPr>
        <w:t>产品类别为HFC，化学成分为五氟乙烷/三氟乙烷/四氟乙烷混合物，无色无味不燃气体，低毒。R</w:t>
      </w:r>
      <w:r>
        <w:rPr>
          <w:rFonts w:hint="eastAsia" w:ascii="Times New Roman" w:hAnsi="Times New Roman" w:eastAsia="Times New Roman" w:cs="Times New Roman"/>
          <w:spacing w:val="-1"/>
          <w:sz w:val="24"/>
          <w:szCs w:val="24"/>
          <w:lang w:val="en-US" w:eastAsia="zh-CN"/>
        </w:rPr>
        <w:t>507</w:t>
      </w:r>
      <w:r>
        <w:rPr>
          <w:rFonts w:hint="default" w:ascii="Times New Roman" w:hAnsi="Times New Roman" w:eastAsia="Times New Roman" w:cs="Times New Roman"/>
          <w:spacing w:val="-1"/>
          <w:sz w:val="24"/>
          <w:szCs w:val="24"/>
        </w:rPr>
        <w:t>属于HFC型非共沸环保制冷剂（完全不含破坏臭氧层的CFC、HCFC），是得到</w:t>
      </w:r>
      <w:r>
        <w:rPr>
          <w:rFonts w:hint="eastAsia" w:ascii="Times New Roman" w:hAnsi="Times New Roman" w:eastAsia="宋体" w:cs="Times New Roman"/>
          <w:spacing w:val="-1"/>
          <w:sz w:val="24"/>
          <w:szCs w:val="24"/>
          <w:lang w:eastAsia="zh-CN"/>
        </w:rPr>
        <w:t>国家官方</w:t>
      </w:r>
      <w:r>
        <w:rPr>
          <w:rFonts w:hint="default" w:ascii="Times New Roman" w:hAnsi="Times New Roman" w:eastAsia="Times New Roman" w:cs="Times New Roman"/>
          <w:spacing w:val="-1"/>
          <w:sz w:val="24"/>
          <w:szCs w:val="24"/>
        </w:rPr>
        <w:t>认可并推荐的主流低温环保制冷剂，广泛用于新冷冻设备上的初装和维修过程中的再添加。</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firstLine="476" w:firstLineChars="200"/>
        <w:textAlignment w:val="baseline"/>
        <w:outlineLvl w:val="9"/>
        <w:rPr>
          <w:rFonts w:hint="eastAsia" w:ascii="Times New Roman" w:hAnsi="Times New Roman" w:eastAsia="宋体" w:cs="Times New Roman"/>
          <w:spacing w:val="-1"/>
          <w:sz w:val="24"/>
          <w:szCs w:val="24"/>
          <w:lang w:eastAsia="zh-CN"/>
        </w:rPr>
      </w:pPr>
      <w:r>
        <w:rPr>
          <w:rFonts w:hint="default" w:ascii="Times New Roman" w:hAnsi="Times New Roman" w:eastAsia="Times New Roman" w:cs="Times New Roman"/>
          <w:spacing w:val="-1"/>
          <w:sz w:val="24"/>
          <w:szCs w:val="24"/>
        </w:rPr>
        <w:t>②</w:t>
      </w:r>
      <w:r>
        <w:rPr>
          <w:rFonts w:hint="eastAsia" w:ascii="Times New Roman" w:hAnsi="Times New Roman" w:eastAsia="宋体" w:cs="Times New Roman"/>
          <w:spacing w:val="-1"/>
          <w:sz w:val="24"/>
          <w:szCs w:val="24"/>
          <w:lang w:eastAsia="zh-CN"/>
        </w:rPr>
        <w:t>次氯酸钠（别名漂白水），是一种无机化合物，化学式为NaClO，是一种次氯酸盐，密度</w:t>
      </w:r>
      <w:r>
        <w:rPr>
          <w:rFonts w:hint="eastAsia" w:ascii="Times New Roman" w:hAnsi="Times New Roman" w:eastAsia="宋体" w:cs="Times New Roman"/>
          <w:spacing w:val="-1"/>
          <w:sz w:val="24"/>
          <w:szCs w:val="24"/>
          <w:lang w:val="en-US" w:eastAsia="zh-CN"/>
        </w:rPr>
        <w:t>1.25g/m</w:t>
      </w:r>
      <w:r>
        <w:rPr>
          <w:rFonts w:hint="eastAsia" w:ascii="Times New Roman" w:hAnsi="Times New Roman" w:eastAsia="宋体" w:cs="Times New Roman"/>
          <w:spacing w:val="-1"/>
          <w:sz w:val="24"/>
          <w:szCs w:val="24"/>
          <w:vertAlign w:val="superscript"/>
          <w:lang w:val="en-US" w:eastAsia="zh-CN"/>
        </w:rPr>
        <w:t>3</w:t>
      </w:r>
      <w:r>
        <w:rPr>
          <w:rFonts w:hint="eastAsia" w:ascii="Times New Roman" w:hAnsi="Times New Roman" w:eastAsia="宋体" w:cs="Times New Roman"/>
          <w:spacing w:val="-1"/>
          <w:sz w:val="24"/>
          <w:szCs w:val="24"/>
          <w:lang w:eastAsia="zh-CN"/>
        </w:rPr>
        <w:t>。因极易分解的特性，日常使用中以液体形式存在，为浅黄色液体。次氯酸钠具有强氧化性，可水解生成具有强氧化性的次氯酸，能够将具有还原性的物质氧化，使微生物最终丧失机能，无法繁殖或感染，广泛应用于工业废水的消毒。</w:t>
      </w:r>
    </w:p>
    <w:p>
      <w:pPr>
        <w:keepNext w:val="0"/>
        <w:keepLines w:val="0"/>
        <w:pageBreakBefore w:val="0"/>
        <w:widowControl/>
        <w:kinsoku/>
        <w:wordWrap/>
        <w:overflowPunct/>
        <w:topLinePunct w:val="0"/>
        <w:autoSpaceDE w:val="0"/>
        <w:autoSpaceDN w:val="0"/>
        <w:bidi w:val="0"/>
        <w:adjustRightInd w:val="0"/>
        <w:snapToGrid w:val="0"/>
        <w:spacing w:before="0" w:line="360" w:lineRule="auto"/>
        <w:ind w:left="0" w:firstLine="476" w:firstLineChars="200"/>
        <w:textAlignment w:val="baseline"/>
        <w:outlineLvl w:val="9"/>
        <w:rPr>
          <w:rFonts w:hint="eastAsia" w:ascii="Times New Roman" w:hAnsi="Times New Roman" w:eastAsia="宋体" w:cs="Times New Roman"/>
          <w:spacing w:val="-1"/>
          <w:sz w:val="24"/>
          <w:szCs w:val="24"/>
          <w:lang w:eastAsia="zh-CN"/>
        </w:rPr>
      </w:pPr>
      <w:r>
        <w:rPr>
          <w:rFonts w:hint="default" w:ascii="Times New Roman" w:hAnsi="Times New Roman" w:eastAsia="Times New Roman" w:cs="Times New Roman"/>
          <w:spacing w:val="-1"/>
          <w:sz w:val="24"/>
          <w:szCs w:val="24"/>
        </w:rPr>
        <w:t>③</w:t>
      </w:r>
      <w:r>
        <w:rPr>
          <w:rFonts w:hint="eastAsia" w:ascii="Times New Roman" w:hAnsi="Times New Roman" w:eastAsia="宋体" w:cs="Times New Roman"/>
          <w:spacing w:val="-1"/>
          <w:sz w:val="24"/>
          <w:szCs w:val="24"/>
          <w:lang w:eastAsia="zh-CN"/>
        </w:rPr>
        <w:t>次氯酸钙（别名漂白粉），是一种无机化合物，化学式为Ca(ClO)</w:t>
      </w:r>
      <w:r>
        <w:rPr>
          <w:rFonts w:hint="eastAsia" w:ascii="Times New Roman" w:hAnsi="Times New Roman" w:eastAsia="宋体" w:cs="Times New Roman"/>
          <w:spacing w:val="-1"/>
          <w:sz w:val="24"/>
          <w:szCs w:val="24"/>
          <w:vertAlign w:val="subscript"/>
          <w:lang w:eastAsia="zh-CN"/>
        </w:rPr>
        <w:t>2</w:t>
      </w:r>
      <w:r>
        <w:rPr>
          <w:rFonts w:hint="eastAsia" w:ascii="Times New Roman" w:hAnsi="Times New Roman" w:eastAsia="宋体" w:cs="Times New Roman"/>
          <w:spacing w:val="-1"/>
          <w:sz w:val="24"/>
          <w:szCs w:val="24"/>
          <w:lang w:eastAsia="zh-CN"/>
        </w:rPr>
        <w:t>，密度</w:t>
      </w:r>
      <w:r>
        <w:rPr>
          <w:rFonts w:hint="eastAsia" w:ascii="Times New Roman" w:hAnsi="Times New Roman" w:eastAsia="宋体" w:cs="Times New Roman"/>
          <w:spacing w:val="-1"/>
          <w:sz w:val="24"/>
          <w:szCs w:val="24"/>
          <w:lang w:val="en-US" w:eastAsia="zh-CN"/>
        </w:rPr>
        <w:t>2.35g/m</w:t>
      </w:r>
      <w:r>
        <w:rPr>
          <w:rFonts w:hint="eastAsia" w:ascii="Times New Roman" w:hAnsi="Times New Roman" w:eastAsia="宋体" w:cs="Times New Roman"/>
          <w:spacing w:val="-1"/>
          <w:sz w:val="24"/>
          <w:szCs w:val="24"/>
          <w:vertAlign w:val="superscript"/>
          <w:lang w:val="en-US" w:eastAsia="zh-CN"/>
        </w:rPr>
        <w:t>3</w:t>
      </w:r>
      <w:r>
        <w:rPr>
          <w:rFonts w:hint="eastAsia" w:ascii="Times New Roman" w:hAnsi="Times New Roman" w:eastAsia="宋体" w:cs="Times New Roman"/>
          <w:spacing w:val="-1"/>
          <w:sz w:val="24"/>
          <w:szCs w:val="24"/>
          <w:vertAlign w:val="baseline"/>
          <w:lang w:val="en-US" w:eastAsia="zh-CN"/>
        </w:rPr>
        <w:t>，常温状态下为白色粉末</w:t>
      </w:r>
      <w:r>
        <w:rPr>
          <w:rFonts w:hint="eastAsia" w:ascii="Times New Roman" w:hAnsi="Times New Roman" w:eastAsia="宋体" w:cs="Times New Roman"/>
          <w:spacing w:val="-1"/>
          <w:sz w:val="24"/>
          <w:szCs w:val="24"/>
          <w:lang w:eastAsia="zh-CN"/>
        </w:rPr>
        <w:t>。次氯酸钙具有强氧化性，可水解生成具有强氧化性的次氯酸，能够将具有还原性的物质氧化，使微生物最终丧失机能，无法繁殖或感染，广泛应用于工业生产中的漂白和消毒（次氯酸钙活性比次氯酸钠要低，但来源广泛，且生产成本低）。</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textAlignment w:val="baseline"/>
        <w:outlineLvl w:val="9"/>
        <w:rPr>
          <w:rFonts w:ascii="楷体" w:hAnsi="楷体" w:eastAsia="楷体" w:cs="楷体"/>
          <w:sz w:val="28"/>
          <w:szCs w:val="28"/>
        </w:rPr>
      </w:pPr>
      <w:r>
        <w:rPr>
          <w:rFonts w:ascii="Times New Roman" w:hAnsi="Times New Roman" w:eastAsia="Times New Roman" w:cs="Times New Roman"/>
          <w:spacing w:val="-1"/>
          <w:sz w:val="28"/>
          <w:szCs w:val="28"/>
        </w:rPr>
        <w:t>3.1.3</w:t>
      </w:r>
      <w:r>
        <w:rPr>
          <w:rFonts w:ascii="楷体" w:hAnsi="楷体" w:eastAsia="楷体" w:cs="楷体"/>
          <w:spacing w:val="-1"/>
          <w:sz w:val="28"/>
          <w:szCs w:val="28"/>
        </w:rPr>
        <w:t>工程主要建设内容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本</w:t>
      </w:r>
      <w:r>
        <w:rPr>
          <w:rFonts w:hint="default" w:ascii="Times New Roman" w:hAnsi="Times New Roman" w:cs="Times New Roman"/>
          <w:sz w:val="24"/>
          <w:szCs w:val="24"/>
        </w:rPr>
        <w:t>项目主要工程组成包括</w:t>
      </w:r>
      <w:r>
        <w:rPr>
          <w:rFonts w:hint="default" w:ascii="Times New Roman" w:hAnsi="Times New Roman" w:cs="Times New Roman"/>
          <w:sz w:val="24"/>
          <w:szCs w:val="24"/>
          <w:lang w:eastAsia="zh-CN"/>
        </w:rPr>
        <w:t>牛</w:t>
      </w:r>
      <w:r>
        <w:rPr>
          <w:rFonts w:hint="default" w:ascii="Times New Roman" w:hAnsi="Times New Roman" w:cs="Times New Roman"/>
          <w:sz w:val="24"/>
          <w:szCs w:val="24"/>
        </w:rPr>
        <w:t>羊待宰区、屠宰加工车间、冷库、综合办公楼、员工生活区及污水处理区域等</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工程主要建设内容见表3-</w:t>
      </w:r>
      <w:r>
        <w:rPr>
          <w:rFonts w:hint="eastAsia" w:ascii="Times New Roman" w:hAnsi="Times New Roman" w:eastAsia="宋体" w:cs="Times New Roman"/>
          <w:sz w:val="24"/>
          <w:szCs w:val="24"/>
          <w:lang w:val="en-US" w:eastAsia="zh-CN"/>
        </w:rPr>
        <w:t>2，厂区平面布置图，见附图三</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黑体" w:hAnsi="Calibri" w:eastAsia="黑体"/>
          <w:sz w:val="24"/>
        </w:rPr>
      </w:pPr>
      <w:bookmarkStart w:id="282" w:name="bookmark49"/>
      <w:bookmarkEnd w:id="282"/>
      <w:r>
        <w:rPr>
          <w:rFonts w:hint="eastAsia" w:ascii="黑体" w:hAnsi="Calibri" w:eastAsia="黑体"/>
          <w:sz w:val="24"/>
        </w:rPr>
        <w:t>表</w:t>
      </w:r>
      <w:r>
        <w:rPr>
          <w:rFonts w:hint="eastAsia" w:ascii="黑体" w:hAnsi="Calibri" w:eastAsia="黑体"/>
          <w:sz w:val="24"/>
          <w:lang w:val="en-US" w:eastAsia="zh-CN"/>
        </w:rPr>
        <w:t>3-2</w:t>
      </w:r>
      <w:r>
        <w:rPr>
          <w:rFonts w:hint="eastAsia" w:ascii="黑体" w:hAnsi="Calibri" w:eastAsia="黑体"/>
          <w:sz w:val="24"/>
        </w:rPr>
        <w:t xml:space="preserve">    厂区主要生产车间及构筑物一览表</w:t>
      </w:r>
    </w:p>
    <w:tbl>
      <w:tblPr>
        <w:tblStyle w:val="20"/>
        <w:tblW w:w="93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75"/>
        <w:gridCol w:w="1935"/>
        <w:gridCol w:w="870"/>
        <w:gridCol w:w="3705"/>
        <w:gridCol w:w="1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分类</w:t>
            </w: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车间及建筑物名称</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规格</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说明</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程</w:t>
            </w:r>
          </w:p>
        </w:tc>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sz w:val="21"/>
                <w:szCs w:val="21"/>
                <w:lang w:eastAsia="zh-CN"/>
              </w:rPr>
            </w:pPr>
            <w:r>
              <w:rPr>
                <w:rFonts w:hint="eastAsia" w:ascii="Times New Roman" w:hAnsi="Times New Roman" w:eastAsia="宋体" w:cs="Times New Roman"/>
                <w:b w:val="0"/>
                <w:bCs/>
                <w:sz w:val="21"/>
                <w:szCs w:val="21"/>
                <w:lang w:eastAsia="zh-CN"/>
              </w:rPr>
              <w:t>待宰间</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牛待宰圈</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highlight w:val="none"/>
                <w:lang w:val="en-US" w:eastAsia="zh-CN"/>
              </w:rPr>
              <w:t>300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按牛买入批次以及来源的不同，通过隔断进行分隔</w:t>
            </w:r>
          </w:p>
        </w:tc>
        <w:tc>
          <w:tcPr>
            <w:tcW w:w="16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按照牛羊屠宰线，分为牛待宰区和羊待宰区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sz w:val="21"/>
                <w:szCs w:val="21"/>
                <w:lang w:eastAsia="zh-CN"/>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sz w:val="21"/>
                <w:szCs w:val="21"/>
              </w:rPr>
            </w:pPr>
            <w:r>
              <w:rPr>
                <w:rFonts w:hint="eastAsia" w:ascii="Times New Roman" w:hAnsi="Times New Roman" w:eastAsia="宋体" w:cs="Times New Roman"/>
                <w:b w:val="0"/>
                <w:bCs/>
                <w:sz w:val="21"/>
                <w:szCs w:val="21"/>
                <w:lang w:eastAsia="zh-CN"/>
              </w:rPr>
              <w:t>羊待宰圈</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highlight w:val="none"/>
                <w:lang w:val="en-US" w:eastAsia="zh-CN"/>
              </w:rPr>
              <w:t>600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sz w:val="21"/>
                <w:szCs w:val="21"/>
              </w:rPr>
            </w:pPr>
            <w:r>
              <w:rPr>
                <w:rFonts w:hint="eastAsia" w:ascii="Times New Roman" w:hAnsi="Times New Roman" w:eastAsia="宋体" w:cs="Times New Roman"/>
                <w:b w:val="0"/>
                <w:bCs/>
                <w:sz w:val="21"/>
                <w:szCs w:val="21"/>
                <w:lang w:eastAsia="zh-CN"/>
              </w:rPr>
              <w:t>按羊买入批次以及来源的不同，通过隔断进行分隔</w:t>
            </w: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吊</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宰</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区</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牛屠宰区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70</w:t>
            </w:r>
            <w:r>
              <w:rPr>
                <w:rFonts w:hint="default" w:ascii="Times New Roman" w:hAnsi="Times New Roman" w:cs="Times New Roman"/>
                <w:sz w:val="21"/>
                <w:szCs w:val="21"/>
              </w:rPr>
              <w:t>0m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牛</w:t>
            </w:r>
            <w:r>
              <w:rPr>
                <w:rFonts w:hint="eastAsia" w:ascii="Times New Roman" w:hAnsi="Times New Roman" w:eastAsia="宋体" w:cs="Times New Roman"/>
                <w:sz w:val="21"/>
                <w:szCs w:val="21"/>
                <w:lang w:eastAsia="zh-CN"/>
              </w:rPr>
              <w:t>自动化</w:t>
            </w:r>
            <w:r>
              <w:rPr>
                <w:rFonts w:hint="default" w:ascii="Times New Roman" w:hAnsi="Times New Roman" w:cs="Times New Roman"/>
                <w:sz w:val="21"/>
                <w:szCs w:val="21"/>
              </w:rPr>
              <w:t>屠宰线</w:t>
            </w:r>
            <w:r>
              <w:rPr>
                <w:rFonts w:hint="eastAsia" w:ascii="Times New Roman" w:hAnsi="Times New Roman" w:eastAsia="宋体" w:cs="Times New Roman"/>
                <w:sz w:val="21"/>
                <w:szCs w:val="21"/>
                <w:lang w:eastAsia="zh-CN"/>
              </w:rPr>
              <w:t>（含职工进出通道）</w:t>
            </w:r>
          </w:p>
        </w:tc>
        <w:tc>
          <w:tcPr>
            <w:tcW w:w="16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1、牛、羊屠宰在一个</w:t>
            </w:r>
            <w:r>
              <w:rPr>
                <w:rFonts w:hint="eastAsia" w:ascii="Times New Roman" w:hAnsi="Times New Roman" w:eastAsia="宋体" w:cs="Times New Roman"/>
                <w:sz w:val="21"/>
                <w:szCs w:val="21"/>
                <w:lang w:eastAsia="zh-CN"/>
              </w:rPr>
              <w:t>联通</w:t>
            </w:r>
            <w:r>
              <w:rPr>
                <w:rFonts w:hint="default" w:ascii="Times New Roman" w:hAnsi="Times New Roman" w:cs="Times New Roman"/>
                <w:sz w:val="21"/>
                <w:szCs w:val="21"/>
              </w:rPr>
              <w:t>车间内</w:t>
            </w:r>
            <w:r>
              <w:rPr>
                <w:rFonts w:hint="eastAsia" w:ascii="Times New Roman" w:hAnsi="Times New Roman" w:eastAsia="宋体" w:cs="Times New Roman"/>
                <w:sz w:val="21"/>
                <w:szCs w:val="21"/>
                <w:lang w:eastAsia="zh-CN"/>
              </w:rPr>
              <w:t>，分区操作</w:t>
            </w:r>
            <w:r>
              <w:rPr>
                <w:rFonts w:hint="default" w:ascii="Times New Roman" w:hAnsi="Times New Roman" w:cs="Times New Roman"/>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牛羊</w:t>
            </w:r>
            <w:r>
              <w:rPr>
                <w:rFonts w:hint="eastAsia" w:ascii="Times New Roman" w:hAnsi="Times New Roman" w:eastAsia="宋体" w:cs="Times New Roman"/>
                <w:sz w:val="21"/>
                <w:szCs w:val="21"/>
                <w:lang w:eastAsia="zh-CN"/>
              </w:rPr>
              <w:t>肠胃内容物及粪便由风送系统集中处理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羊屠宰区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0m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羊</w:t>
            </w:r>
            <w:r>
              <w:rPr>
                <w:rFonts w:hint="eastAsia" w:ascii="Times New Roman" w:hAnsi="Times New Roman" w:eastAsia="宋体" w:cs="Times New Roman"/>
                <w:sz w:val="21"/>
                <w:szCs w:val="21"/>
                <w:lang w:eastAsia="zh-CN"/>
              </w:rPr>
              <w:t>自动化</w:t>
            </w:r>
            <w:r>
              <w:rPr>
                <w:rFonts w:hint="default" w:ascii="Times New Roman" w:hAnsi="Times New Roman" w:cs="Times New Roman"/>
                <w:sz w:val="21"/>
                <w:szCs w:val="21"/>
              </w:rPr>
              <w:t>屠宰线</w:t>
            </w: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Arial"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eastAsia="zh-CN"/>
              </w:rPr>
              <w:t>内脏</w:t>
            </w:r>
            <w:r>
              <w:rPr>
                <w:rFonts w:hint="default" w:ascii="Times New Roman" w:hAnsi="Times New Roman" w:cs="Times New Roman"/>
                <w:sz w:val="21"/>
                <w:szCs w:val="21"/>
              </w:rPr>
              <w:t>处理间</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sz w:val="21"/>
                <w:szCs w:val="21"/>
                <w:lang w:val="en-US" w:eastAsia="zh-CN"/>
              </w:rPr>
              <w:t>3</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eastAsia="zh-CN"/>
              </w:rPr>
              <w:t>牛羊内脏的集中清洗和收集</w:t>
            </w: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eastAsia="zh-CN"/>
              </w:rPr>
              <w:t>排酸间</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Arial" w:cs="Times New Roman"/>
                <w:snapToGrid w:val="0"/>
                <w:color w:val="000000"/>
                <w:kern w:val="0"/>
                <w:sz w:val="21"/>
                <w:szCs w:val="21"/>
                <w:lang w:val="en-US" w:eastAsia="en-US" w:bidi="ar-SA"/>
              </w:rPr>
            </w:pP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0~4℃冷却排酸，24h</w:t>
            </w: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精细加工</w:t>
            </w:r>
            <w:r>
              <w:rPr>
                <w:rFonts w:hint="default" w:ascii="Times New Roman" w:hAnsi="Times New Roman" w:cs="Times New Roman"/>
                <w:sz w:val="21"/>
                <w:szCs w:val="21"/>
              </w:rPr>
              <w:t>车间</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速冻间</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sz w:val="21"/>
                <w:szCs w:val="21"/>
              </w:rPr>
              <w:t>-35℃短期速冻</w:t>
            </w:r>
          </w:p>
        </w:tc>
        <w:tc>
          <w:tcPr>
            <w:tcW w:w="16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牛、羊肉的分割车间与冷库区相互通用。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highlight w:val="none"/>
                <w:lang w:eastAsia="zh-CN"/>
              </w:rPr>
              <w:t>检验化验室</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主要为</w:t>
            </w:r>
            <w:r>
              <w:rPr>
                <w:rFonts w:hint="default" w:ascii="Times New Roman" w:hAnsi="Times New Roman" w:cs="Times New Roman"/>
                <w:sz w:val="21"/>
                <w:szCs w:val="21"/>
                <w:lang w:eastAsia="zh-CN"/>
              </w:rPr>
              <w:t>宰后</w:t>
            </w:r>
            <w:r>
              <w:rPr>
                <w:rFonts w:hint="eastAsia" w:ascii="Times New Roman" w:hAnsi="Times New Roman" w:cs="Times New Roman"/>
                <w:sz w:val="21"/>
                <w:szCs w:val="21"/>
                <w:lang w:eastAsia="zh-CN"/>
              </w:rPr>
              <w:t>肉质</w:t>
            </w:r>
            <w:r>
              <w:rPr>
                <w:rFonts w:hint="default" w:ascii="Times New Roman" w:hAnsi="Times New Roman" w:cs="Times New Roman"/>
                <w:sz w:val="21"/>
                <w:szCs w:val="21"/>
                <w:lang w:eastAsia="zh-CN"/>
              </w:rPr>
              <w:t>检验</w:t>
            </w: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ascii="Times New Roman" w:hAnsi="Times New Roman" w:eastAsia="宋体" w:cs="Times New Roman"/>
                <w:sz w:val="21"/>
                <w:szCs w:val="21"/>
                <w:lang w:eastAsia="zh-CN"/>
              </w:rPr>
              <w:t>精细分割</w:t>
            </w:r>
            <w:r>
              <w:rPr>
                <w:rFonts w:hint="default" w:ascii="Times New Roman" w:hAnsi="Times New Roman" w:cs="Times New Roman"/>
                <w:sz w:val="21"/>
                <w:szCs w:val="21"/>
              </w:rPr>
              <w:t>线</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highlight w:val="yellow"/>
              </w:rPr>
            </w:pPr>
            <w:r>
              <w:rPr>
                <w:rFonts w:hint="eastAsia" w:ascii="Times New Roman" w:hAnsi="Times New Roman" w:cs="Times New Roman"/>
                <w:sz w:val="21"/>
                <w:szCs w:val="21"/>
                <w:lang w:val="en-US" w:eastAsia="zh-CN"/>
              </w:rPr>
              <w:t>2条</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根据市场需求对牛羊肉加工</w:t>
            </w: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成品包装线</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1条</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牛羊肉的装袋密封</w:t>
            </w: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冷</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区</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sz w:val="21"/>
                <w:szCs w:val="21"/>
                <w:lang w:val="en-US" w:eastAsia="zh-CN"/>
              </w:rPr>
              <w:t>1#冷库</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highlight w:val="yellow"/>
              </w:rPr>
            </w:pPr>
            <w:r>
              <w:rPr>
                <w:rFonts w:hint="eastAsia" w:ascii="Times New Roman" w:hAnsi="Times New Roman" w:eastAsia="宋体" w:cs="Times New Roman"/>
                <w:b w:val="0"/>
                <w:bCs/>
                <w:sz w:val="21"/>
                <w:szCs w:val="21"/>
                <w:lang w:val="en-US" w:eastAsia="zh-CN"/>
              </w:rPr>
              <w:t>400</w:t>
            </w:r>
            <w:r>
              <w:rPr>
                <w:rFonts w:hint="default" w:ascii="Times New Roman" w:hAnsi="Times New Roman" w:eastAsia="宋体" w:cs="Times New Roman"/>
                <w:b w:val="0"/>
                <w:bCs/>
                <w:sz w:val="21"/>
                <w:szCs w:val="21"/>
              </w:rPr>
              <w:t>m</w:t>
            </w:r>
            <w:r>
              <w:rPr>
                <w:rFonts w:hint="default" w:ascii="Times New Roman" w:hAnsi="Times New Roman" w:eastAsia="宋体" w:cs="Times New Roman"/>
                <w:b w:val="0"/>
                <w:bCs/>
                <w:sz w:val="21"/>
                <w:szCs w:val="21"/>
                <w:vertAlign w:val="superscript"/>
              </w:rPr>
              <w:t>2</w:t>
            </w:r>
          </w:p>
        </w:tc>
        <w:tc>
          <w:tcPr>
            <w:tcW w:w="37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-20℃短期或长期存储</w:t>
            </w:r>
          </w:p>
        </w:tc>
        <w:tc>
          <w:tcPr>
            <w:tcW w:w="16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容量1500t，800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w:t>
            </w:r>
            <w:r>
              <w:rPr>
                <w:rFonts w:hint="eastAsia" w:ascii="Times New Roman" w:hAnsi="Times New Roman" w:eastAsia="宋体" w:cs="Times New Roman"/>
                <w:sz w:val="21"/>
                <w:szCs w:val="21"/>
                <w:lang w:val="en-US" w:eastAsia="zh-CN"/>
              </w:rPr>
              <w:t>冷库</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highlight w:val="yellow"/>
              </w:rPr>
            </w:pPr>
            <w:r>
              <w:rPr>
                <w:rFonts w:hint="eastAsia" w:ascii="Times New Roman" w:hAnsi="Times New Roman" w:eastAsia="宋体" w:cs="Times New Roman"/>
                <w:b w:val="0"/>
                <w:bCs/>
                <w:sz w:val="21"/>
                <w:szCs w:val="21"/>
                <w:lang w:val="en-US" w:eastAsia="zh-CN"/>
              </w:rPr>
              <w:t>40</w:t>
            </w:r>
            <w:r>
              <w:rPr>
                <w:rFonts w:hint="default" w:ascii="Times New Roman" w:hAnsi="Times New Roman" w:eastAsia="宋体" w:cs="Times New Roman"/>
                <w:b w:val="0"/>
                <w:bCs/>
                <w:sz w:val="21"/>
                <w:szCs w:val="21"/>
                <w:lang w:val="en-US" w:eastAsia="zh-CN"/>
              </w:rPr>
              <w:t>0</w:t>
            </w:r>
            <w:r>
              <w:rPr>
                <w:rFonts w:hint="default" w:ascii="Times New Roman" w:hAnsi="Times New Roman" w:eastAsia="宋体" w:cs="Times New Roman"/>
                <w:b w:val="0"/>
                <w:bCs/>
                <w:sz w:val="21"/>
                <w:szCs w:val="21"/>
              </w:rPr>
              <w:t>m</w:t>
            </w:r>
            <w:r>
              <w:rPr>
                <w:rFonts w:hint="default" w:ascii="Times New Roman" w:hAnsi="Times New Roman" w:eastAsia="宋体" w:cs="Times New Roman"/>
                <w:b w:val="0"/>
                <w:bCs/>
                <w:sz w:val="21"/>
                <w:szCs w:val="21"/>
                <w:vertAlign w:val="superscript"/>
              </w:rPr>
              <w:t>2</w:t>
            </w:r>
          </w:p>
        </w:tc>
        <w:tc>
          <w:tcPr>
            <w:tcW w:w="37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rPr>
            </w:pP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辅助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制冷机房</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制冷设备间</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观光通道</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00m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综合办公楼</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66</w:t>
            </w:r>
            <w:r>
              <w:rPr>
                <w:rFonts w:hint="default" w:ascii="Times New Roman" w:hAnsi="Times New Roman" w:cs="Times New Roman"/>
                <w:sz w:val="21"/>
                <w:szCs w:val="21"/>
              </w:rPr>
              <w:t>0m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批发市场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00m</w:t>
            </w:r>
            <w:r>
              <w:rPr>
                <w:rFonts w:hint="default" w:ascii="Times New Roman" w:hAnsi="Times New Roman" w:cs="Times New Roman"/>
                <w:sz w:val="21"/>
                <w:szCs w:val="21"/>
                <w:vertAlign w:val="superscript"/>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40间</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公用工程</w:t>
            </w: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供电</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厂区</w:t>
            </w:r>
            <w:r>
              <w:rPr>
                <w:rFonts w:hint="default" w:ascii="Times New Roman" w:hAnsi="Times New Roman" w:cs="Times New Roman"/>
                <w:color w:val="auto"/>
                <w:sz w:val="21"/>
                <w:szCs w:val="21"/>
              </w:rPr>
              <w:t>供电电网</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供水</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rPr>
              <w:t>由厂区</w:t>
            </w:r>
            <w:r>
              <w:rPr>
                <w:rFonts w:hint="default" w:ascii="Times New Roman" w:hAnsi="Times New Roman" w:cs="Times New Roman"/>
                <w:color w:val="auto"/>
                <w:sz w:val="21"/>
                <w:szCs w:val="21"/>
                <w:highlight w:val="none"/>
                <w:lang w:eastAsia="zh-CN"/>
              </w:rPr>
              <w:t>自来水</w:t>
            </w:r>
            <w:r>
              <w:rPr>
                <w:rFonts w:hint="default" w:ascii="Times New Roman" w:hAnsi="Times New Roman" w:cs="Times New Roman"/>
                <w:color w:val="auto"/>
                <w:sz w:val="21"/>
                <w:szCs w:val="21"/>
                <w:highlight w:val="none"/>
              </w:rPr>
              <w:t>供给</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供热</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本项目不涉及</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环保</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废水</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化粪池</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eastAsia="zh-CN"/>
              </w:rPr>
              <w:t>对</w:t>
            </w:r>
            <w:r>
              <w:rPr>
                <w:rFonts w:hint="default" w:ascii="Times New Roman" w:hAnsi="Times New Roman" w:cs="Times New Roman"/>
                <w:sz w:val="21"/>
                <w:szCs w:val="21"/>
                <w:u w:val="single"/>
              </w:rPr>
              <w:t>生活污水</w:t>
            </w:r>
            <w:r>
              <w:rPr>
                <w:rFonts w:hint="eastAsia" w:ascii="Times New Roman" w:hAnsi="Times New Roman" w:eastAsia="宋体" w:cs="Times New Roman"/>
                <w:sz w:val="21"/>
                <w:szCs w:val="21"/>
                <w:u w:val="single"/>
                <w:lang w:eastAsia="zh-CN"/>
              </w:rPr>
              <w:t>进行预处理</w:t>
            </w:r>
          </w:p>
        </w:tc>
        <w:tc>
          <w:tcPr>
            <w:tcW w:w="16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厂区废水经污水处理站处理后，达标排入市政管网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u w:val="single"/>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污水处理站</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sz w:val="21"/>
                <w:szCs w:val="21"/>
                <w:u w:val="single"/>
              </w:rPr>
            </w:pPr>
            <w:r>
              <w:rPr>
                <w:rFonts w:hint="eastAsia" w:ascii="Times New Roman" w:hAnsi="Times New Roman" w:cs="Times New Roman"/>
                <w:sz w:val="21"/>
                <w:szCs w:val="21"/>
                <w:highlight w:val="none"/>
                <w:u w:val="single"/>
                <w:lang w:val="en-US" w:eastAsia="zh-CN"/>
              </w:rPr>
              <w:t>3</w:t>
            </w:r>
            <w:r>
              <w:rPr>
                <w:rFonts w:hint="default" w:ascii="Times New Roman" w:hAnsi="Times New Roman" w:cs="Times New Roman"/>
                <w:sz w:val="21"/>
                <w:szCs w:val="21"/>
                <w:highlight w:val="none"/>
                <w:u w:val="single"/>
                <w:lang w:val="en-US" w:eastAsia="zh-CN"/>
              </w:rPr>
              <w:t>0</w:t>
            </w:r>
            <w:r>
              <w:rPr>
                <w:rFonts w:hint="default" w:ascii="Times New Roman" w:hAnsi="Times New Roman" w:cs="Times New Roman"/>
                <w:sz w:val="21"/>
                <w:szCs w:val="21"/>
                <w:highlight w:val="none"/>
                <w:u w:val="single"/>
              </w:rPr>
              <w:t>0m</w:t>
            </w:r>
            <w:r>
              <w:rPr>
                <w:rFonts w:hint="default" w:ascii="Times New Roman" w:hAnsi="Times New Roman" w:cs="Times New Roman"/>
                <w:sz w:val="21"/>
                <w:szCs w:val="21"/>
                <w:highlight w:val="none"/>
                <w:u w:val="single"/>
                <w:vertAlign w:val="superscript"/>
              </w:rPr>
              <w:t>3</w:t>
            </w:r>
            <w:r>
              <w:rPr>
                <w:rFonts w:hint="default" w:ascii="Times New Roman" w:hAnsi="Times New Roman" w:cs="Times New Roman"/>
                <w:sz w:val="21"/>
                <w:szCs w:val="21"/>
                <w:highlight w:val="none"/>
                <w:u w:val="single"/>
              </w:rPr>
              <w:t>/d</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highlight w:val="none"/>
                <w:u w:val="single"/>
                <w:lang w:val="en-US" w:eastAsia="zh-CN"/>
              </w:rPr>
              <w:t>采用“格栅气浮+水解酸化+生物接触氧化+消毒”工艺</w:t>
            </w:r>
            <w:r>
              <w:rPr>
                <w:rFonts w:hint="eastAsia" w:ascii="Times New Roman" w:hAnsi="Times New Roman" w:cs="Times New Roman"/>
                <w:sz w:val="21"/>
                <w:szCs w:val="21"/>
                <w:highlight w:val="none"/>
                <w:u w:val="single"/>
                <w:lang w:val="en-US" w:eastAsia="zh-CN"/>
              </w:rPr>
              <w:t>，处理待宰间废水、屠宰废水、车辆冲洗水以及职工生活水</w:t>
            </w:r>
          </w:p>
        </w:tc>
        <w:tc>
          <w:tcPr>
            <w:tcW w:w="16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废气</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sz w:val="21"/>
                <w:szCs w:val="21"/>
                <w:lang w:eastAsia="zh-CN"/>
              </w:rPr>
              <w:t>除臭剂、密闭</w:t>
            </w:r>
            <w:r>
              <w:rPr>
                <w:rFonts w:hint="eastAsia" w:ascii="Times New Roman" w:hAnsi="Times New Roman" w:cs="Times New Roman"/>
                <w:sz w:val="21"/>
                <w:szCs w:val="21"/>
                <w:lang w:eastAsia="zh-CN"/>
              </w:rPr>
              <w:t>、及时清运</w:t>
            </w:r>
            <w:r>
              <w:rPr>
                <w:rFonts w:hint="default" w:ascii="Times New Roman" w:hAnsi="Times New Roman" w:cs="Times New Roman"/>
                <w:sz w:val="21"/>
                <w:szCs w:val="21"/>
                <w:lang w:eastAsia="zh-CN"/>
              </w:rPr>
              <w:t>以及生物除臭塔</w:t>
            </w:r>
            <w:r>
              <w:rPr>
                <w:rFonts w:hint="eastAsia" w:ascii="Times New Roman" w:hAnsi="Times New Roman" w:cs="Times New Roman"/>
                <w:sz w:val="21"/>
                <w:szCs w:val="21"/>
                <w:lang w:val="en-US" w:eastAsia="zh-CN"/>
              </w:rPr>
              <w:t>+15m排气筒</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通过污染控制设施以及环保管理措施，对污水处理站、待宰间以及屠宰间的恶臭气体进行收集和处理</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 w:val="21"/>
                <w:szCs w:val="21"/>
                <w:lang w:eastAsia="zh-CN"/>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 w:val="21"/>
                <w:szCs w:val="21"/>
                <w:lang w:eastAsia="zh-CN"/>
              </w:rPr>
            </w:pPr>
            <w:r>
              <w:rPr>
                <w:rFonts w:hint="eastAsia" w:ascii="Times New Roman" w:hAnsi="Times New Roman" w:cs="Times New Roman"/>
                <w:sz w:val="21"/>
                <w:szCs w:val="21"/>
                <w:lang w:eastAsia="zh-CN"/>
              </w:rPr>
              <w:t>油烟净化器</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ascii="Times New Roman" w:hAnsi="Times New Roman" w:cs="Times New Roman"/>
                <w:bCs/>
                <w:sz w:val="21"/>
                <w:szCs w:val="21"/>
                <w:lang w:eastAsia="zh-CN"/>
              </w:rPr>
              <w:t>确保厂区餐饮油烟达标排放</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噪声</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rPr>
              <w:t>车间隔声、基础减振等措施降噪</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 w:val="21"/>
                <w:szCs w:val="21"/>
              </w:rPr>
            </w:pPr>
            <w:r>
              <w:rPr>
                <w:rFonts w:hint="default" w:ascii="Times New Roman" w:hAnsi="Times New Roman" w:cs="Times New Roman"/>
                <w:color w:val="auto"/>
                <w:sz w:val="21"/>
                <w:szCs w:val="21"/>
              </w:rPr>
              <w:t>固废</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一般固废暂存间</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10m</w:t>
            </w:r>
            <w:r>
              <w:rPr>
                <w:rFonts w:hint="eastAsia" w:ascii="Times New Roman" w:hAnsi="Times New Roman" w:cs="Times New Roman"/>
                <w:sz w:val="21"/>
                <w:szCs w:val="21"/>
                <w:vertAlign w:val="superscript"/>
                <w:lang w:val="en-US" w:eastAsia="zh-CN"/>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厂区收集后，分类储存，并及时转运</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危废暂存间</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5m</w:t>
            </w:r>
            <w:r>
              <w:rPr>
                <w:rFonts w:hint="eastAsia" w:ascii="Times New Roman" w:hAnsi="Times New Roman" w:cs="Times New Roman"/>
                <w:sz w:val="21"/>
                <w:szCs w:val="21"/>
                <w:vertAlign w:val="superscript"/>
                <w:lang w:val="en-US" w:eastAsia="zh-CN"/>
              </w:rPr>
              <w:t>2</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分类暂存，定期转移至资质单位处理</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安全处置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垃圾收集箱</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color w:val="auto"/>
                <w:sz w:val="21"/>
                <w:szCs w:val="21"/>
                <w:highlight w:val="none"/>
                <w:lang w:val="en-US" w:eastAsia="zh-CN"/>
              </w:rPr>
              <w:t>若干</w:t>
            </w: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职工生活垃圾的收集</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生活垃圾场卫生填埋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土壤及地下水</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a、定期检查污水处理设施、废水暂存池等；b、定期检查屠宰废水的收集处理情况</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生态保护</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厂区闲置空地均进行植树种草，不允许存在裸露土地</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24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环境风险防范</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事故池防范废水外排；加强人工检查防范制冷剂、次氯酸钠泄露</w:t>
            </w:r>
          </w:p>
        </w:tc>
        <w:tc>
          <w:tcPr>
            <w:tcW w:w="1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371"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说明：整个生产车间除冷库区</w:t>
            </w:r>
            <w:r>
              <w:rPr>
                <w:rFonts w:hint="default" w:ascii="Times New Roman" w:hAnsi="Times New Roman" w:cs="Times New Roman"/>
                <w:sz w:val="21"/>
                <w:szCs w:val="21"/>
                <w:lang w:eastAsia="zh-CN"/>
              </w:rPr>
              <w:t>保持低温</w:t>
            </w:r>
            <w:r>
              <w:rPr>
                <w:rFonts w:hint="default" w:ascii="Times New Roman" w:hAnsi="Times New Roman" w:cs="Times New Roman"/>
                <w:sz w:val="21"/>
                <w:szCs w:val="21"/>
              </w:rPr>
              <w:t>外，其余</w:t>
            </w:r>
            <w:r>
              <w:rPr>
                <w:rFonts w:hint="default" w:ascii="Times New Roman" w:hAnsi="Times New Roman" w:cs="Times New Roman"/>
                <w:sz w:val="21"/>
                <w:szCs w:val="21"/>
                <w:lang w:eastAsia="zh-CN"/>
              </w:rPr>
              <w:t>各生产区域</w:t>
            </w:r>
            <w:r>
              <w:rPr>
                <w:rFonts w:hint="default" w:ascii="Times New Roman" w:hAnsi="Times New Roman" w:cs="Times New Roman"/>
                <w:sz w:val="21"/>
                <w:szCs w:val="21"/>
              </w:rPr>
              <w:t>均保持常温。</w:t>
            </w:r>
          </w:p>
        </w:tc>
      </w:tr>
    </w:tbl>
    <w:p>
      <w:pPr>
        <w:spacing w:before="269" w:line="227" w:lineRule="auto"/>
        <w:outlineLvl w:val="3"/>
        <w:rPr>
          <w:rFonts w:ascii="楷体" w:hAnsi="楷体" w:eastAsia="楷体" w:cs="楷体"/>
          <w:sz w:val="28"/>
          <w:szCs w:val="28"/>
        </w:rPr>
      </w:pPr>
      <w:r>
        <w:rPr>
          <w:rFonts w:ascii="Times New Roman" w:hAnsi="Times New Roman" w:eastAsia="Times New Roman" w:cs="Times New Roman"/>
          <w:spacing w:val="-1"/>
          <w:sz w:val="28"/>
          <w:szCs w:val="28"/>
        </w:rPr>
        <w:t xml:space="preserve">3.1.4  </w:t>
      </w:r>
      <w:r>
        <w:rPr>
          <w:rFonts w:ascii="楷体" w:hAnsi="楷体" w:eastAsia="楷体" w:cs="楷体"/>
          <w:spacing w:val="-1"/>
          <w:sz w:val="28"/>
          <w:szCs w:val="28"/>
        </w:rPr>
        <w:t>工程主要设备</w:t>
      </w:r>
    </w:p>
    <w:p>
      <w:pPr>
        <w:spacing w:before="129" w:line="499" w:lineRule="exact"/>
        <w:ind w:left="606"/>
        <w:rPr>
          <w:rFonts w:ascii="宋体" w:hAnsi="宋体" w:eastAsia="宋体" w:cs="宋体"/>
          <w:sz w:val="24"/>
          <w:szCs w:val="24"/>
        </w:rPr>
      </w:pPr>
      <w:r>
        <w:rPr>
          <w:rFonts w:ascii="宋体" w:hAnsi="宋体" w:eastAsia="宋体" w:cs="宋体"/>
          <w:spacing w:val="2"/>
          <w:position w:val="19"/>
          <w:sz w:val="24"/>
          <w:szCs w:val="24"/>
        </w:rPr>
        <w:t>项目主要设备有：屠宰成套设备、同步卫检设备及操作控制系统等，并配套有</w:t>
      </w:r>
    </w:p>
    <w:p>
      <w:pPr>
        <w:spacing w:line="219" w:lineRule="auto"/>
        <w:ind w:left="124"/>
        <w:rPr>
          <w:rFonts w:ascii="宋体" w:hAnsi="宋体" w:eastAsia="宋体" w:cs="宋体"/>
          <w:spacing w:val="-2"/>
          <w:sz w:val="24"/>
          <w:szCs w:val="24"/>
        </w:rPr>
      </w:pPr>
      <w:r>
        <w:rPr>
          <w:rFonts w:ascii="宋体" w:hAnsi="宋体" w:eastAsia="宋体" w:cs="宋体"/>
          <w:spacing w:val="-2"/>
          <w:sz w:val="24"/>
          <w:szCs w:val="24"/>
        </w:rPr>
        <w:t>冷藏库，工程主要设备（设施）见表</w:t>
      </w:r>
      <w:r>
        <w:rPr>
          <w:rFonts w:ascii="Times New Roman" w:hAnsi="Times New Roman" w:eastAsia="Times New Roman" w:cs="Times New Roman"/>
          <w:spacing w:val="-2"/>
          <w:sz w:val="24"/>
          <w:szCs w:val="24"/>
        </w:rPr>
        <w:t>3-</w:t>
      </w:r>
      <w:r>
        <w:rPr>
          <w:rFonts w:hint="eastAsia" w:ascii="Times New Roman" w:hAnsi="Times New Roman" w:eastAsia="宋体" w:cs="Times New Roman"/>
          <w:spacing w:val="-2"/>
          <w:sz w:val="24"/>
          <w:szCs w:val="24"/>
          <w:lang w:val="en-US" w:eastAsia="zh-CN"/>
        </w:rPr>
        <w:t>3</w:t>
      </w:r>
      <w:r>
        <w:rPr>
          <w:rFonts w:hint="eastAsia" w:ascii="Times New Roman" w:hAnsi="Times New Roman" w:eastAsia="宋体" w:cs="Times New Roman"/>
          <w:spacing w:val="-2"/>
          <w:sz w:val="24"/>
          <w:szCs w:val="24"/>
          <w:lang w:eastAsia="zh-CN"/>
        </w:rPr>
        <w:t>和</w:t>
      </w:r>
      <w:r>
        <w:rPr>
          <w:rFonts w:ascii="宋体" w:hAnsi="宋体" w:eastAsia="宋体" w:cs="宋体"/>
          <w:spacing w:val="-2"/>
          <w:sz w:val="24"/>
          <w:szCs w:val="24"/>
        </w:rPr>
        <w:t>表</w:t>
      </w:r>
      <w:r>
        <w:rPr>
          <w:rFonts w:ascii="Times New Roman" w:hAnsi="Times New Roman" w:eastAsia="Times New Roman" w:cs="Times New Roman"/>
          <w:spacing w:val="-2"/>
          <w:sz w:val="24"/>
          <w:szCs w:val="24"/>
        </w:rPr>
        <w:t>3-</w:t>
      </w:r>
      <w:r>
        <w:rPr>
          <w:rFonts w:hint="eastAsia" w:ascii="Times New Roman" w:hAnsi="Times New Roman" w:eastAsia="宋体" w:cs="Times New Roman"/>
          <w:spacing w:val="-2"/>
          <w:sz w:val="24"/>
          <w:szCs w:val="24"/>
          <w:lang w:val="en-US" w:eastAsia="zh-CN"/>
        </w:rPr>
        <w:t>4</w:t>
      </w:r>
      <w:r>
        <w:rPr>
          <w:rFonts w:ascii="宋体" w:hAnsi="宋体" w:eastAsia="宋体" w:cs="宋体"/>
          <w:spacing w:val="-2"/>
          <w:sz w:val="24"/>
          <w:szCs w:val="24"/>
        </w:rPr>
        <w:t>。</w:t>
      </w:r>
    </w:p>
    <w:p>
      <w:pPr>
        <w:widowControl w:val="0"/>
        <w:kinsoku/>
        <w:autoSpaceDE/>
        <w:autoSpaceDN/>
        <w:adjustRightInd w:val="0"/>
        <w:snapToGrid w:val="0"/>
        <w:spacing w:line="520" w:lineRule="exact"/>
        <w:ind w:firstLine="480" w:firstLineChars="200"/>
        <w:jc w:val="both"/>
        <w:textAlignment w:val="auto"/>
        <w:rPr>
          <w:rFonts w:ascii="Calibri" w:hAnsi="Calibri" w:eastAsia="宋体" w:cs="Times New Roman"/>
          <w:snapToGrid/>
          <w:kern w:val="2"/>
          <w:sz w:val="24"/>
          <w:szCs w:val="24"/>
          <w:lang w:eastAsia="zh-CN"/>
        </w:rPr>
      </w:pPr>
      <w:r>
        <w:rPr>
          <w:rFonts w:hint="eastAsia" w:ascii="Calibri" w:hAnsi="Calibri" w:eastAsia="宋体" w:cs="Times New Roman"/>
          <w:snapToGrid/>
          <w:kern w:val="2"/>
          <w:sz w:val="24"/>
          <w:szCs w:val="24"/>
          <w:lang w:eastAsia="zh-CN"/>
        </w:rPr>
        <w:t>（</w:t>
      </w:r>
      <w:r>
        <w:rPr>
          <w:rFonts w:hint="eastAsia" w:ascii="Calibri" w:hAnsi="Calibri" w:eastAsia="宋体" w:cs="Times New Roman"/>
          <w:snapToGrid/>
          <w:kern w:val="2"/>
          <w:sz w:val="24"/>
          <w:szCs w:val="24"/>
          <w:lang w:val="en-US" w:eastAsia="zh-CN"/>
        </w:rPr>
        <w:t>1</w:t>
      </w:r>
      <w:r>
        <w:rPr>
          <w:rFonts w:hint="eastAsia" w:ascii="Calibri" w:hAnsi="Calibri" w:eastAsia="宋体" w:cs="Times New Roman"/>
          <w:snapToGrid/>
          <w:kern w:val="2"/>
          <w:sz w:val="24"/>
          <w:szCs w:val="24"/>
          <w:lang w:eastAsia="zh-CN"/>
        </w:rPr>
        <w:t>）吊宰区</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snapToGrid/>
          <w:kern w:val="2"/>
          <w:sz w:val="24"/>
          <w:szCs w:val="24"/>
          <w:lang w:eastAsia="zh-CN"/>
        </w:rPr>
      </w:pPr>
      <w:r>
        <w:rPr>
          <w:rFonts w:ascii="Times New Roman" w:hAnsi="Times New Roman" w:eastAsia="黑体" w:cs="Times New Roman"/>
          <w:snapToGrid/>
          <w:kern w:val="2"/>
          <w:sz w:val="24"/>
          <w:szCs w:val="24"/>
          <w:lang w:eastAsia="zh-CN"/>
        </w:rPr>
        <w:t>表</w:t>
      </w:r>
      <w:r>
        <w:rPr>
          <w:rFonts w:hint="eastAsia" w:ascii="Times New Roman" w:hAnsi="Times New Roman" w:eastAsia="黑体" w:cs="Times New Roman"/>
          <w:snapToGrid/>
          <w:kern w:val="2"/>
          <w:sz w:val="24"/>
          <w:szCs w:val="24"/>
          <w:lang w:val="en-US" w:eastAsia="zh-CN"/>
        </w:rPr>
        <w:t xml:space="preserve">3-3    </w:t>
      </w:r>
      <w:r>
        <w:rPr>
          <w:rFonts w:hint="eastAsia" w:ascii="Times New Roman" w:hAnsi="Times New Roman" w:eastAsia="黑体" w:cs="Times New Roman"/>
          <w:snapToGrid/>
          <w:kern w:val="2"/>
          <w:sz w:val="24"/>
          <w:szCs w:val="24"/>
          <w:lang w:eastAsia="zh-CN"/>
        </w:rPr>
        <w:t>牛、羊屠宰</w:t>
      </w:r>
      <w:r>
        <w:rPr>
          <w:rFonts w:ascii="Times New Roman" w:hAnsi="Times New Roman" w:eastAsia="黑体" w:cs="Times New Roman"/>
          <w:snapToGrid/>
          <w:kern w:val="2"/>
          <w:sz w:val="24"/>
          <w:szCs w:val="24"/>
          <w:lang w:eastAsia="zh-CN"/>
        </w:rPr>
        <w:t>主要生产设备一览表</w:t>
      </w:r>
    </w:p>
    <w:tbl>
      <w:tblPr>
        <w:tblStyle w:val="20"/>
        <w:tblW w:w="936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109"/>
        <w:gridCol w:w="1087"/>
        <w:gridCol w:w="660"/>
        <w:gridCol w:w="2803"/>
        <w:gridCol w:w="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kern w:val="2"/>
                <w:sz w:val="21"/>
                <w:szCs w:val="21"/>
                <w:u w:val="single"/>
                <w:lang w:eastAsia="zh-CN"/>
              </w:rPr>
            </w:pPr>
            <w:r>
              <w:rPr>
                <w:rFonts w:hint="default" w:ascii="Times New Roman" w:hAnsi="Times New Roman" w:eastAsia="宋体" w:cs="Times New Roman"/>
                <w:b/>
                <w:snapToGrid/>
                <w:kern w:val="2"/>
                <w:sz w:val="21"/>
                <w:szCs w:val="21"/>
                <w:u w:val="single"/>
                <w:lang w:eastAsia="zh-CN"/>
              </w:rPr>
              <w:t>分类</w:t>
            </w: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kern w:val="2"/>
                <w:sz w:val="21"/>
                <w:szCs w:val="21"/>
                <w:highlight w:val="none"/>
                <w:u w:val="single"/>
                <w:lang w:eastAsia="zh-CN"/>
              </w:rPr>
            </w:pPr>
            <w:r>
              <w:rPr>
                <w:rFonts w:hint="default" w:ascii="Times New Roman" w:hAnsi="Times New Roman" w:eastAsia="宋体" w:cs="Times New Roman"/>
                <w:b/>
                <w:snapToGrid/>
                <w:kern w:val="2"/>
                <w:sz w:val="21"/>
                <w:szCs w:val="21"/>
                <w:highlight w:val="none"/>
                <w:u w:val="single"/>
                <w:lang w:eastAsia="zh-CN"/>
              </w:rPr>
              <w:t>牛屠宰设备</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kern w:val="2"/>
                <w:sz w:val="21"/>
                <w:szCs w:val="21"/>
                <w:highlight w:val="none"/>
                <w:u w:val="single"/>
                <w:lang w:eastAsia="zh-CN"/>
              </w:rPr>
            </w:pPr>
            <w:r>
              <w:rPr>
                <w:rFonts w:hint="default" w:ascii="Times New Roman" w:hAnsi="Times New Roman" w:eastAsia="宋体" w:cs="Times New Roman"/>
                <w:b/>
                <w:snapToGrid/>
                <w:kern w:val="2"/>
                <w:sz w:val="21"/>
                <w:szCs w:val="21"/>
                <w:highlight w:val="none"/>
                <w:u w:val="single"/>
                <w:lang w:eastAsia="zh-CN"/>
              </w:rPr>
              <w:t>数量</w:t>
            </w:r>
          </w:p>
        </w:tc>
        <w:tc>
          <w:tcPr>
            <w:tcW w:w="34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kern w:val="2"/>
                <w:sz w:val="21"/>
                <w:szCs w:val="21"/>
                <w:highlight w:val="none"/>
                <w:u w:val="single"/>
                <w:lang w:eastAsia="zh-CN"/>
              </w:rPr>
            </w:pPr>
            <w:r>
              <w:rPr>
                <w:rFonts w:hint="default" w:ascii="Times New Roman" w:hAnsi="Times New Roman" w:eastAsia="宋体" w:cs="Times New Roman"/>
                <w:b/>
                <w:snapToGrid/>
                <w:kern w:val="2"/>
                <w:sz w:val="21"/>
                <w:szCs w:val="21"/>
                <w:highlight w:val="none"/>
                <w:u w:val="single"/>
                <w:lang w:eastAsia="zh-CN"/>
              </w:rPr>
              <w:t>羊屠宰设备</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kern w:val="2"/>
                <w:sz w:val="21"/>
                <w:szCs w:val="21"/>
                <w:u w:val="single"/>
                <w:lang w:eastAsia="zh-CN"/>
              </w:rPr>
            </w:pPr>
            <w:r>
              <w:rPr>
                <w:rFonts w:hint="default" w:ascii="Times New Roman" w:hAnsi="Times New Roman" w:eastAsia="宋体" w:cs="Times New Roman"/>
                <w:b/>
                <w:snapToGrid/>
                <w:kern w:val="2"/>
                <w:sz w:val="21"/>
                <w:szCs w:val="21"/>
                <w:u w:val="single"/>
                <w:lang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r>
              <w:rPr>
                <w:rFonts w:hint="default" w:ascii="Times New Roman" w:hAnsi="Times New Roman" w:eastAsia="宋体" w:cs="Times New Roman"/>
                <w:snapToGrid/>
                <w:kern w:val="2"/>
                <w:sz w:val="21"/>
                <w:szCs w:val="21"/>
                <w:u w:val="single"/>
                <w:lang w:eastAsia="zh-CN"/>
              </w:rPr>
              <w:t>吊</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r>
              <w:rPr>
                <w:rFonts w:hint="default" w:ascii="Times New Roman" w:hAnsi="Times New Roman" w:eastAsia="宋体" w:cs="Times New Roman"/>
                <w:snapToGrid/>
                <w:kern w:val="2"/>
                <w:sz w:val="21"/>
                <w:szCs w:val="21"/>
                <w:u w:val="single"/>
                <w:lang w:eastAsia="zh-CN"/>
              </w:rPr>
              <w:t>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r>
              <w:rPr>
                <w:rFonts w:hint="default" w:ascii="Times New Roman" w:hAnsi="Times New Roman" w:eastAsia="宋体" w:cs="Times New Roman"/>
                <w:snapToGrid/>
                <w:kern w:val="2"/>
                <w:sz w:val="21"/>
                <w:szCs w:val="21"/>
                <w:u w:val="single"/>
                <w:lang w:eastAsia="zh-CN"/>
              </w:rPr>
              <w:t>区</w:t>
            </w: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highlight w:val="none"/>
                <w:u w:val="single"/>
                <w:lang w:eastAsia="zh-CN"/>
              </w:rPr>
            </w:pPr>
            <w:r>
              <w:rPr>
                <w:rFonts w:hint="default" w:ascii="Times New Roman" w:hAnsi="Times New Roman" w:eastAsia="宋体" w:cs="Times New Roman"/>
                <w:snapToGrid/>
                <w:kern w:val="2"/>
                <w:sz w:val="21"/>
                <w:szCs w:val="21"/>
                <w:highlight w:val="none"/>
                <w:u w:val="single"/>
                <w:lang w:eastAsia="zh-CN"/>
              </w:rPr>
              <w:t>清真旋转宰杀箱</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highlight w:val="none"/>
                <w:u w:val="single"/>
                <w:lang w:eastAsia="zh-CN"/>
              </w:rPr>
            </w:pPr>
            <w:r>
              <w:rPr>
                <w:rFonts w:hint="default" w:ascii="Times New Roman" w:hAnsi="Times New Roman" w:eastAsia="宋体" w:cs="Times New Roman"/>
                <w:snapToGrid/>
                <w:kern w:val="2"/>
                <w:sz w:val="21"/>
                <w:szCs w:val="21"/>
                <w:highlight w:val="none"/>
                <w:u w:val="single"/>
                <w:lang w:eastAsia="zh-CN"/>
              </w:rPr>
              <w:t>1座</w:t>
            </w:r>
          </w:p>
        </w:tc>
        <w:tc>
          <w:tcPr>
            <w:tcW w:w="34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val="en-US" w:eastAsia="zh-CN"/>
              </w:rPr>
            </w:pPr>
            <w:r>
              <w:rPr>
                <w:rFonts w:hint="default" w:ascii="Times New Roman" w:hAnsi="Times New Roman" w:eastAsia="宋体" w:cs="Times New Roman"/>
                <w:snapToGrid/>
                <w:kern w:val="2"/>
                <w:sz w:val="21"/>
                <w:szCs w:val="21"/>
                <w:u w:val="single"/>
                <w:lang w:eastAsia="zh-CN"/>
              </w:rPr>
              <w:t>羊液压式刨毛机</w:t>
            </w:r>
            <w:r>
              <w:rPr>
                <w:rFonts w:hint="default" w:ascii="Times New Roman" w:hAnsi="Times New Roman" w:eastAsia="宋体" w:cs="Times New Roman"/>
                <w:snapToGrid/>
                <w:kern w:val="2"/>
                <w:sz w:val="21"/>
                <w:szCs w:val="21"/>
                <w:u w:val="single"/>
                <w:lang w:val="en-US" w:eastAsia="zh-CN"/>
              </w:rPr>
              <w:t>YBM-100YⅡ型</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r>
              <w:rPr>
                <w:rFonts w:hint="default" w:ascii="Times New Roman" w:hAnsi="Times New Roman" w:eastAsia="宋体" w:cs="Times New Roman"/>
                <w:snapToGrid/>
                <w:kern w:val="2"/>
                <w:sz w:val="21"/>
                <w:szCs w:val="21"/>
                <w:u w:val="single"/>
                <w:lang w:eastAsia="zh-CN"/>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放血管型轨道</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1座</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羊限位输送机</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锟轮式放血吊链</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羊放血输送机</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低压电刺激系统</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接收刺刀台</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牛角/牛蹄切割器</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羊后蹄切割器</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屠宰输送机</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1套</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羊前蹄切割器</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气动剥皮刀</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手握式冲洗器</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滚筒式剥皮机</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剥皮输送线</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红内脏/牛头同步检疫输送机</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开胸锯</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开胸骨锯</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羊剥皮机</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白内脏检疫输送机</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羊胴体加工线</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白内脏接收滑槽</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内脏同步检验线</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手持带式劈半锯</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羊角切割器</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全自动牛体劈半机</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吊轨电子秤</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手持胴体喷淋器</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3个</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洗肚机</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屠宰线中央控制柜</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1套</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屠宰钩</w:t>
            </w: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eastAsia="宋体" w:cs="Times New Roman"/>
                <w:szCs w:val="21"/>
                <w:u w:val="single"/>
                <w:lang w:val="en-US" w:eastAsia="zh-CN"/>
              </w:rPr>
              <w:t>10</w:t>
            </w:r>
            <w:r>
              <w:rPr>
                <w:rFonts w:hint="default" w:ascii="Times New Roman" w:hAnsi="Times New Roman" w:cs="Times New Roman"/>
                <w:szCs w:val="21"/>
                <w:u w:val="single"/>
              </w:rPr>
              <w:t>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封食管器</w:t>
            </w:r>
          </w:p>
        </w:tc>
        <w:tc>
          <w:tcPr>
            <w:tcW w:w="1087" w:type="dxa"/>
            <w:tcBorders>
              <w:tl2br w:val="nil"/>
              <w:tr2bl w:val="nil"/>
            </w:tcBorders>
            <w:vAlign w:val="center"/>
          </w:tcPr>
          <w:p>
            <w:pPr>
              <w:adjustRightInd w:val="0"/>
              <w:snapToGrid w:val="0"/>
              <w:jc w:val="center"/>
              <w:rPr>
                <w:rFonts w:hint="eastAsia" w:ascii="Times New Roman" w:hAnsi="Times New Roman" w:eastAsia="宋体"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w:t>
            </w:r>
            <w:r>
              <w:rPr>
                <w:rFonts w:hint="eastAsia" w:ascii="Times New Roman" w:hAnsi="Times New Roman" w:eastAsia="宋体" w:cs="Times New Roman"/>
                <w:szCs w:val="21"/>
                <w:u w:val="single"/>
                <w:lang w:eastAsia="zh-CN"/>
              </w:rPr>
              <w:t>套</w:t>
            </w:r>
          </w:p>
        </w:tc>
        <w:tc>
          <w:tcPr>
            <w:tcW w:w="3463" w:type="dxa"/>
            <w:gridSpan w:val="2"/>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p>
        </w:tc>
        <w:tc>
          <w:tcPr>
            <w:tcW w:w="92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坡式四分体站</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1套</w:t>
            </w:r>
          </w:p>
        </w:tc>
        <w:tc>
          <w:tcPr>
            <w:tcW w:w="34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lang w:val="en-US" w:eastAsia="zh-CN" w:bidi="ar-SA"/>
              </w:rPr>
            </w:pPr>
            <w:r>
              <w:rPr>
                <w:rFonts w:hint="default" w:ascii="Times New Roman" w:hAnsi="Times New Roman" w:eastAsia="宋体" w:cs="Times New Roman"/>
                <w:b/>
                <w:bCs/>
                <w:snapToGrid/>
                <w:kern w:val="2"/>
                <w:sz w:val="21"/>
                <w:szCs w:val="21"/>
                <w:u w:val="single"/>
                <w:lang w:eastAsia="zh-CN"/>
              </w:rPr>
              <w:t>公用设备</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圆盘式四分体锯</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1套</w:t>
            </w:r>
          </w:p>
        </w:tc>
        <w:tc>
          <w:tcPr>
            <w:tcW w:w="34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highlight w:val="none"/>
                <w:u w:val="single"/>
                <w:lang w:val="en-US" w:eastAsia="zh-CN" w:bidi="ar-SA"/>
              </w:rPr>
            </w:pPr>
            <w:r>
              <w:rPr>
                <w:rFonts w:hint="default" w:ascii="Times New Roman" w:hAnsi="Times New Roman" w:eastAsia="宋体" w:cs="Times New Roman"/>
                <w:szCs w:val="21"/>
                <w:u w:val="single"/>
                <w:lang w:eastAsia="zh-CN"/>
              </w:rPr>
              <w:t>肠</w:t>
            </w:r>
            <w:r>
              <w:rPr>
                <w:rFonts w:hint="default" w:ascii="Times New Roman" w:hAnsi="Times New Roman" w:cs="Times New Roman"/>
                <w:szCs w:val="21"/>
                <w:u w:val="single"/>
              </w:rPr>
              <w:t>胃内容物吹送罐</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highlight w:val="none"/>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往复式分割器</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1套</w:t>
            </w:r>
          </w:p>
        </w:tc>
        <w:tc>
          <w:tcPr>
            <w:tcW w:w="34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highlight w:val="none"/>
                <w:u w:val="single"/>
                <w:lang w:val="en-US" w:eastAsia="zh-CN" w:bidi="ar-SA"/>
              </w:rPr>
            </w:pPr>
            <w:r>
              <w:rPr>
                <w:rFonts w:hint="default" w:ascii="Times New Roman" w:hAnsi="Times New Roman" w:eastAsia="宋体" w:cs="Times New Roman"/>
                <w:szCs w:val="21"/>
                <w:u w:val="single"/>
                <w:lang w:eastAsia="zh-CN"/>
              </w:rPr>
              <w:t>肠</w:t>
            </w:r>
            <w:r>
              <w:rPr>
                <w:rFonts w:hint="default" w:ascii="Times New Roman" w:hAnsi="Times New Roman" w:cs="Times New Roman"/>
                <w:szCs w:val="21"/>
                <w:u w:val="single"/>
              </w:rPr>
              <w:t>胃容物风送系统</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highlight w:val="none"/>
                <w:u w:val="single"/>
                <w:lang w:val="en-US" w:eastAsia="zh-CN" w:bidi="ar-SA"/>
              </w:rPr>
            </w:pPr>
            <w:r>
              <w:rPr>
                <w:rFonts w:hint="default" w:ascii="Times New Roman" w:hAnsi="Times New Roman" w:cs="Times New Roman"/>
                <w:szCs w:val="21"/>
                <w:u w:val="single"/>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屠宰钩</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30个</w:t>
            </w:r>
          </w:p>
        </w:tc>
        <w:tc>
          <w:tcPr>
            <w:tcW w:w="34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highlight w:val="none"/>
                <w:u w:val="single"/>
                <w:lang w:val="en-US" w:eastAsia="zh-CN" w:bidi="ar-SA"/>
              </w:rPr>
            </w:pPr>
            <w:r>
              <w:rPr>
                <w:rFonts w:hint="default" w:ascii="Times New Roman" w:hAnsi="Times New Roman" w:eastAsia="宋体" w:cs="Times New Roman"/>
                <w:snapToGrid/>
                <w:color w:val="000000"/>
                <w:kern w:val="2"/>
                <w:sz w:val="21"/>
                <w:szCs w:val="21"/>
                <w:highlight w:val="none"/>
                <w:u w:val="single"/>
                <w:lang w:val="en-US" w:eastAsia="zh-CN" w:bidi="ar-SA"/>
              </w:rPr>
              <w:t>螺杆式空气压缩机37KW-8F永磁</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highlight w:val="none"/>
                <w:u w:val="single"/>
                <w:lang w:val="en-US" w:eastAsia="zh-CN" w:bidi="ar-SA"/>
              </w:rPr>
            </w:pPr>
            <w:r>
              <w:rPr>
                <w:rFonts w:hint="default" w:ascii="Times New Roman" w:hAnsi="Times New Roman" w:cs="Times New Roman"/>
                <w:szCs w:val="21"/>
                <w:u w:val="single"/>
              </w:rPr>
              <w:t>1</w:t>
            </w:r>
            <w:r>
              <w:rPr>
                <w:rFonts w:hint="default" w:ascii="Times New Roman" w:hAnsi="Times New Roman" w:eastAsia="宋体" w:cs="Times New Roman"/>
                <w:szCs w:val="21"/>
                <w:u w:val="single"/>
                <w:lang w:eastAsia="zh-CN"/>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放血输送机</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1台</w:t>
            </w:r>
          </w:p>
        </w:tc>
        <w:tc>
          <w:tcPr>
            <w:tcW w:w="6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highlight w:val="none"/>
                <w:u w:val="single"/>
                <w:lang w:val="en-US" w:eastAsia="zh-CN" w:bidi="ar-SA"/>
              </w:rPr>
            </w:pPr>
            <w:r>
              <w:rPr>
                <w:rFonts w:hint="default" w:ascii="Times New Roman" w:hAnsi="Times New Roman" w:eastAsia="宋体" w:cs="Times New Roman"/>
                <w:snapToGrid/>
                <w:color w:val="000000"/>
                <w:kern w:val="2"/>
                <w:sz w:val="21"/>
                <w:szCs w:val="21"/>
                <w:highlight w:val="none"/>
                <w:u w:val="single"/>
                <w:lang w:val="en-US" w:eastAsia="zh-CN" w:bidi="ar-SA"/>
              </w:rPr>
              <w:t>排酸间</w:t>
            </w:r>
          </w:p>
        </w:tc>
        <w:tc>
          <w:tcPr>
            <w:tcW w:w="2803" w:type="dxa"/>
            <w:tcBorders>
              <w:tl2br w:val="nil"/>
              <w:tr2bl w:val="nil"/>
            </w:tcBorders>
            <w:vAlign w:val="center"/>
          </w:tcPr>
          <w:p>
            <w:pPr>
              <w:adjustRightInd w:val="0"/>
              <w:snapToGrid w:val="0"/>
              <w:jc w:val="center"/>
              <w:rPr>
                <w:rFonts w:hint="default" w:ascii="Times New Roman" w:hAnsi="Times New Roman" w:eastAsia="宋体" w:cs="Times New Roman"/>
                <w:snapToGrid/>
                <w:color w:val="000000"/>
                <w:kern w:val="2"/>
                <w:sz w:val="21"/>
                <w:szCs w:val="21"/>
                <w:highlight w:val="none"/>
                <w:u w:val="single"/>
                <w:lang w:val="en-US" w:eastAsia="zh-CN" w:bidi="ar-SA"/>
              </w:rPr>
            </w:pPr>
            <w:r>
              <w:rPr>
                <w:rFonts w:hint="default" w:ascii="Times New Roman" w:hAnsi="Times New Roman" w:cs="Times New Roman"/>
                <w:szCs w:val="21"/>
                <w:u w:val="single"/>
              </w:rPr>
              <w:t>吊顶式冷风机（DD-200）</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highlight w:val="none"/>
                <w:u w:val="single"/>
                <w:lang w:val="en-US" w:eastAsia="zh-CN" w:bidi="ar-SA"/>
              </w:rPr>
            </w:pPr>
            <w:r>
              <w:rPr>
                <w:rFonts w:hint="eastAsia" w:ascii="Times New Roman" w:hAnsi="Times New Roman" w:eastAsia="宋体" w:cs="Times New Roman"/>
                <w:snapToGrid/>
                <w:color w:val="000000"/>
                <w:kern w:val="2"/>
                <w:sz w:val="21"/>
                <w:szCs w:val="21"/>
                <w:highlight w:val="none"/>
                <w:u w:val="single"/>
                <w:lang w:val="en-US" w:eastAsia="zh-CN" w:bidi="ar-SA"/>
              </w:rPr>
              <w:t>8台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牛皮风送系统</w:t>
            </w: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r>
              <w:rPr>
                <w:rFonts w:hint="default" w:ascii="Times New Roman" w:hAnsi="Times New Roman" w:cs="Times New Roman"/>
                <w:szCs w:val="21"/>
                <w:u w:val="single"/>
              </w:rPr>
              <w:t>1套</w:t>
            </w:r>
          </w:p>
        </w:tc>
        <w:tc>
          <w:tcPr>
            <w:tcW w:w="6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lang w:val="en-US" w:eastAsia="zh-CN" w:bidi="ar-SA"/>
              </w:rPr>
            </w:pPr>
          </w:p>
        </w:tc>
        <w:tc>
          <w:tcPr>
            <w:tcW w:w="2803" w:type="dxa"/>
            <w:tcBorders>
              <w:tl2br w:val="nil"/>
              <w:tr2bl w:val="nil"/>
            </w:tcBorders>
            <w:vAlign w:val="center"/>
          </w:tcPr>
          <w:p>
            <w:pPr>
              <w:adjustRightInd w:val="0"/>
              <w:snapToGrid w:val="0"/>
              <w:jc w:val="center"/>
              <w:rPr>
                <w:rFonts w:hint="default" w:ascii="Times New Roman" w:hAnsi="Times New Roman" w:eastAsia="宋体" w:cs="Times New Roman"/>
                <w:snapToGrid/>
                <w:color w:val="000000"/>
                <w:kern w:val="2"/>
                <w:sz w:val="21"/>
                <w:szCs w:val="21"/>
                <w:u w:val="single"/>
                <w:lang w:val="en-US" w:eastAsia="zh-CN" w:bidi="ar-SA"/>
              </w:rPr>
            </w:pPr>
            <w:r>
              <w:rPr>
                <w:rFonts w:hint="default" w:ascii="Times New Roman" w:hAnsi="Times New Roman" w:cs="Times New Roman"/>
                <w:szCs w:val="21"/>
                <w:u w:val="single"/>
              </w:rPr>
              <w:t>温控器</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lang w:val="en-US" w:eastAsia="zh-CN" w:bidi="ar-SA"/>
              </w:rPr>
            </w:pPr>
            <w:r>
              <w:rPr>
                <w:rFonts w:hint="eastAsia" w:ascii="Times New Roman" w:hAnsi="Times New Roman" w:eastAsia="宋体" w:cs="Times New Roman"/>
                <w:snapToGrid/>
                <w:color w:val="000000"/>
                <w:kern w:val="2"/>
                <w:sz w:val="21"/>
                <w:szCs w:val="21"/>
                <w:u w:val="single"/>
                <w:lang w:val="en-US" w:eastAsia="zh-CN" w:bidi="ar-SA"/>
              </w:rPr>
              <w:t>4个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u w:val="single"/>
                <w:lang w:eastAsia="zh-CN"/>
              </w:rPr>
            </w:pPr>
          </w:p>
        </w:tc>
        <w:tc>
          <w:tcPr>
            <w:tcW w:w="3109"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p>
        </w:tc>
        <w:tc>
          <w:tcPr>
            <w:tcW w:w="1087" w:type="dxa"/>
            <w:tcBorders>
              <w:tl2br w:val="nil"/>
              <w:tr2bl w:val="nil"/>
            </w:tcBorders>
            <w:vAlign w:val="center"/>
          </w:tcPr>
          <w:p>
            <w:pPr>
              <w:adjustRightInd w:val="0"/>
              <w:snapToGrid w:val="0"/>
              <w:jc w:val="center"/>
              <w:rPr>
                <w:rFonts w:hint="default" w:ascii="Times New Roman" w:hAnsi="Times New Roman" w:eastAsia="Arial" w:cs="Times New Roman"/>
                <w:snapToGrid w:val="0"/>
                <w:color w:val="000000"/>
                <w:kern w:val="0"/>
                <w:sz w:val="21"/>
                <w:szCs w:val="21"/>
                <w:u w:val="single"/>
                <w:lang w:val="en-US" w:eastAsia="zh-CN" w:bidi="ar-SA"/>
              </w:rPr>
            </w:pPr>
          </w:p>
        </w:tc>
        <w:tc>
          <w:tcPr>
            <w:tcW w:w="6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lang w:val="en-US" w:eastAsia="zh-CN" w:bidi="ar-SA"/>
              </w:rPr>
            </w:pPr>
          </w:p>
        </w:tc>
        <w:tc>
          <w:tcPr>
            <w:tcW w:w="2803" w:type="dxa"/>
            <w:tcBorders>
              <w:tl2br w:val="nil"/>
              <w:tr2bl w:val="nil"/>
            </w:tcBorders>
            <w:vAlign w:val="center"/>
          </w:tcPr>
          <w:p>
            <w:pPr>
              <w:adjustRightInd w:val="0"/>
              <w:snapToGrid w:val="0"/>
              <w:jc w:val="center"/>
              <w:rPr>
                <w:rFonts w:hint="default" w:ascii="Times New Roman" w:hAnsi="Times New Roman" w:eastAsia="宋体" w:cs="Times New Roman"/>
                <w:snapToGrid/>
                <w:color w:val="000000"/>
                <w:kern w:val="2"/>
                <w:sz w:val="21"/>
                <w:szCs w:val="21"/>
                <w:u w:val="single"/>
                <w:lang w:val="en-US" w:eastAsia="zh-CN" w:bidi="ar-SA"/>
              </w:rPr>
            </w:pPr>
            <w:r>
              <w:rPr>
                <w:rFonts w:hint="default" w:ascii="Times New Roman" w:hAnsi="Times New Roman" w:cs="Times New Roman"/>
                <w:szCs w:val="21"/>
                <w:u w:val="single"/>
              </w:rPr>
              <w:t>排酸平台</w:t>
            </w:r>
          </w:p>
        </w:tc>
        <w:tc>
          <w:tcPr>
            <w:tcW w:w="9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000000"/>
                <w:kern w:val="2"/>
                <w:sz w:val="21"/>
                <w:szCs w:val="21"/>
                <w:u w:val="single"/>
                <w:lang w:val="en-US" w:eastAsia="zh-CN" w:bidi="ar-SA"/>
              </w:rPr>
            </w:pPr>
            <w:r>
              <w:rPr>
                <w:rFonts w:hint="eastAsia" w:ascii="Times New Roman" w:hAnsi="Times New Roman" w:eastAsia="宋体" w:cs="Times New Roman"/>
                <w:snapToGrid/>
                <w:color w:val="000000"/>
                <w:kern w:val="2"/>
                <w:sz w:val="21"/>
                <w:szCs w:val="21"/>
                <w:u w:val="single"/>
                <w:lang w:val="en-US" w:eastAsia="zh-CN" w:bidi="ar-SA"/>
              </w:rPr>
              <w:t>12个</w:t>
            </w:r>
          </w:p>
        </w:tc>
      </w:tr>
    </w:tbl>
    <w:p>
      <w:pPr>
        <w:adjustRightInd w:val="0"/>
        <w:snapToGrid w:val="0"/>
        <w:spacing w:line="520" w:lineRule="exact"/>
        <w:ind w:firstLine="480" w:firstLineChars="200"/>
        <w:rPr>
          <w:rFonts w:ascii="Calibri" w:hAnsi="Calibri"/>
          <w:sz w:val="24"/>
        </w:rPr>
      </w:pPr>
      <w:r>
        <w:rPr>
          <w:rFonts w:hint="eastAsia" w:ascii="Calibri" w:hAnsi="Calibri"/>
          <w:sz w:val="24"/>
          <w:lang w:eastAsia="zh-CN"/>
        </w:rPr>
        <w:t>（</w:t>
      </w:r>
      <w:r>
        <w:rPr>
          <w:rFonts w:hint="eastAsia" w:ascii="Calibri" w:hAnsi="Calibri"/>
          <w:sz w:val="24"/>
          <w:lang w:val="en-US" w:eastAsia="zh-CN"/>
        </w:rPr>
        <w:t>2</w:t>
      </w:r>
      <w:r>
        <w:rPr>
          <w:rFonts w:hint="eastAsia" w:ascii="Calibri" w:hAnsi="Calibri"/>
          <w:sz w:val="24"/>
          <w:lang w:eastAsia="zh-CN"/>
        </w:rPr>
        <w:t>）精细加工车间和冷库区</w:t>
      </w:r>
    </w:p>
    <w:p>
      <w:pPr>
        <w:adjustRightInd w:val="0"/>
        <w:snapToGrid w:val="0"/>
        <w:spacing w:line="500" w:lineRule="exact"/>
        <w:ind w:firstLine="480" w:firstLineChars="200"/>
        <w:jc w:val="center"/>
        <w:rPr>
          <w:rFonts w:eastAsia="黑体"/>
          <w:sz w:val="24"/>
        </w:rPr>
      </w:pPr>
      <w:r>
        <w:rPr>
          <w:rFonts w:eastAsia="黑体"/>
          <w:sz w:val="24"/>
        </w:rPr>
        <w:t>表</w:t>
      </w:r>
      <w:r>
        <w:rPr>
          <w:rFonts w:hint="eastAsia" w:eastAsia="黑体"/>
          <w:sz w:val="24"/>
        </w:rPr>
        <w:t>3</w:t>
      </w:r>
      <w:r>
        <w:rPr>
          <w:rFonts w:hint="eastAsia" w:eastAsia="黑体"/>
          <w:sz w:val="24"/>
          <w:lang w:val="en-US" w:eastAsia="zh-CN"/>
        </w:rPr>
        <w:t>-4</w:t>
      </w:r>
      <w:r>
        <w:rPr>
          <w:rFonts w:eastAsia="黑体"/>
          <w:sz w:val="24"/>
        </w:rPr>
        <w:t xml:space="preserve">     </w:t>
      </w:r>
      <w:r>
        <w:rPr>
          <w:rFonts w:hint="eastAsia" w:eastAsia="黑体"/>
          <w:sz w:val="24"/>
        </w:rPr>
        <w:t>牛羊肉加工主要</w:t>
      </w:r>
      <w:r>
        <w:rPr>
          <w:rFonts w:eastAsia="黑体"/>
          <w:sz w:val="24"/>
        </w:rPr>
        <w:t>生产设备一览表</w:t>
      </w:r>
    </w:p>
    <w:tbl>
      <w:tblPr>
        <w:tblStyle w:val="20"/>
        <w:tblW w:w="936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109"/>
        <w:gridCol w:w="1087"/>
        <w:gridCol w:w="43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分类</w:t>
            </w: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设备名称</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43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eastAsia="宋体" w:cs="Times New Roman"/>
                <w:sz w:val="21"/>
                <w:szCs w:val="21"/>
                <w:lang w:eastAsia="zh-CN"/>
              </w:rPr>
              <w:t>精细加工</w:t>
            </w:r>
            <w:r>
              <w:rPr>
                <w:rFonts w:hint="default" w:ascii="Times New Roman" w:hAnsi="Times New Roman" w:cs="Times New Roman"/>
                <w:sz w:val="21"/>
                <w:szCs w:val="21"/>
              </w:rPr>
              <w:t>车间</w:t>
            </w: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分割工作台</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36台</w:t>
            </w:r>
          </w:p>
        </w:tc>
        <w:tc>
          <w:tcPr>
            <w:tcW w:w="43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1、工人通过刀具及工作台对牛羊肉进行分割。</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2、工人通过真空包装机和工作台对分割后的牛羊肉进行定量包装。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包装工作台</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10台</w:t>
            </w:r>
          </w:p>
        </w:tc>
        <w:tc>
          <w:tcPr>
            <w:tcW w:w="4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分割刀具</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144套</w:t>
            </w:r>
          </w:p>
        </w:tc>
        <w:tc>
          <w:tcPr>
            <w:tcW w:w="4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冷库区</w:t>
            </w: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中温并联机组（BDL4-75Z）</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1台</w:t>
            </w:r>
          </w:p>
        </w:tc>
        <w:tc>
          <w:tcPr>
            <w:tcW w:w="43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1、本项目冷库选用氟基制冷剂R</w:t>
            </w:r>
            <w:r>
              <w:rPr>
                <w:rFonts w:hint="eastAsia" w:ascii="Times New Roman" w:hAnsi="Times New Roman" w:eastAsia="宋体" w:cs="Times New Roman"/>
                <w:bCs/>
                <w:sz w:val="21"/>
                <w:szCs w:val="21"/>
                <w:lang w:val="en-US" w:eastAsia="zh-CN"/>
              </w:rPr>
              <w:t>507</w:t>
            </w:r>
            <w:r>
              <w:rPr>
                <w:rFonts w:hint="default" w:ascii="Times New Roman" w:hAnsi="Times New Roman" w:cs="Times New Roman"/>
                <w:bCs/>
                <w:sz w:val="21"/>
                <w:szCs w:val="21"/>
              </w:rPr>
              <w:t>，产品类别为HFC，化学成分为五氟乙烷/三氟乙烷/四氟乙烷混合物，无色无味不燃气体，低毒。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2、R</w:t>
            </w:r>
            <w:r>
              <w:rPr>
                <w:rFonts w:hint="eastAsia" w:ascii="Times New Roman" w:hAnsi="Times New Roman" w:eastAsia="宋体" w:cs="Times New Roman"/>
                <w:bCs/>
                <w:sz w:val="21"/>
                <w:szCs w:val="21"/>
                <w:lang w:val="en-US" w:eastAsia="zh-CN"/>
              </w:rPr>
              <w:t>507</w:t>
            </w:r>
            <w:r>
              <w:rPr>
                <w:rFonts w:hint="default" w:ascii="Times New Roman" w:hAnsi="Times New Roman" w:cs="Times New Roman"/>
                <w:bCs/>
                <w:sz w:val="21"/>
                <w:szCs w:val="21"/>
              </w:rPr>
              <w:t>属于HFC型非共沸环保制冷剂（完全不含破坏臭氧层的CFC、HCFC），是得到中国认可并推荐的主流低温环保制冷剂，广泛用于新冷冻设备上的初装和维修过程中的再添加。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斯飞特油分离器</w:t>
            </w:r>
            <w:r>
              <w:rPr>
                <w:rFonts w:hint="eastAsia" w:ascii="Times New Roman" w:hAnsi="Times New Roman" w:eastAsia="宋体" w:cs="Times New Roman"/>
                <w:sz w:val="21"/>
                <w:szCs w:val="21"/>
                <w:highlight w:val="none"/>
                <w:lang w:val="en-US" w:eastAsia="zh-CN"/>
              </w:rPr>
              <w:t>S-YF120</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1台</w:t>
            </w:r>
          </w:p>
        </w:tc>
        <w:tc>
          <w:tcPr>
            <w:tcW w:w="4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蒸发式冷凝器（顺流式）</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1台</w:t>
            </w:r>
          </w:p>
        </w:tc>
        <w:tc>
          <w:tcPr>
            <w:tcW w:w="4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水冲箱系统</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1套</w:t>
            </w:r>
          </w:p>
        </w:tc>
        <w:tc>
          <w:tcPr>
            <w:tcW w:w="4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斯飞特储液器</w:t>
            </w:r>
            <w:r>
              <w:rPr>
                <w:rFonts w:hint="eastAsia" w:ascii="Times New Roman" w:hAnsi="Times New Roman" w:eastAsia="宋体" w:cs="Times New Roman"/>
                <w:sz w:val="21"/>
                <w:szCs w:val="21"/>
                <w:highlight w:val="none"/>
                <w:lang w:val="en-US" w:eastAsia="zh-CN"/>
              </w:rPr>
              <w:t>CXCY-1.5</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2个</w:t>
            </w:r>
          </w:p>
        </w:tc>
        <w:tc>
          <w:tcPr>
            <w:tcW w:w="4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3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温控器</w:t>
            </w:r>
          </w:p>
        </w:tc>
        <w:tc>
          <w:tcPr>
            <w:tcW w:w="1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6台</w:t>
            </w:r>
          </w:p>
        </w:tc>
        <w:tc>
          <w:tcPr>
            <w:tcW w:w="4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r>
    </w:tbl>
    <w:p>
      <w:pPr>
        <w:keepNext w:val="0"/>
        <w:keepLines w:val="0"/>
        <w:widowControl/>
        <w:suppressLineNumbers w:val="0"/>
        <w:kinsoku/>
        <w:autoSpaceDE/>
        <w:autoSpaceDN/>
        <w:adjustRightInd/>
        <w:snapToGrid/>
        <w:spacing w:line="360" w:lineRule="auto"/>
        <w:ind w:left="0" w:leftChars="0" w:firstLine="0" w:firstLineChars="0"/>
        <w:jc w:val="left"/>
        <w:textAlignment w:val="auto"/>
        <w:rPr>
          <w:rFonts w:ascii="Times New Roman" w:hAnsi="Times New Roman" w:eastAsia="宋体" w:cs="Times New Roman"/>
          <w:b/>
          <w:bCs/>
          <w:snapToGrid/>
          <w:kern w:val="2"/>
          <w:sz w:val="24"/>
          <w:szCs w:val="24"/>
          <w:lang w:eastAsia="zh-CN"/>
        </w:rPr>
      </w:pPr>
      <w:r>
        <w:rPr>
          <w:rFonts w:hint="default" w:ascii="Times New Roman" w:hAnsi="Times New Roman" w:eastAsia="宋体" w:cs="Times New Roman"/>
          <w:b/>
          <w:bCs/>
          <w:snapToGrid/>
          <w:color w:val="000000"/>
          <w:kern w:val="0"/>
          <w:sz w:val="28"/>
          <w:szCs w:val="28"/>
          <w:lang w:val="en-US" w:eastAsia="zh-CN" w:bidi="ar"/>
        </w:rPr>
        <w:t>3.1.2</w:t>
      </w:r>
      <w:r>
        <w:rPr>
          <w:rFonts w:ascii="楷体" w:hAnsi="楷体" w:eastAsia="楷体" w:cs="楷体"/>
          <w:b/>
          <w:bCs/>
          <w:snapToGrid/>
          <w:color w:val="000000"/>
          <w:kern w:val="0"/>
          <w:sz w:val="28"/>
          <w:szCs w:val="28"/>
          <w:lang w:val="en-US" w:eastAsia="zh-CN" w:bidi="ar"/>
        </w:rPr>
        <w:t>产品方案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kern w:val="2"/>
          <w:sz w:val="24"/>
          <w:szCs w:val="24"/>
          <w:lang w:eastAsia="zh-CN"/>
        </w:rPr>
      </w:pPr>
      <w:r>
        <w:rPr>
          <w:rFonts w:hint="default" w:ascii="Times New Roman" w:hAnsi="Times New Roman" w:eastAsia="宋体" w:cs="Times New Roman"/>
          <w:snapToGrid/>
          <w:kern w:val="2"/>
          <w:sz w:val="24"/>
          <w:szCs w:val="24"/>
          <w:lang w:eastAsia="zh-CN"/>
        </w:rPr>
        <w:t>（1）产品生产规格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val="en-US" w:eastAsia="zh-CN"/>
        </w:rPr>
        <w:t>本项目</w:t>
      </w:r>
      <w:r>
        <w:rPr>
          <w:rFonts w:hint="eastAsia" w:ascii="Times New Roman" w:hAnsi="Times New Roman" w:eastAsia="宋体" w:cs="Times New Roman"/>
          <w:snapToGrid/>
          <w:color w:val="auto"/>
          <w:kern w:val="2"/>
          <w:sz w:val="24"/>
          <w:szCs w:val="24"/>
          <w:lang w:val="en-US" w:eastAsia="zh-CN"/>
        </w:rPr>
        <w:t>年屠宰肉牛1万头，</w:t>
      </w:r>
      <w:r>
        <w:rPr>
          <w:rFonts w:hint="eastAsia" w:ascii="Times New Roman" w:hAnsi="Times New Roman" w:eastAsia="宋体" w:cs="Times New Roman"/>
          <w:snapToGrid/>
          <w:color w:val="auto"/>
          <w:kern w:val="2"/>
          <w:sz w:val="24"/>
          <w:szCs w:val="24"/>
          <w:lang w:eastAsia="zh-CN"/>
        </w:rPr>
        <w:t>肉羊</w:t>
      </w:r>
      <w:r>
        <w:rPr>
          <w:rFonts w:hint="eastAsia" w:ascii="Times New Roman" w:hAnsi="Times New Roman" w:eastAsia="宋体" w:cs="Times New Roman"/>
          <w:snapToGrid/>
          <w:color w:val="auto"/>
          <w:kern w:val="2"/>
          <w:sz w:val="24"/>
          <w:szCs w:val="24"/>
          <w:lang w:val="en-US" w:eastAsia="zh-CN"/>
        </w:rPr>
        <w:t>15万只，</w:t>
      </w:r>
      <w:r>
        <w:rPr>
          <w:rFonts w:hint="default" w:ascii="Times New Roman" w:hAnsi="Times New Roman" w:eastAsia="宋体" w:cs="Times New Roman"/>
          <w:snapToGrid/>
          <w:kern w:val="2"/>
          <w:sz w:val="24"/>
          <w:szCs w:val="24"/>
          <w:lang w:val="en-US" w:eastAsia="zh-CN"/>
        </w:rPr>
        <w:t>项目产品方案具体详见表3-</w:t>
      </w:r>
      <w:r>
        <w:rPr>
          <w:rFonts w:hint="eastAsia" w:ascii="Times New Roman" w:hAnsi="Times New Roman" w:eastAsia="宋体" w:cs="Times New Roman"/>
          <w:snapToGrid/>
          <w:kern w:val="2"/>
          <w:sz w:val="24"/>
          <w:szCs w:val="24"/>
          <w:lang w:val="en-US" w:eastAsia="zh-CN"/>
        </w:rPr>
        <w:t>5和</w:t>
      </w:r>
      <w:r>
        <w:rPr>
          <w:rFonts w:hint="default" w:ascii="Times New Roman" w:hAnsi="Times New Roman" w:eastAsia="宋体" w:cs="Times New Roman"/>
          <w:snapToGrid/>
          <w:kern w:val="2"/>
          <w:sz w:val="24"/>
          <w:szCs w:val="24"/>
          <w:lang w:val="en-US" w:eastAsia="zh-CN"/>
        </w:rPr>
        <w:t>表3-</w:t>
      </w:r>
      <w:r>
        <w:rPr>
          <w:rFonts w:hint="eastAsia" w:ascii="Times New Roman" w:hAnsi="Times New Roman" w:eastAsia="宋体" w:cs="Times New Roman"/>
          <w:snapToGrid/>
          <w:kern w:val="2"/>
          <w:sz w:val="24"/>
          <w:szCs w:val="24"/>
          <w:lang w:val="en-US"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黑体" w:cs="Times New Roman"/>
          <w:snapToGrid/>
          <w:kern w:val="2"/>
          <w:sz w:val="24"/>
          <w:szCs w:val="24"/>
          <w:highlight w:val="yellow"/>
          <w:lang w:eastAsia="zh-CN"/>
        </w:rPr>
      </w:pPr>
      <w:r>
        <w:rPr>
          <w:rFonts w:ascii="Times New Roman" w:hAnsi="Times New Roman" w:eastAsia="黑体" w:cs="Times New Roman"/>
          <w:snapToGrid/>
          <w:kern w:val="2"/>
          <w:sz w:val="24"/>
          <w:szCs w:val="24"/>
          <w:highlight w:val="none"/>
          <w:lang w:eastAsia="zh-CN"/>
        </w:rPr>
        <w:t>表</w:t>
      </w:r>
      <w:r>
        <w:rPr>
          <w:rFonts w:hint="eastAsia" w:ascii="Times New Roman" w:hAnsi="Times New Roman" w:eastAsia="黑体" w:cs="Times New Roman"/>
          <w:snapToGrid/>
          <w:kern w:val="2"/>
          <w:sz w:val="24"/>
          <w:szCs w:val="24"/>
          <w:highlight w:val="none"/>
          <w:lang w:val="en-US" w:eastAsia="zh-CN"/>
        </w:rPr>
        <w:t>3-5</w:t>
      </w:r>
      <w:r>
        <w:rPr>
          <w:rFonts w:ascii="Times New Roman" w:hAnsi="Times New Roman" w:eastAsia="黑体" w:cs="Times New Roman"/>
          <w:snapToGrid/>
          <w:kern w:val="2"/>
          <w:sz w:val="24"/>
          <w:szCs w:val="24"/>
          <w:highlight w:val="none"/>
          <w:lang w:eastAsia="zh-CN"/>
        </w:rPr>
        <w:t xml:space="preserve">      </w:t>
      </w:r>
      <w:r>
        <w:rPr>
          <w:rFonts w:hint="eastAsia" w:ascii="Times New Roman" w:hAnsi="Times New Roman" w:eastAsia="黑体" w:cs="Times New Roman"/>
          <w:snapToGrid/>
          <w:kern w:val="2"/>
          <w:sz w:val="24"/>
          <w:szCs w:val="24"/>
          <w:highlight w:val="none"/>
          <w:lang w:eastAsia="zh-CN"/>
        </w:rPr>
        <w:t>牛屠宰</w:t>
      </w:r>
      <w:r>
        <w:rPr>
          <w:rFonts w:ascii="Times New Roman" w:hAnsi="Times New Roman" w:eastAsia="黑体" w:cs="Times New Roman"/>
          <w:snapToGrid/>
          <w:kern w:val="2"/>
          <w:sz w:val="24"/>
          <w:szCs w:val="24"/>
          <w:highlight w:val="none"/>
          <w:lang w:eastAsia="zh-CN"/>
        </w:rPr>
        <w:t>产品方案设计</w:t>
      </w:r>
    </w:p>
    <w:tbl>
      <w:tblPr>
        <w:tblStyle w:val="20"/>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318"/>
        <w:gridCol w:w="731"/>
        <w:gridCol w:w="1538"/>
        <w:gridCol w:w="972"/>
        <w:gridCol w:w="1737"/>
        <w:gridCol w:w="20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类型</w:t>
            </w:r>
          </w:p>
        </w:tc>
        <w:tc>
          <w:tcPr>
            <w:tcW w:w="13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分级</w:t>
            </w: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kern w:val="2"/>
                <w:sz w:val="21"/>
                <w:szCs w:val="21"/>
                <w:lang w:eastAsia="zh-CN"/>
              </w:rPr>
              <w:t>产品名称</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单位</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全厂年</w:t>
            </w:r>
            <w:r>
              <w:rPr>
                <w:rFonts w:ascii="Times New Roman" w:hAnsi="Times New Roman" w:eastAsia="宋体" w:cs="Times New Roman"/>
                <w:snapToGrid/>
                <w:kern w:val="2"/>
                <w:sz w:val="21"/>
                <w:szCs w:val="21"/>
                <w:lang w:eastAsia="zh-CN"/>
              </w:rPr>
              <w:t>产量</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质量占比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牛</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工</w:t>
            </w:r>
          </w:p>
        </w:tc>
        <w:tc>
          <w:tcPr>
            <w:tcW w:w="13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eastAsia="zh-CN"/>
              </w:rPr>
              <w:t>主产品</w:t>
            </w:r>
            <w:r>
              <w:rPr>
                <w:rFonts w:hint="eastAsia" w:ascii="Times New Roman" w:hAnsi="Times New Roman" w:eastAsia="宋体" w:cs="Times New Roman"/>
                <w:snapToGrid/>
                <w:kern w:val="2"/>
                <w:sz w:val="21"/>
                <w:szCs w:val="21"/>
                <w:lang w:val="en-US" w:eastAsia="zh-CN"/>
              </w:rPr>
              <w:t>3477.5t/a</w:t>
            </w:r>
          </w:p>
        </w:tc>
        <w:tc>
          <w:tcPr>
            <w:tcW w:w="7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带皮牛酮体</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分割牛肉</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1160</w:t>
            </w:r>
          </w:p>
        </w:tc>
        <w:tc>
          <w:tcPr>
            <w:tcW w:w="20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69.55%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7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食用牛骨</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2067.5</w:t>
            </w:r>
          </w:p>
        </w:tc>
        <w:tc>
          <w:tcPr>
            <w:tcW w:w="20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7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牛皮</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250（10000张）</w:t>
            </w:r>
          </w:p>
        </w:tc>
        <w:tc>
          <w:tcPr>
            <w:tcW w:w="20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副产品</w:t>
            </w:r>
            <w:r>
              <w:rPr>
                <w:rFonts w:hint="eastAsia" w:ascii="Times New Roman" w:hAnsi="Times New Roman" w:eastAsia="宋体" w:cs="Times New Roman"/>
                <w:snapToGrid/>
                <w:kern w:val="2"/>
                <w:sz w:val="21"/>
                <w:szCs w:val="21"/>
                <w:lang w:val="en-US" w:eastAsia="zh-CN"/>
              </w:rPr>
              <w:t>1300t/a</w:t>
            </w: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红白内脏</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100</w:t>
            </w:r>
            <w:r>
              <w:rPr>
                <w:rFonts w:ascii="Times New Roman" w:hAnsi="Times New Roman" w:eastAsia="宋体" w:cs="Times New Roman"/>
                <w:snapToGrid/>
                <w:kern w:val="2"/>
                <w:sz w:val="21"/>
                <w:szCs w:val="21"/>
                <w:lang w:eastAsia="zh-CN"/>
              </w:rPr>
              <w:t>0</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牛</w:t>
            </w:r>
            <w:r>
              <w:rPr>
                <w:rFonts w:ascii="Times New Roman" w:hAnsi="Times New Roman" w:eastAsia="宋体" w:cs="Times New Roman"/>
                <w:snapToGrid/>
                <w:kern w:val="2"/>
                <w:sz w:val="21"/>
                <w:szCs w:val="21"/>
                <w:lang w:eastAsia="zh-CN"/>
              </w:rPr>
              <w:t>血</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300</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固体废物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212t/a</w:t>
            </w: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肠胃内容物</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100</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粪便</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112</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35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病死牛及不合格肉品</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10.5</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0.21%</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snapToGrid/>
          <w:kern w:val="2"/>
          <w:sz w:val="21"/>
          <w:szCs w:val="18"/>
          <w:lang w:val="en-US" w:eastAsia="zh-CN"/>
        </w:rPr>
      </w:pPr>
      <w:r>
        <w:rPr>
          <w:rFonts w:hint="eastAsia" w:ascii="Times New Roman" w:hAnsi="Times New Roman" w:eastAsia="宋体" w:cs="Times New Roman"/>
          <w:snapToGrid/>
          <w:kern w:val="2"/>
          <w:sz w:val="21"/>
          <w:szCs w:val="18"/>
          <w:lang w:val="en-US" w:eastAsia="zh-CN"/>
        </w:rPr>
        <w:t>注：①单个肉牛出栏平均体重500kg计算，屠宰毛重约5000t/a（实际运行时，肉牛个体存在较显著的个体差异，所产出的主副产品各自产量、产率也会存在一定变化，表中所列数据系根据同行业项目统计数据给出的平均值）。②由于肉牛牛毛短且数量少，肉牛屠宰过程的肉品水分蒸发、有机质挥发以及不可收集的极少量碎肉、碎骨等损失量忽略不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ascii="Times New Roman" w:hAnsi="Times New Roman" w:eastAsia="黑体" w:cs="Times New Roman"/>
          <w:kern w:val="2"/>
          <w:sz w:val="24"/>
          <w:szCs w:val="24"/>
          <w:highlight w:val="none"/>
          <w:lang w:val="en-US" w:eastAsia="zh-CN" w:bidi="ar-SA"/>
        </w:rPr>
        <w:t>表</w:t>
      </w:r>
      <w:r>
        <w:rPr>
          <w:rFonts w:hint="eastAsia" w:ascii="Times New Roman" w:hAnsi="Times New Roman" w:eastAsia="黑体" w:cs="Times New Roman"/>
          <w:kern w:val="2"/>
          <w:sz w:val="24"/>
          <w:szCs w:val="24"/>
          <w:highlight w:val="none"/>
          <w:lang w:val="en-US" w:eastAsia="zh-CN" w:bidi="ar-SA"/>
        </w:rPr>
        <w:t>3-6</w:t>
      </w:r>
      <w:r>
        <w:rPr>
          <w:rFonts w:ascii="Times New Roman" w:hAnsi="Times New Roman" w:eastAsia="黑体" w:cs="Times New Roman"/>
          <w:kern w:val="2"/>
          <w:sz w:val="24"/>
          <w:szCs w:val="24"/>
          <w:highlight w:val="none"/>
          <w:lang w:val="en-US" w:eastAsia="zh-CN" w:bidi="ar-SA"/>
        </w:rPr>
        <w:t xml:space="preserve">      </w:t>
      </w:r>
      <w:r>
        <w:rPr>
          <w:rFonts w:hint="eastAsia" w:ascii="Times New Roman" w:hAnsi="Times New Roman" w:eastAsia="黑体" w:cs="Times New Roman"/>
          <w:kern w:val="2"/>
          <w:sz w:val="24"/>
          <w:szCs w:val="24"/>
          <w:highlight w:val="none"/>
          <w:lang w:val="en-US" w:eastAsia="zh-CN" w:bidi="ar-SA"/>
        </w:rPr>
        <w:t>羊屠宰</w:t>
      </w:r>
      <w:r>
        <w:rPr>
          <w:rFonts w:ascii="Times New Roman" w:hAnsi="Times New Roman" w:eastAsia="黑体" w:cs="Times New Roman"/>
          <w:kern w:val="2"/>
          <w:sz w:val="24"/>
          <w:szCs w:val="24"/>
          <w:highlight w:val="none"/>
          <w:lang w:val="en-US" w:eastAsia="zh-CN" w:bidi="ar-SA"/>
        </w:rPr>
        <w:t>产品方案设计</w:t>
      </w:r>
    </w:p>
    <w:tbl>
      <w:tblPr>
        <w:tblStyle w:val="20"/>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318"/>
        <w:gridCol w:w="731"/>
        <w:gridCol w:w="1538"/>
        <w:gridCol w:w="972"/>
        <w:gridCol w:w="1737"/>
        <w:gridCol w:w="20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类型</w:t>
            </w:r>
          </w:p>
        </w:tc>
        <w:tc>
          <w:tcPr>
            <w:tcW w:w="13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分级</w:t>
            </w: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kern w:val="2"/>
                <w:sz w:val="21"/>
                <w:szCs w:val="21"/>
                <w:lang w:eastAsia="zh-CN"/>
              </w:rPr>
              <w:t>产品名称</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单位</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全厂年</w:t>
            </w:r>
            <w:r>
              <w:rPr>
                <w:rFonts w:ascii="Times New Roman" w:hAnsi="Times New Roman" w:eastAsia="宋体" w:cs="Times New Roman"/>
                <w:snapToGrid/>
                <w:kern w:val="2"/>
                <w:sz w:val="21"/>
                <w:szCs w:val="21"/>
                <w:lang w:eastAsia="zh-CN"/>
              </w:rPr>
              <w:t>产量</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质量占比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羊</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工</w:t>
            </w:r>
          </w:p>
        </w:tc>
        <w:tc>
          <w:tcPr>
            <w:tcW w:w="13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eastAsia="zh-CN"/>
              </w:rPr>
              <w:t>主产品</w:t>
            </w:r>
            <w:r>
              <w:rPr>
                <w:rFonts w:hint="eastAsia" w:ascii="Times New Roman" w:hAnsi="Times New Roman" w:eastAsia="宋体" w:cs="Times New Roman"/>
                <w:snapToGrid/>
                <w:kern w:val="2"/>
                <w:sz w:val="21"/>
                <w:szCs w:val="21"/>
                <w:lang w:val="en-US" w:eastAsia="zh-CN"/>
              </w:rPr>
              <w:t>5878.45t/a</w:t>
            </w:r>
          </w:p>
        </w:tc>
        <w:tc>
          <w:tcPr>
            <w:tcW w:w="7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带皮羊酮体</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分割羊肉</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2463</w:t>
            </w:r>
          </w:p>
        </w:tc>
        <w:tc>
          <w:tcPr>
            <w:tcW w:w="20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78.38%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7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食用羊骨</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3115.45</w:t>
            </w:r>
          </w:p>
        </w:tc>
        <w:tc>
          <w:tcPr>
            <w:tcW w:w="20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7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羊皮</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300（150000张）</w:t>
            </w:r>
          </w:p>
        </w:tc>
        <w:tc>
          <w:tcPr>
            <w:tcW w:w="20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副产品</w:t>
            </w:r>
            <w:r>
              <w:rPr>
                <w:rFonts w:hint="eastAsia" w:ascii="Times New Roman" w:hAnsi="Times New Roman" w:eastAsia="宋体" w:cs="Times New Roman"/>
                <w:snapToGrid/>
                <w:kern w:val="2"/>
                <w:sz w:val="21"/>
                <w:szCs w:val="21"/>
                <w:lang w:val="en-US" w:eastAsia="zh-CN"/>
              </w:rPr>
              <w:t>1320t/a</w:t>
            </w: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eastAsia="zh-CN"/>
              </w:rPr>
              <w:t>羊</w:t>
            </w:r>
            <w:r>
              <w:rPr>
                <w:rFonts w:ascii="Times New Roman" w:hAnsi="Times New Roman" w:eastAsia="宋体" w:cs="Times New Roman"/>
                <w:snapToGrid/>
                <w:kern w:val="2"/>
                <w:sz w:val="21"/>
                <w:szCs w:val="21"/>
                <w:lang w:eastAsia="zh-CN"/>
              </w:rPr>
              <w:t>血</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val="en-US" w:eastAsia="zh-CN"/>
              </w:rPr>
              <w:t>300</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val="en-US" w:eastAsia="zh-CN" w:bidi="ar-SA"/>
              </w:rPr>
              <w:t>羊毛</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val="en-US" w:eastAsia="zh-CN" w:bidi="ar-SA"/>
              </w:rPr>
              <w:t>150</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val="en-US" w:eastAsia="zh-CN" w:bidi="ar-SA"/>
              </w:rPr>
              <w:t>2</w:t>
            </w:r>
            <w:r>
              <w:rPr>
                <w:rFonts w:hint="eastAsia" w:ascii="Times New Roman" w:hAnsi="Times New Roman" w:eastAsia="宋体" w:cs="Times New Roman"/>
                <w:snapToGrid/>
                <w:kern w:val="2"/>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val="en-US" w:eastAsia="zh-CN"/>
              </w:rPr>
              <w:t>红白内脏</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val="en-US" w:eastAsia="zh-CN"/>
              </w:rPr>
              <w:t>87</w:t>
            </w:r>
            <w:r>
              <w:rPr>
                <w:rFonts w:ascii="Times New Roman" w:hAnsi="Times New Roman" w:eastAsia="宋体" w:cs="Times New Roman"/>
                <w:snapToGrid/>
                <w:kern w:val="2"/>
                <w:sz w:val="21"/>
                <w:szCs w:val="21"/>
                <w:lang w:eastAsia="zh-CN"/>
              </w:rPr>
              <w:t>0</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val="en-US" w:eastAsia="zh-CN" w:bidi="ar-SA"/>
              </w:rPr>
            </w:pPr>
            <w:r>
              <w:rPr>
                <w:rFonts w:hint="eastAsia" w:ascii="Times New Roman" w:hAnsi="Times New Roman" w:eastAsia="宋体" w:cs="Times New Roman"/>
                <w:snapToGrid/>
                <w:kern w:val="2"/>
                <w:sz w:val="21"/>
                <w:szCs w:val="21"/>
                <w:lang w:val="en-US" w:eastAsia="zh-CN"/>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固体废物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val="en-US" w:eastAsia="zh-CN"/>
              </w:rPr>
              <w:t>285.8t/a</w:t>
            </w: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肠胃内容物</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225</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1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p>
        </w:tc>
        <w:tc>
          <w:tcPr>
            <w:tcW w:w="22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粪便</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60.8</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35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病死羊及不合格肉品</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15.75</w:t>
            </w:r>
          </w:p>
        </w:tc>
        <w:tc>
          <w:tcPr>
            <w:tcW w:w="20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0.21%</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snapToGrid/>
          <w:kern w:val="2"/>
          <w:sz w:val="21"/>
          <w:szCs w:val="18"/>
          <w:lang w:eastAsia="zh-CN"/>
        </w:rPr>
      </w:pPr>
      <w:r>
        <w:rPr>
          <w:rFonts w:hint="eastAsia" w:ascii="Times New Roman" w:hAnsi="Times New Roman" w:eastAsia="宋体" w:cs="Times New Roman"/>
          <w:snapToGrid/>
          <w:kern w:val="2"/>
          <w:sz w:val="21"/>
          <w:szCs w:val="18"/>
          <w:lang w:val="en-US" w:eastAsia="zh-CN"/>
        </w:rPr>
        <w:t>注：①单个肉羊出栏平均体重50kg计算，屠宰毛重约7500t/a（实际生产时，待宰羊必然存在较显著的个体差异，所产出的主副产品各自产量、产率也会存在一定变化，表中所列数据系根据同行业项目统计数据给出的平均值）。②肉羊屠宰过程的肉品水分蒸发、有机质挥发以及不可收集的极少量碎肉、碎骨等损失量忽略不计。</w:t>
      </w:r>
    </w:p>
    <w:p>
      <w:pPr>
        <w:widowControl w:val="0"/>
        <w:kinsoku/>
        <w:autoSpaceDE/>
        <w:autoSpaceDN/>
        <w:adjustRightInd w:val="0"/>
        <w:snapToGrid w:val="0"/>
        <w:spacing w:line="520" w:lineRule="exact"/>
        <w:ind w:firstLine="480" w:firstLineChars="200"/>
        <w:jc w:val="both"/>
        <w:textAlignment w:val="auto"/>
        <w:rPr>
          <w:rFonts w:hint="default" w:ascii="Times New Roman" w:hAnsi="Times New Roman" w:eastAsia="宋体" w:cs="Times New Roman"/>
          <w:b w:val="0"/>
          <w:bCs/>
          <w:snapToGrid/>
          <w:kern w:val="2"/>
          <w:sz w:val="24"/>
          <w:szCs w:val="24"/>
          <w:lang w:eastAsia="zh-CN"/>
        </w:rPr>
      </w:pPr>
      <w:r>
        <w:rPr>
          <w:rFonts w:hint="eastAsia" w:ascii="Times New Roman" w:hAnsi="Times New Roman" w:eastAsia="宋体" w:cs="Times New Roman"/>
          <w:b w:val="0"/>
          <w:bCs/>
          <w:snapToGrid/>
          <w:kern w:val="2"/>
          <w:sz w:val="24"/>
          <w:szCs w:val="24"/>
          <w:lang w:val="en-US" w:eastAsia="zh-CN"/>
        </w:rPr>
        <w:t>（2）</w:t>
      </w:r>
      <w:r>
        <w:rPr>
          <w:rFonts w:hint="default" w:ascii="Times New Roman" w:hAnsi="Times New Roman" w:eastAsia="宋体" w:cs="Times New Roman"/>
          <w:b w:val="0"/>
          <w:bCs/>
          <w:snapToGrid/>
          <w:kern w:val="2"/>
          <w:sz w:val="24"/>
          <w:szCs w:val="24"/>
          <w:lang w:val="en-US" w:eastAsia="zh-CN"/>
        </w:rPr>
        <w:t>产品指标：</w:t>
      </w:r>
      <w:r>
        <w:rPr>
          <w:rFonts w:hint="eastAsia" w:ascii="Times New Roman" w:hAnsi="Times New Roman" w:eastAsia="宋体" w:cs="Times New Roman"/>
          <w:b w:val="0"/>
          <w:bCs/>
          <w:snapToGrid/>
          <w:kern w:val="2"/>
          <w:sz w:val="24"/>
          <w:szCs w:val="24"/>
          <w:lang w:val="en-US" w:eastAsia="zh-CN"/>
        </w:rPr>
        <w:t>牛、</w:t>
      </w:r>
      <w:r>
        <w:rPr>
          <w:rFonts w:hint="default" w:ascii="Times New Roman" w:hAnsi="Times New Roman" w:eastAsia="宋体" w:cs="Times New Roman"/>
          <w:b w:val="0"/>
          <w:bCs/>
          <w:snapToGrid/>
          <w:kern w:val="2"/>
          <w:sz w:val="24"/>
          <w:szCs w:val="24"/>
          <w:lang w:val="en-US" w:eastAsia="zh-CN"/>
        </w:rPr>
        <w:t>羊肉执行《鲜（冻）畜肉卫生标准》（GB2707-2016）。产品质量标准及指标要求如下。</w:t>
      </w:r>
    </w:p>
    <w:p>
      <w:pPr>
        <w:widowControl w:val="0"/>
        <w:kinsoku/>
        <w:autoSpaceDE/>
        <w:autoSpaceDN/>
        <w:adjustRightInd w:val="0"/>
        <w:snapToGrid w:val="0"/>
        <w:spacing w:line="520" w:lineRule="exact"/>
        <w:ind w:left="0" w:leftChars="0" w:firstLine="0" w:firstLineChars="0"/>
        <w:jc w:val="center"/>
        <w:textAlignment w:val="auto"/>
        <w:rPr>
          <w:rFonts w:hint="default" w:ascii="Times New Roman" w:hAnsi="Times New Roman" w:eastAsia="宋体" w:cs="Times New Roman"/>
          <w:b w:val="0"/>
          <w:bCs/>
          <w:snapToGrid/>
          <w:kern w:val="2"/>
          <w:sz w:val="24"/>
          <w:szCs w:val="24"/>
          <w:lang w:eastAsia="zh-CN"/>
        </w:rPr>
      </w:pPr>
      <w:r>
        <w:rPr>
          <w:rFonts w:hint="default" w:ascii="Times New Roman" w:hAnsi="Times New Roman" w:eastAsia="宋体" w:cs="Times New Roman"/>
          <w:b/>
          <w:bCs w:val="0"/>
          <w:snapToGrid/>
          <w:kern w:val="2"/>
          <w:sz w:val="24"/>
          <w:szCs w:val="24"/>
          <w:lang w:val="en-US" w:eastAsia="zh-CN"/>
        </w:rPr>
        <w:t>表3-</w:t>
      </w:r>
      <w:r>
        <w:rPr>
          <w:rFonts w:hint="eastAsia" w:ascii="Times New Roman" w:hAnsi="Times New Roman" w:eastAsia="宋体" w:cs="Times New Roman"/>
          <w:b/>
          <w:bCs w:val="0"/>
          <w:snapToGrid/>
          <w:kern w:val="2"/>
          <w:sz w:val="24"/>
          <w:szCs w:val="24"/>
          <w:lang w:val="en-US" w:eastAsia="zh-CN"/>
        </w:rPr>
        <w:t xml:space="preserve">7     </w:t>
      </w:r>
      <w:r>
        <w:rPr>
          <w:rFonts w:hint="default" w:ascii="Times New Roman" w:hAnsi="Times New Roman" w:eastAsia="宋体" w:cs="Times New Roman"/>
          <w:b/>
          <w:bCs w:val="0"/>
          <w:snapToGrid/>
          <w:kern w:val="2"/>
          <w:sz w:val="24"/>
          <w:szCs w:val="24"/>
          <w:lang w:val="en-US" w:eastAsia="zh-CN"/>
        </w:rPr>
        <w:t>产品质量标准及指标要求</w:t>
      </w:r>
    </w:p>
    <w:tbl>
      <w:tblPr>
        <w:tblStyle w:val="21"/>
        <w:tblW w:w="928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370"/>
        <w:gridCol w:w="58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napToGrid/>
                <w:kern w:val="2"/>
                <w:sz w:val="21"/>
                <w:szCs w:val="21"/>
                <w:vertAlign w:val="baseline"/>
                <w:lang w:eastAsia="zh-CN"/>
              </w:rPr>
            </w:pPr>
            <w:r>
              <w:rPr>
                <w:rFonts w:hint="eastAsia" w:ascii="Times New Roman" w:hAnsi="Times New Roman" w:eastAsia="宋体" w:cs="Times New Roman"/>
                <w:b w:val="0"/>
                <w:bCs/>
                <w:snapToGrid/>
                <w:kern w:val="2"/>
                <w:sz w:val="21"/>
                <w:szCs w:val="21"/>
                <w:vertAlign w:val="baseline"/>
                <w:lang w:eastAsia="zh-CN"/>
              </w:rPr>
              <w:t>序号</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napToGrid/>
                <w:kern w:val="2"/>
                <w:sz w:val="21"/>
                <w:szCs w:val="21"/>
                <w:vertAlign w:val="baseline"/>
                <w:lang w:eastAsia="zh-CN"/>
              </w:rPr>
            </w:pPr>
            <w:r>
              <w:rPr>
                <w:rFonts w:hint="eastAsia" w:ascii="Times New Roman" w:hAnsi="Times New Roman" w:eastAsia="宋体" w:cs="Times New Roman"/>
                <w:b w:val="0"/>
                <w:bCs/>
                <w:snapToGrid/>
                <w:kern w:val="2"/>
                <w:sz w:val="21"/>
                <w:szCs w:val="21"/>
                <w:vertAlign w:val="baseline"/>
                <w:lang w:eastAsia="zh-CN"/>
              </w:rPr>
              <w:t>项目</w:t>
            </w:r>
          </w:p>
        </w:tc>
        <w:tc>
          <w:tcPr>
            <w:tcW w:w="5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要求/指标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napToGrid/>
                <w:kern w:val="2"/>
                <w:sz w:val="21"/>
                <w:szCs w:val="21"/>
                <w:vertAlign w:val="baseline"/>
                <w:lang w:val="en-US" w:eastAsia="zh-CN"/>
              </w:rPr>
            </w:pPr>
            <w:r>
              <w:rPr>
                <w:rFonts w:hint="eastAsia" w:ascii="Times New Roman" w:hAnsi="Times New Roman" w:eastAsia="宋体" w:cs="Times New Roman"/>
                <w:b w:val="0"/>
                <w:bCs/>
                <w:snapToGrid/>
                <w:kern w:val="2"/>
                <w:sz w:val="21"/>
                <w:szCs w:val="21"/>
                <w:vertAlign w:val="baseline"/>
                <w:lang w:val="en-US" w:eastAsia="zh-CN"/>
              </w:rPr>
              <w:t>1</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原料要求</w:t>
            </w:r>
          </w:p>
        </w:tc>
        <w:tc>
          <w:tcPr>
            <w:tcW w:w="5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屠宰前的活畜应经动物卫生监督机构检疫、检验合格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2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napToGrid/>
                <w:kern w:val="2"/>
                <w:sz w:val="21"/>
                <w:szCs w:val="21"/>
                <w:vertAlign w:val="baseline"/>
                <w:lang w:val="en-US" w:eastAsia="zh-CN"/>
              </w:rPr>
            </w:pPr>
            <w:r>
              <w:rPr>
                <w:rFonts w:hint="eastAsia" w:ascii="Times New Roman" w:hAnsi="Times New Roman" w:eastAsia="宋体" w:cs="Times New Roman"/>
                <w:b w:val="0"/>
                <w:bCs/>
                <w:snapToGrid/>
                <w:kern w:val="2"/>
                <w:sz w:val="21"/>
                <w:szCs w:val="21"/>
                <w:vertAlign w:val="baseline"/>
                <w:lang w:val="en-US" w:eastAsia="zh-CN"/>
              </w:rPr>
              <w:t>2</w:t>
            </w:r>
          </w:p>
        </w:tc>
        <w:tc>
          <w:tcPr>
            <w:tcW w:w="23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感官要求</w:t>
            </w:r>
          </w:p>
        </w:tc>
        <w:tc>
          <w:tcPr>
            <w:tcW w:w="5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色泽：具有产品应有的色泽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2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p>
        </w:tc>
        <w:tc>
          <w:tcPr>
            <w:tcW w:w="23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p>
        </w:tc>
        <w:tc>
          <w:tcPr>
            <w:tcW w:w="5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气味：具有产品应有的气味，无异味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2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p>
        </w:tc>
        <w:tc>
          <w:tcPr>
            <w:tcW w:w="23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p>
        </w:tc>
        <w:tc>
          <w:tcPr>
            <w:tcW w:w="5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状态：具有产品应有的状态，无正常视力可见外来异物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napToGrid/>
                <w:kern w:val="2"/>
                <w:sz w:val="21"/>
                <w:szCs w:val="21"/>
                <w:vertAlign w:val="baseline"/>
                <w:lang w:val="en-US" w:eastAsia="zh-CN"/>
              </w:rPr>
            </w:pPr>
            <w:r>
              <w:rPr>
                <w:rFonts w:hint="eastAsia" w:ascii="Times New Roman" w:hAnsi="Times New Roman" w:eastAsia="宋体" w:cs="Times New Roman"/>
                <w:b w:val="0"/>
                <w:bCs/>
                <w:snapToGrid/>
                <w:kern w:val="2"/>
                <w:sz w:val="21"/>
                <w:szCs w:val="21"/>
                <w:vertAlign w:val="baseline"/>
                <w:lang w:val="en-US" w:eastAsia="zh-CN"/>
              </w:rPr>
              <w:t>3</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理化指标</w:t>
            </w:r>
          </w:p>
        </w:tc>
        <w:tc>
          <w:tcPr>
            <w:tcW w:w="5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挥发性盐基氮/（mg/100g）≤15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napToGrid/>
                <w:kern w:val="2"/>
                <w:sz w:val="21"/>
                <w:szCs w:val="21"/>
                <w:vertAlign w:val="baseline"/>
                <w:lang w:val="en-US" w:eastAsia="zh-CN"/>
              </w:rPr>
            </w:pPr>
            <w:r>
              <w:rPr>
                <w:rFonts w:hint="eastAsia" w:ascii="Times New Roman" w:hAnsi="Times New Roman" w:eastAsia="宋体" w:cs="Times New Roman"/>
                <w:b w:val="0"/>
                <w:bCs/>
                <w:snapToGrid/>
                <w:kern w:val="2"/>
                <w:sz w:val="21"/>
                <w:szCs w:val="21"/>
                <w:vertAlign w:val="baseline"/>
                <w:lang w:val="en-US" w:eastAsia="zh-CN"/>
              </w:rPr>
              <w:t>4</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农药残留</w:t>
            </w:r>
          </w:p>
        </w:tc>
        <w:tc>
          <w:tcPr>
            <w:tcW w:w="58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 xml:space="preserve">执行《食品安全国家标准 食品中农药最大残留限量》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kern w:val="2"/>
                <w:sz w:val="21"/>
                <w:szCs w:val="21"/>
                <w:vertAlign w:val="baseline"/>
                <w:lang w:eastAsia="zh-CN"/>
              </w:rPr>
            </w:pPr>
            <w:r>
              <w:rPr>
                <w:rFonts w:hint="default" w:ascii="Times New Roman" w:hAnsi="Times New Roman" w:eastAsia="宋体" w:cs="Times New Roman"/>
                <w:b w:val="0"/>
                <w:bCs/>
                <w:snapToGrid/>
                <w:kern w:val="2"/>
                <w:sz w:val="21"/>
                <w:szCs w:val="21"/>
                <w:vertAlign w:val="baseline"/>
                <w:lang w:val="en-US" w:eastAsia="zh-CN"/>
              </w:rPr>
              <w:t>（GB2763-2016）要求</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jc w:val="both"/>
        <w:textAlignment w:val="auto"/>
        <w:rPr>
          <w:rFonts w:hint="eastAsia" w:ascii="楷体" w:hAnsi="楷体" w:eastAsia="楷体" w:cs="楷体"/>
          <w:b/>
          <w:bCs w:val="0"/>
          <w:snapToGrid/>
          <w:kern w:val="2"/>
          <w:sz w:val="28"/>
          <w:szCs w:val="28"/>
          <w:lang w:eastAsia="zh-CN"/>
        </w:rPr>
      </w:pPr>
      <w:r>
        <w:rPr>
          <w:rFonts w:hint="eastAsia" w:ascii="楷体" w:hAnsi="楷体" w:eastAsia="楷体" w:cs="楷体"/>
          <w:b/>
          <w:bCs w:val="0"/>
          <w:snapToGrid/>
          <w:kern w:val="2"/>
          <w:sz w:val="28"/>
          <w:szCs w:val="28"/>
          <w:lang w:val="en-US" w:eastAsia="zh-CN"/>
        </w:rPr>
        <w:t>3.1.6</w:t>
      </w:r>
      <w:r>
        <w:rPr>
          <w:rFonts w:hint="eastAsia" w:ascii="楷体" w:hAnsi="楷体" w:eastAsia="楷体" w:cs="楷体"/>
          <w:b/>
          <w:bCs w:val="0"/>
          <w:snapToGrid/>
          <w:kern w:val="2"/>
          <w:sz w:val="28"/>
          <w:szCs w:val="28"/>
          <w:lang w:eastAsia="zh-CN"/>
        </w:rPr>
        <w:t>项目产能分析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u w:val="single"/>
          <w:lang w:eastAsia="zh-CN"/>
        </w:rPr>
      </w:pPr>
      <w:r>
        <w:rPr>
          <w:rFonts w:hint="default" w:ascii="Times New Roman" w:hAnsi="Times New Roman" w:eastAsia="宋体" w:cs="Times New Roman"/>
          <w:b w:val="0"/>
          <w:bCs/>
          <w:snapToGrid/>
          <w:kern w:val="2"/>
          <w:sz w:val="24"/>
          <w:szCs w:val="24"/>
          <w:u w:val="single"/>
          <w:lang w:eastAsia="zh-CN"/>
        </w:rPr>
        <w:t>（1）待宰间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u w:val="single"/>
          <w:lang w:val="en-US" w:eastAsia="zh-CN"/>
        </w:rPr>
      </w:pPr>
      <w:r>
        <w:rPr>
          <w:rFonts w:hint="eastAsia" w:ascii="Times New Roman" w:hAnsi="Times New Roman" w:eastAsia="宋体" w:cs="Times New Roman"/>
          <w:b w:val="0"/>
          <w:bCs/>
          <w:snapToGrid/>
          <w:kern w:val="2"/>
          <w:sz w:val="24"/>
          <w:szCs w:val="24"/>
          <w:u w:val="single"/>
          <w:lang w:val="en-US" w:eastAsia="zh-CN"/>
        </w:rPr>
        <w:t>根据</w:t>
      </w:r>
      <w:r>
        <w:rPr>
          <w:rFonts w:hint="default" w:ascii="Times New Roman" w:hAnsi="Times New Roman" w:eastAsia="宋体" w:cs="Times New Roman"/>
          <w:b w:val="0"/>
          <w:bCs/>
          <w:snapToGrid/>
          <w:kern w:val="2"/>
          <w:sz w:val="24"/>
          <w:szCs w:val="24"/>
          <w:u w:val="single"/>
          <w:lang w:val="en-US" w:eastAsia="zh-CN"/>
        </w:rPr>
        <w:t>《牛羊屠宰与分割车间设计规范》（GB51225--2017）</w:t>
      </w:r>
      <w:r>
        <w:rPr>
          <w:rFonts w:hint="eastAsia" w:ascii="Times New Roman" w:hAnsi="Times New Roman" w:eastAsia="宋体" w:cs="Times New Roman"/>
          <w:b w:val="0"/>
          <w:bCs/>
          <w:snapToGrid/>
          <w:kern w:val="2"/>
          <w:sz w:val="24"/>
          <w:szCs w:val="24"/>
          <w:u w:val="single"/>
          <w:lang w:val="en-US" w:eastAsia="zh-CN"/>
        </w:rPr>
        <w:t>，待宰间内每头牛和羊的使用面积分别按3.5m</w:t>
      </w:r>
      <w:r>
        <w:rPr>
          <w:rFonts w:hint="eastAsia" w:ascii="Times New Roman" w:hAnsi="Times New Roman" w:eastAsia="宋体" w:cs="Times New Roman"/>
          <w:b w:val="0"/>
          <w:bCs/>
          <w:snapToGrid/>
          <w:kern w:val="2"/>
          <w:sz w:val="24"/>
          <w:szCs w:val="24"/>
          <w:u w:val="single"/>
          <w:vertAlign w:val="superscript"/>
          <w:lang w:val="en-US" w:eastAsia="zh-CN"/>
        </w:rPr>
        <w:t>2</w:t>
      </w:r>
      <w:r>
        <w:rPr>
          <w:rFonts w:hint="eastAsia" w:ascii="Times New Roman" w:hAnsi="Times New Roman" w:eastAsia="宋体" w:cs="Times New Roman"/>
          <w:b w:val="0"/>
          <w:bCs/>
          <w:snapToGrid/>
          <w:kern w:val="2"/>
          <w:sz w:val="24"/>
          <w:szCs w:val="24"/>
          <w:u w:val="single"/>
          <w:lang w:val="en-US" w:eastAsia="zh-CN"/>
        </w:rPr>
        <w:t>和0.6m</w:t>
      </w:r>
      <w:r>
        <w:rPr>
          <w:rFonts w:hint="eastAsia" w:ascii="Times New Roman" w:hAnsi="Times New Roman" w:eastAsia="宋体" w:cs="Times New Roman"/>
          <w:b w:val="0"/>
          <w:bCs/>
          <w:snapToGrid/>
          <w:kern w:val="2"/>
          <w:sz w:val="24"/>
          <w:szCs w:val="24"/>
          <w:u w:val="single"/>
          <w:vertAlign w:val="superscript"/>
          <w:lang w:val="en-US" w:eastAsia="zh-CN"/>
        </w:rPr>
        <w:t>2</w:t>
      </w:r>
      <w:r>
        <w:rPr>
          <w:rFonts w:hint="eastAsia" w:ascii="Times New Roman" w:hAnsi="Times New Roman" w:eastAsia="宋体" w:cs="Times New Roman"/>
          <w:b w:val="0"/>
          <w:bCs/>
          <w:snapToGrid/>
          <w:kern w:val="2"/>
          <w:sz w:val="24"/>
          <w:szCs w:val="24"/>
          <w:u w:val="single"/>
          <w:lang w:val="en-US" w:eastAsia="zh-CN"/>
        </w:rPr>
        <w:t>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snapToGrid/>
          <w:kern w:val="2"/>
          <w:sz w:val="24"/>
          <w:szCs w:val="24"/>
          <w:u w:val="single"/>
          <w:lang w:eastAsia="zh-CN"/>
        </w:rPr>
      </w:pPr>
      <w:r>
        <w:rPr>
          <w:rFonts w:hint="eastAsia" w:ascii="Times New Roman" w:hAnsi="Times New Roman" w:eastAsia="宋体" w:cs="Times New Roman"/>
          <w:b w:val="0"/>
          <w:bCs/>
          <w:snapToGrid/>
          <w:kern w:val="2"/>
          <w:sz w:val="24"/>
          <w:szCs w:val="24"/>
          <w:u w:val="single"/>
          <w:lang w:eastAsia="zh-CN"/>
        </w:rPr>
        <w:t>①牛待宰区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u w:val="single"/>
          <w:lang w:eastAsia="zh-CN"/>
        </w:rPr>
      </w:pPr>
      <w:r>
        <w:rPr>
          <w:rFonts w:hint="default" w:ascii="Times New Roman" w:hAnsi="Times New Roman" w:eastAsia="宋体" w:cs="Times New Roman"/>
          <w:b w:val="0"/>
          <w:bCs/>
          <w:snapToGrid/>
          <w:kern w:val="2"/>
          <w:sz w:val="24"/>
          <w:szCs w:val="24"/>
          <w:u w:val="single"/>
          <w:lang w:eastAsia="zh-CN"/>
        </w:rPr>
        <w:t>项目平均每天屠宰</w:t>
      </w:r>
      <w:r>
        <w:rPr>
          <w:rFonts w:hint="eastAsia" w:ascii="Times New Roman" w:hAnsi="Times New Roman" w:eastAsia="宋体" w:cs="Times New Roman"/>
          <w:b w:val="0"/>
          <w:bCs/>
          <w:snapToGrid/>
          <w:kern w:val="2"/>
          <w:sz w:val="24"/>
          <w:szCs w:val="24"/>
          <w:u w:val="single"/>
          <w:lang w:val="en-US" w:eastAsia="zh-CN"/>
        </w:rPr>
        <w:t>32头牛</w:t>
      </w:r>
      <w:r>
        <w:rPr>
          <w:rFonts w:hint="default" w:ascii="Times New Roman" w:hAnsi="Times New Roman" w:eastAsia="宋体" w:cs="Times New Roman"/>
          <w:b w:val="0"/>
          <w:bCs/>
          <w:snapToGrid/>
          <w:kern w:val="2"/>
          <w:sz w:val="24"/>
          <w:szCs w:val="24"/>
          <w:u w:val="single"/>
          <w:lang w:eastAsia="zh-CN"/>
        </w:rPr>
        <w:t>，</w:t>
      </w:r>
      <w:r>
        <w:rPr>
          <w:rFonts w:hint="eastAsia" w:ascii="Times New Roman" w:hAnsi="Times New Roman" w:eastAsia="宋体" w:cs="Times New Roman"/>
          <w:b w:val="0"/>
          <w:bCs/>
          <w:snapToGrid/>
          <w:kern w:val="2"/>
          <w:sz w:val="24"/>
          <w:szCs w:val="24"/>
          <w:u w:val="single"/>
          <w:lang w:eastAsia="zh-CN"/>
        </w:rPr>
        <w:t>按照待宰</w:t>
      </w:r>
      <w:r>
        <w:rPr>
          <w:rFonts w:hint="eastAsia" w:ascii="Times New Roman" w:hAnsi="Times New Roman" w:eastAsia="宋体" w:cs="Times New Roman"/>
          <w:b w:val="0"/>
          <w:bCs/>
          <w:snapToGrid/>
          <w:kern w:val="2"/>
          <w:sz w:val="24"/>
          <w:szCs w:val="24"/>
          <w:u w:val="single"/>
          <w:lang w:val="en-US" w:eastAsia="zh-CN"/>
        </w:rPr>
        <w:t>24h</w:t>
      </w:r>
      <w:r>
        <w:rPr>
          <w:rFonts w:hint="eastAsia" w:ascii="Times New Roman" w:hAnsi="Times New Roman" w:eastAsia="宋体" w:cs="Times New Roman"/>
          <w:b w:val="0"/>
          <w:bCs/>
          <w:snapToGrid/>
          <w:kern w:val="2"/>
          <w:sz w:val="24"/>
          <w:szCs w:val="24"/>
          <w:u w:val="single"/>
          <w:lang w:eastAsia="zh-CN"/>
        </w:rPr>
        <w:t>，连续屠宰</w:t>
      </w:r>
      <w:r>
        <w:rPr>
          <w:rFonts w:hint="eastAsia" w:ascii="Times New Roman" w:hAnsi="Times New Roman" w:eastAsia="宋体" w:cs="Times New Roman"/>
          <w:b w:val="0"/>
          <w:bCs/>
          <w:snapToGrid/>
          <w:kern w:val="2"/>
          <w:sz w:val="24"/>
          <w:szCs w:val="24"/>
          <w:u w:val="single"/>
          <w:lang w:val="en-US" w:eastAsia="zh-CN"/>
        </w:rPr>
        <w:t>的生产负荷考虑，待宰区面积应能够至少暂存64头牛，即不少于224m</w:t>
      </w:r>
      <w:r>
        <w:rPr>
          <w:rFonts w:hint="eastAsia" w:ascii="Times New Roman" w:hAnsi="Times New Roman" w:eastAsia="宋体" w:cs="Times New Roman"/>
          <w:b w:val="0"/>
          <w:bCs/>
          <w:snapToGrid/>
          <w:kern w:val="2"/>
          <w:sz w:val="24"/>
          <w:szCs w:val="24"/>
          <w:u w:val="single"/>
          <w:vertAlign w:val="superscript"/>
          <w:lang w:val="en-US" w:eastAsia="zh-CN"/>
        </w:rPr>
        <w:t>2</w:t>
      </w:r>
      <w:r>
        <w:rPr>
          <w:rFonts w:hint="eastAsia" w:ascii="Times New Roman" w:hAnsi="Times New Roman" w:eastAsia="宋体" w:cs="Times New Roman"/>
          <w:b w:val="0"/>
          <w:bCs/>
          <w:snapToGrid/>
          <w:kern w:val="2"/>
          <w:sz w:val="24"/>
          <w:szCs w:val="24"/>
          <w:u w:val="single"/>
          <w:lang w:val="en-US" w:eastAsia="zh-CN"/>
        </w:rPr>
        <w:t>。本项目</w:t>
      </w:r>
      <w:r>
        <w:rPr>
          <w:rFonts w:hint="eastAsia" w:ascii="Times New Roman" w:hAnsi="Times New Roman" w:eastAsia="宋体" w:cs="Times New Roman"/>
          <w:b w:val="0"/>
          <w:bCs/>
          <w:snapToGrid/>
          <w:kern w:val="2"/>
          <w:sz w:val="24"/>
          <w:szCs w:val="24"/>
          <w:u w:val="single"/>
          <w:lang w:eastAsia="zh-CN"/>
        </w:rPr>
        <w:t>牛</w:t>
      </w:r>
      <w:r>
        <w:rPr>
          <w:rFonts w:hint="default" w:ascii="Times New Roman" w:hAnsi="Times New Roman" w:eastAsia="宋体" w:cs="Times New Roman"/>
          <w:b w:val="0"/>
          <w:bCs/>
          <w:snapToGrid/>
          <w:kern w:val="2"/>
          <w:sz w:val="24"/>
          <w:szCs w:val="24"/>
          <w:u w:val="single"/>
          <w:lang w:eastAsia="zh-CN"/>
        </w:rPr>
        <w:t>待宰</w:t>
      </w:r>
      <w:r>
        <w:rPr>
          <w:rFonts w:hint="eastAsia" w:ascii="Times New Roman" w:hAnsi="Times New Roman" w:eastAsia="宋体" w:cs="Times New Roman"/>
          <w:b w:val="0"/>
          <w:bCs/>
          <w:snapToGrid/>
          <w:kern w:val="2"/>
          <w:sz w:val="24"/>
          <w:szCs w:val="24"/>
          <w:u w:val="single"/>
          <w:lang w:eastAsia="zh-CN"/>
        </w:rPr>
        <w:t>区总</w:t>
      </w:r>
      <w:r>
        <w:rPr>
          <w:rFonts w:hint="default" w:ascii="Times New Roman" w:hAnsi="Times New Roman" w:eastAsia="宋体" w:cs="Times New Roman"/>
          <w:b w:val="0"/>
          <w:bCs/>
          <w:snapToGrid/>
          <w:kern w:val="2"/>
          <w:sz w:val="24"/>
          <w:szCs w:val="24"/>
          <w:u w:val="single"/>
          <w:lang w:eastAsia="zh-CN"/>
        </w:rPr>
        <w:t>面积为</w:t>
      </w:r>
      <w:r>
        <w:rPr>
          <w:rFonts w:hint="eastAsia" w:ascii="Times New Roman" w:hAnsi="Times New Roman" w:eastAsia="宋体" w:cs="Times New Roman"/>
          <w:b w:val="0"/>
          <w:bCs/>
          <w:snapToGrid/>
          <w:kern w:val="2"/>
          <w:sz w:val="24"/>
          <w:szCs w:val="24"/>
          <w:u w:val="single"/>
          <w:lang w:val="en-US" w:eastAsia="zh-CN"/>
        </w:rPr>
        <w:t>30</w:t>
      </w:r>
      <w:r>
        <w:rPr>
          <w:rFonts w:hint="default" w:ascii="Times New Roman" w:hAnsi="Times New Roman" w:eastAsia="宋体" w:cs="Times New Roman"/>
          <w:b w:val="0"/>
          <w:bCs/>
          <w:snapToGrid/>
          <w:kern w:val="2"/>
          <w:sz w:val="24"/>
          <w:szCs w:val="24"/>
          <w:u w:val="single"/>
          <w:lang w:eastAsia="zh-CN"/>
        </w:rPr>
        <w:t>0m</w:t>
      </w:r>
      <w:r>
        <w:rPr>
          <w:rFonts w:hint="default" w:ascii="Times New Roman" w:hAnsi="Times New Roman" w:eastAsia="宋体" w:cs="Times New Roman"/>
          <w:b w:val="0"/>
          <w:bCs/>
          <w:snapToGrid/>
          <w:kern w:val="2"/>
          <w:sz w:val="24"/>
          <w:szCs w:val="24"/>
          <w:u w:val="single"/>
          <w:vertAlign w:val="superscript"/>
          <w:lang w:eastAsia="zh-CN"/>
        </w:rPr>
        <w:t>2</w:t>
      </w:r>
      <w:r>
        <w:rPr>
          <w:rFonts w:hint="default" w:ascii="Times New Roman" w:hAnsi="Times New Roman" w:eastAsia="宋体" w:cs="Times New Roman"/>
          <w:b w:val="0"/>
          <w:bCs/>
          <w:snapToGrid/>
          <w:kern w:val="2"/>
          <w:sz w:val="24"/>
          <w:szCs w:val="24"/>
          <w:u w:val="single"/>
          <w:lang w:eastAsia="zh-CN"/>
        </w:rPr>
        <w:t>，</w:t>
      </w:r>
      <w:r>
        <w:rPr>
          <w:rFonts w:hint="eastAsia" w:ascii="Times New Roman" w:hAnsi="Times New Roman" w:eastAsia="宋体" w:cs="Times New Roman"/>
          <w:b w:val="0"/>
          <w:bCs/>
          <w:snapToGrid/>
          <w:kern w:val="2"/>
          <w:sz w:val="24"/>
          <w:szCs w:val="24"/>
          <w:u w:val="single"/>
          <w:lang w:val="en-US" w:eastAsia="zh-CN"/>
        </w:rPr>
        <w:t>完全可以达到</w:t>
      </w:r>
      <w:r>
        <w:rPr>
          <w:rFonts w:hint="eastAsia" w:ascii="Times New Roman" w:hAnsi="Times New Roman" w:eastAsia="宋体" w:cs="Times New Roman"/>
          <w:b w:val="0"/>
          <w:bCs/>
          <w:snapToGrid/>
          <w:kern w:val="2"/>
          <w:sz w:val="24"/>
          <w:szCs w:val="24"/>
          <w:u w:val="single"/>
          <w:lang w:eastAsia="zh-CN"/>
        </w:rPr>
        <w:t>连续生产（</w:t>
      </w:r>
      <w:r>
        <w:rPr>
          <w:rFonts w:hint="eastAsia" w:ascii="Times New Roman" w:hAnsi="Times New Roman" w:eastAsia="宋体" w:cs="Times New Roman"/>
          <w:b w:val="0"/>
          <w:bCs/>
          <w:snapToGrid/>
          <w:kern w:val="2"/>
          <w:sz w:val="24"/>
          <w:szCs w:val="24"/>
          <w:u w:val="single"/>
          <w:lang w:val="en-US" w:eastAsia="zh-CN"/>
        </w:rPr>
        <w:t>2倍屠宰量</w:t>
      </w:r>
      <w:r>
        <w:rPr>
          <w:rFonts w:hint="eastAsia" w:ascii="Times New Roman" w:hAnsi="Times New Roman" w:eastAsia="宋体" w:cs="Times New Roman"/>
          <w:b w:val="0"/>
          <w:bCs/>
          <w:snapToGrid/>
          <w:kern w:val="2"/>
          <w:sz w:val="24"/>
          <w:szCs w:val="24"/>
          <w:u w:val="single"/>
          <w:lang w:eastAsia="zh-CN"/>
        </w:rPr>
        <w:t>）</w:t>
      </w:r>
      <w:r>
        <w:rPr>
          <w:rFonts w:hint="eastAsia" w:ascii="Times New Roman" w:hAnsi="Times New Roman" w:eastAsia="宋体" w:cs="Times New Roman"/>
          <w:b w:val="0"/>
          <w:bCs/>
          <w:snapToGrid/>
          <w:kern w:val="2"/>
          <w:sz w:val="24"/>
          <w:szCs w:val="24"/>
          <w:u w:val="single"/>
          <w:lang w:val="en-US" w:eastAsia="zh-CN"/>
        </w:rPr>
        <w:t>的</w:t>
      </w:r>
      <w:r>
        <w:rPr>
          <w:rFonts w:hint="eastAsia" w:ascii="Times New Roman" w:hAnsi="Times New Roman" w:eastAsia="宋体" w:cs="Times New Roman"/>
          <w:b w:val="0"/>
          <w:bCs/>
          <w:snapToGrid/>
          <w:kern w:val="2"/>
          <w:sz w:val="24"/>
          <w:szCs w:val="24"/>
          <w:u w:val="single"/>
          <w:lang w:eastAsia="zh-CN"/>
        </w:rPr>
        <w:t>待宰牛</w:t>
      </w:r>
      <w:r>
        <w:rPr>
          <w:rFonts w:hint="default" w:ascii="Times New Roman" w:hAnsi="Times New Roman" w:eastAsia="宋体" w:cs="Times New Roman"/>
          <w:b w:val="0"/>
          <w:bCs/>
          <w:snapToGrid/>
          <w:kern w:val="2"/>
          <w:sz w:val="24"/>
          <w:szCs w:val="24"/>
          <w:u w:val="single"/>
          <w:lang w:eastAsia="zh-CN"/>
        </w:rPr>
        <w:t>临时存放</w:t>
      </w:r>
      <w:r>
        <w:rPr>
          <w:rFonts w:hint="eastAsia" w:ascii="Times New Roman" w:hAnsi="Times New Roman" w:eastAsia="宋体" w:cs="Times New Roman"/>
          <w:b w:val="0"/>
          <w:bCs/>
          <w:snapToGrid/>
          <w:kern w:val="2"/>
          <w:sz w:val="24"/>
          <w:szCs w:val="24"/>
          <w:u w:val="single"/>
          <w:lang w:eastAsia="zh-CN"/>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snapToGrid/>
          <w:kern w:val="2"/>
          <w:sz w:val="24"/>
          <w:szCs w:val="24"/>
          <w:u w:val="single"/>
          <w:lang w:eastAsia="zh-CN"/>
        </w:rPr>
      </w:pPr>
      <w:r>
        <w:rPr>
          <w:rFonts w:hint="eastAsia" w:ascii="Times New Roman" w:hAnsi="Times New Roman" w:eastAsia="宋体" w:cs="Times New Roman"/>
          <w:b w:val="0"/>
          <w:bCs/>
          <w:snapToGrid/>
          <w:kern w:val="2"/>
          <w:sz w:val="24"/>
          <w:szCs w:val="24"/>
          <w:u w:val="single"/>
          <w:lang w:eastAsia="zh-CN"/>
        </w:rPr>
        <w:t>②羊待宰区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u w:val="single"/>
          <w:lang w:eastAsia="zh-CN"/>
        </w:rPr>
      </w:pPr>
      <w:r>
        <w:rPr>
          <w:rFonts w:hint="default" w:ascii="Times New Roman" w:hAnsi="Times New Roman" w:eastAsia="宋体" w:cs="Times New Roman"/>
          <w:b w:val="0"/>
          <w:bCs/>
          <w:snapToGrid/>
          <w:kern w:val="2"/>
          <w:sz w:val="24"/>
          <w:szCs w:val="24"/>
          <w:u w:val="single"/>
          <w:lang w:eastAsia="zh-CN"/>
        </w:rPr>
        <w:t>项目平均每天屠宰</w:t>
      </w:r>
      <w:r>
        <w:rPr>
          <w:rFonts w:hint="eastAsia" w:ascii="Times New Roman" w:hAnsi="Times New Roman" w:eastAsia="宋体" w:cs="Times New Roman"/>
          <w:b w:val="0"/>
          <w:bCs/>
          <w:snapToGrid/>
          <w:kern w:val="2"/>
          <w:sz w:val="24"/>
          <w:szCs w:val="24"/>
          <w:u w:val="single"/>
          <w:lang w:val="en-US" w:eastAsia="zh-CN"/>
        </w:rPr>
        <w:t>469只羊</w:t>
      </w:r>
      <w:r>
        <w:rPr>
          <w:rFonts w:hint="default" w:ascii="Times New Roman" w:hAnsi="Times New Roman" w:eastAsia="宋体" w:cs="Times New Roman"/>
          <w:b w:val="0"/>
          <w:bCs/>
          <w:snapToGrid/>
          <w:kern w:val="2"/>
          <w:sz w:val="24"/>
          <w:szCs w:val="24"/>
          <w:u w:val="single"/>
          <w:lang w:eastAsia="zh-CN"/>
        </w:rPr>
        <w:t>，</w:t>
      </w:r>
      <w:r>
        <w:rPr>
          <w:rFonts w:hint="eastAsia" w:ascii="Times New Roman" w:hAnsi="Times New Roman" w:eastAsia="宋体" w:cs="Times New Roman"/>
          <w:b w:val="0"/>
          <w:bCs/>
          <w:snapToGrid/>
          <w:kern w:val="2"/>
          <w:sz w:val="24"/>
          <w:szCs w:val="24"/>
          <w:u w:val="single"/>
          <w:lang w:eastAsia="zh-CN"/>
        </w:rPr>
        <w:t>按照待宰</w:t>
      </w:r>
      <w:r>
        <w:rPr>
          <w:rFonts w:hint="eastAsia" w:ascii="Times New Roman" w:hAnsi="Times New Roman" w:eastAsia="宋体" w:cs="Times New Roman"/>
          <w:b w:val="0"/>
          <w:bCs/>
          <w:snapToGrid/>
          <w:kern w:val="2"/>
          <w:sz w:val="24"/>
          <w:szCs w:val="24"/>
          <w:u w:val="single"/>
          <w:lang w:val="en-US" w:eastAsia="zh-CN"/>
        </w:rPr>
        <w:t>24h</w:t>
      </w:r>
      <w:r>
        <w:rPr>
          <w:rFonts w:hint="eastAsia" w:ascii="Times New Roman" w:hAnsi="Times New Roman" w:eastAsia="宋体" w:cs="Times New Roman"/>
          <w:b w:val="0"/>
          <w:bCs/>
          <w:snapToGrid/>
          <w:kern w:val="2"/>
          <w:sz w:val="24"/>
          <w:szCs w:val="24"/>
          <w:u w:val="single"/>
          <w:lang w:eastAsia="zh-CN"/>
        </w:rPr>
        <w:t>，连续屠宰</w:t>
      </w:r>
      <w:r>
        <w:rPr>
          <w:rFonts w:hint="eastAsia" w:ascii="Times New Roman" w:hAnsi="Times New Roman" w:eastAsia="宋体" w:cs="Times New Roman"/>
          <w:b w:val="0"/>
          <w:bCs/>
          <w:snapToGrid/>
          <w:kern w:val="2"/>
          <w:sz w:val="24"/>
          <w:szCs w:val="24"/>
          <w:u w:val="single"/>
          <w:lang w:val="en-US" w:eastAsia="zh-CN"/>
        </w:rPr>
        <w:t>的生产负荷考虑，待宰区面积应能够至少暂存938只羊，即不少于562.8m</w:t>
      </w:r>
      <w:r>
        <w:rPr>
          <w:rFonts w:hint="eastAsia" w:ascii="Times New Roman" w:hAnsi="Times New Roman" w:eastAsia="宋体" w:cs="Times New Roman"/>
          <w:b w:val="0"/>
          <w:bCs/>
          <w:snapToGrid/>
          <w:kern w:val="2"/>
          <w:sz w:val="24"/>
          <w:szCs w:val="24"/>
          <w:u w:val="single"/>
          <w:vertAlign w:val="superscript"/>
          <w:lang w:val="en-US" w:eastAsia="zh-CN"/>
        </w:rPr>
        <w:t>2</w:t>
      </w:r>
      <w:r>
        <w:rPr>
          <w:rFonts w:hint="eastAsia" w:ascii="Times New Roman" w:hAnsi="Times New Roman" w:eastAsia="宋体" w:cs="Times New Roman"/>
          <w:b w:val="0"/>
          <w:bCs/>
          <w:snapToGrid/>
          <w:kern w:val="2"/>
          <w:sz w:val="24"/>
          <w:szCs w:val="24"/>
          <w:u w:val="single"/>
          <w:lang w:val="en-US" w:eastAsia="zh-CN"/>
        </w:rPr>
        <w:t>。本项目</w:t>
      </w:r>
      <w:r>
        <w:rPr>
          <w:rFonts w:hint="eastAsia" w:ascii="Times New Roman" w:hAnsi="Times New Roman" w:eastAsia="宋体" w:cs="Times New Roman"/>
          <w:b w:val="0"/>
          <w:bCs/>
          <w:snapToGrid/>
          <w:kern w:val="2"/>
          <w:sz w:val="24"/>
          <w:szCs w:val="24"/>
          <w:u w:val="single"/>
          <w:lang w:eastAsia="zh-CN"/>
        </w:rPr>
        <w:t>羊</w:t>
      </w:r>
      <w:r>
        <w:rPr>
          <w:rFonts w:hint="default" w:ascii="Times New Roman" w:hAnsi="Times New Roman" w:eastAsia="宋体" w:cs="Times New Roman"/>
          <w:b w:val="0"/>
          <w:bCs/>
          <w:snapToGrid/>
          <w:kern w:val="2"/>
          <w:sz w:val="24"/>
          <w:szCs w:val="24"/>
          <w:u w:val="single"/>
          <w:lang w:eastAsia="zh-CN"/>
        </w:rPr>
        <w:t>待宰</w:t>
      </w:r>
      <w:r>
        <w:rPr>
          <w:rFonts w:hint="eastAsia" w:ascii="Times New Roman" w:hAnsi="Times New Roman" w:eastAsia="宋体" w:cs="Times New Roman"/>
          <w:b w:val="0"/>
          <w:bCs/>
          <w:snapToGrid/>
          <w:kern w:val="2"/>
          <w:sz w:val="24"/>
          <w:szCs w:val="24"/>
          <w:u w:val="single"/>
          <w:lang w:eastAsia="zh-CN"/>
        </w:rPr>
        <w:t>区总</w:t>
      </w:r>
      <w:r>
        <w:rPr>
          <w:rFonts w:hint="default" w:ascii="Times New Roman" w:hAnsi="Times New Roman" w:eastAsia="宋体" w:cs="Times New Roman"/>
          <w:b w:val="0"/>
          <w:bCs/>
          <w:snapToGrid/>
          <w:kern w:val="2"/>
          <w:sz w:val="24"/>
          <w:szCs w:val="24"/>
          <w:u w:val="single"/>
          <w:lang w:eastAsia="zh-CN"/>
        </w:rPr>
        <w:t>面积为</w:t>
      </w:r>
      <w:r>
        <w:rPr>
          <w:rFonts w:hint="eastAsia" w:ascii="Times New Roman" w:hAnsi="Times New Roman" w:eastAsia="宋体" w:cs="Times New Roman"/>
          <w:b w:val="0"/>
          <w:bCs/>
          <w:snapToGrid/>
          <w:kern w:val="2"/>
          <w:sz w:val="24"/>
          <w:szCs w:val="24"/>
          <w:u w:val="single"/>
          <w:lang w:val="en-US" w:eastAsia="zh-CN"/>
        </w:rPr>
        <w:t>60</w:t>
      </w:r>
      <w:r>
        <w:rPr>
          <w:rFonts w:hint="default" w:ascii="Times New Roman" w:hAnsi="Times New Roman" w:eastAsia="宋体" w:cs="Times New Roman"/>
          <w:b w:val="0"/>
          <w:bCs/>
          <w:snapToGrid/>
          <w:kern w:val="2"/>
          <w:sz w:val="24"/>
          <w:szCs w:val="24"/>
          <w:u w:val="single"/>
          <w:lang w:eastAsia="zh-CN"/>
        </w:rPr>
        <w:t>0m</w:t>
      </w:r>
      <w:r>
        <w:rPr>
          <w:rFonts w:hint="default" w:ascii="Times New Roman" w:hAnsi="Times New Roman" w:eastAsia="宋体" w:cs="Times New Roman"/>
          <w:b w:val="0"/>
          <w:bCs/>
          <w:snapToGrid/>
          <w:kern w:val="2"/>
          <w:sz w:val="24"/>
          <w:szCs w:val="24"/>
          <w:u w:val="single"/>
          <w:vertAlign w:val="superscript"/>
          <w:lang w:eastAsia="zh-CN"/>
        </w:rPr>
        <w:t>2</w:t>
      </w:r>
      <w:r>
        <w:rPr>
          <w:rFonts w:hint="default" w:ascii="Times New Roman" w:hAnsi="Times New Roman" w:eastAsia="宋体" w:cs="Times New Roman"/>
          <w:b w:val="0"/>
          <w:bCs/>
          <w:snapToGrid/>
          <w:kern w:val="2"/>
          <w:sz w:val="24"/>
          <w:szCs w:val="24"/>
          <w:u w:val="single"/>
          <w:lang w:eastAsia="zh-CN"/>
        </w:rPr>
        <w:t>，</w:t>
      </w:r>
      <w:r>
        <w:rPr>
          <w:rFonts w:hint="eastAsia" w:ascii="Times New Roman" w:hAnsi="Times New Roman" w:eastAsia="宋体" w:cs="Times New Roman"/>
          <w:b w:val="0"/>
          <w:bCs/>
          <w:snapToGrid/>
          <w:kern w:val="2"/>
          <w:sz w:val="24"/>
          <w:szCs w:val="24"/>
          <w:u w:val="single"/>
          <w:lang w:val="en-US" w:eastAsia="zh-CN"/>
        </w:rPr>
        <w:t>完全可以达到</w:t>
      </w:r>
      <w:r>
        <w:rPr>
          <w:rFonts w:hint="eastAsia" w:ascii="Times New Roman" w:hAnsi="Times New Roman" w:eastAsia="宋体" w:cs="Times New Roman"/>
          <w:b w:val="0"/>
          <w:bCs/>
          <w:snapToGrid/>
          <w:kern w:val="2"/>
          <w:sz w:val="24"/>
          <w:szCs w:val="24"/>
          <w:u w:val="single"/>
          <w:lang w:eastAsia="zh-CN"/>
        </w:rPr>
        <w:t>连续生产（</w:t>
      </w:r>
      <w:r>
        <w:rPr>
          <w:rFonts w:hint="eastAsia" w:ascii="Times New Roman" w:hAnsi="Times New Roman" w:eastAsia="宋体" w:cs="Times New Roman"/>
          <w:b w:val="0"/>
          <w:bCs/>
          <w:snapToGrid/>
          <w:kern w:val="2"/>
          <w:sz w:val="24"/>
          <w:szCs w:val="24"/>
          <w:u w:val="single"/>
          <w:lang w:val="en-US" w:eastAsia="zh-CN"/>
        </w:rPr>
        <w:t>2倍屠宰量</w:t>
      </w:r>
      <w:r>
        <w:rPr>
          <w:rFonts w:hint="eastAsia" w:ascii="Times New Roman" w:hAnsi="Times New Roman" w:eastAsia="宋体" w:cs="Times New Roman"/>
          <w:b w:val="0"/>
          <w:bCs/>
          <w:snapToGrid/>
          <w:kern w:val="2"/>
          <w:sz w:val="24"/>
          <w:szCs w:val="24"/>
          <w:u w:val="single"/>
          <w:lang w:eastAsia="zh-CN"/>
        </w:rPr>
        <w:t>）</w:t>
      </w:r>
      <w:r>
        <w:rPr>
          <w:rFonts w:hint="eastAsia" w:ascii="Times New Roman" w:hAnsi="Times New Roman" w:eastAsia="宋体" w:cs="Times New Roman"/>
          <w:b w:val="0"/>
          <w:bCs/>
          <w:snapToGrid/>
          <w:kern w:val="2"/>
          <w:sz w:val="24"/>
          <w:szCs w:val="24"/>
          <w:u w:val="single"/>
          <w:lang w:val="en-US" w:eastAsia="zh-CN"/>
        </w:rPr>
        <w:t>的</w:t>
      </w:r>
      <w:r>
        <w:rPr>
          <w:rFonts w:hint="eastAsia" w:ascii="Times New Roman" w:hAnsi="Times New Roman" w:eastAsia="宋体" w:cs="Times New Roman"/>
          <w:b w:val="0"/>
          <w:bCs/>
          <w:snapToGrid/>
          <w:kern w:val="2"/>
          <w:sz w:val="24"/>
          <w:szCs w:val="24"/>
          <w:u w:val="single"/>
          <w:lang w:eastAsia="zh-CN"/>
        </w:rPr>
        <w:t>待宰牛</w:t>
      </w:r>
      <w:r>
        <w:rPr>
          <w:rFonts w:hint="default" w:ascii="Times New Roman" w:hAnsi="Times New Roman" w:eastAsia="宋体" w:cs="Times New Roman"/>
          <w:b w:val="0"/>
          <w:bCs/>
          <w:snapToGrid/>
          <w:kern w:val="2"/>
          <w:sz w:val="24"/>
          <w:szCs w:val="24"/>
          <w:u w:val="single"/>
          <w:lang w:eastAsia="zh-CN"/>
        </w:rPr>
        <w:t>临时存放</w:t>
      </w:r>
      <w:r>
        <w:rPr>
          <w:rFonts w:hint="eastAsia" w:ascii="Times New Roman" w:hAnsi="Times New Roman" w:eastAsia="宋体" w:cs="Times New Roman"/>
          <w:b w:val="0"/>
          <w:bCs/>
          <w:snapToGrid/>
          <w:kern w:val="2"/>
          <w:sz w:val="24"/>
          <w:szCs w:val="24"/>
          <w:u w:val="single"/>
          <w:lang w:eastAsia="zh-CN"/>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lang w:eastAsia="zh-CN"/>
        </w:rPr>
      </w:pPr>
      <w:r>
        <w:rPr>
          <w:rFonts w:hint="default" w:ascii="Times New Roman" w:hAnsi="Times New Roman" w:eastAsia="宋体" w:cs="Times New Roman"/>
          <w:b w:val="0"/>
          <w:bCs/>
          <w:snapToGrid/>
          <w:kern w:val="2"/>
          <w:sz w:val="24"/>
          <w:szCs w:val="24"/>
          <w:lang w:eastAsia="zh-CN"/>
        </w:rPr>
        <w:tab/>
      </w:r>
      <w:r>
        <w:rPr>
          <w:rFonts w:hint="default" w:ascii="Times New Roman" w:hAnsi="Times New Roman" w:eastAsia="宋体" w:cs="Times New Roman"/>
          <w:b w:val="0"/>
          <w:bCs/>
          <w:snapToGrid/>
          <w:kern w:val="2"/>
          <w:sz w:val="24"/>
          <w:szCs w:val="24"/>
          <w:lang w:eastAsia="zh-CN"/>
        </w:rPr>
        <w:t>（2）屠宰间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lang w:eastAsia="zh-CN"/>
        </w:rPr>
      </w:pPr>
      <w:r>
        <w:rPr>
          <w:rFonts w:hint="default" w:ascii="Times New Roman" w:hAnsi="Times New Roman" w:eastAsia="宋体" w:cs="Times New Roman"/>
          <w:b w:val="0"/>
          <w:bCs/>
          <w:snapToGrid/>
          <w:kern w:val="2"/>
          <w:sz w:val="24"/>
          <w:szCs w:val="24"/>
          <w:lang w:eastAsia="zh-CN"/>
        </w:rPr>
        <w:t>项目</w:t>
      </w:r>
      <w:r>
        <w:rPr>
          <w:rFonts w:hint="eastAsia" w:ascii="Times New Roman" w:hAnsi="Times New Roman" w:eastAsia="宋体" w:cs="Times New Roman"/>
          <w:b w:val="0"/>
          <w:bCs/>
          <w:snapToGrid/>
          <w:kern w:val="2"/>
          <w:sz w:val="24"/>
          <w:szCs w:val="24"/>
          <w:lang w:eastAsia="zh-CN"/>
        </w:rPr>
        <w:t>分别</w:t>
      </w:r>
      <w:r>
        <w:rPr>
          <w:rFonts w:hint="default" w:ascii="Times New Roman" w:hAnsi="Times New Roman" w:eastAsia="宋体" w:cs="Times New Roman"/>
          <w:b w:val="0"/>
          <w:bCs/>
          <w:snapToGrid/>
          <w:kern w:val="2"/>
          <w:sz w:val="24"/>
          <w:szCs w:val="24"/>
          <w:lang w:eastAsia="zh-CN"/>
        </w:rPr>
        <w:t>设置1条</w:t>
      </w:r>
      <w:r>
        <w:rPr>
          <w:rFonts w:hint="eastAsia" w:ascii="Times New Roman" w:hAnsi="Times New Roman" w:eastAsia="宋体" w:cs="Times New Roman"/>
          <w:b w:val="0"/>
          <w:bCs/>
          <w:snapToGrid/>
          <w:kern w:val="2"/>
          <w:sz w:val="24"/>
          <w:szCs w:val="24"/>
          <w:lang w:eastAsia="zh-CN"/>
        </w:rPr>
        <w:t>牛自动化屠宰</w:t>
      </w:r>
      <w:r>
        <w:rPr>
          <w:rFonts w:hint="default" w:ascii="Times New Roman" w:hAnsi="Times New Roman" w:eastAsia="宋体" w:cs="Times New Roman"/>
          <w:b w:val="0"/>
          <w:bCs/>
          <w:snapToGrid/>
          <w:kern w:val="2"/>
          <w:sz w:val="24"/>
          <w:szCs w:val="24"/>
          <w:lang w:eastAsia="zh-CN"/>
        </w:rPr>
        <w:t>线</w:t>
      </w:r>
      <w:r>
        <w:rPr>
          <w:rFonts w:hint="eastAsia" w:ascii="Times New Roman" w:hAnsi="Times New Roman" w:eastAsia="宋体" w:cs="Times New Roman"/>
          <w:b w:val="0"/>
          <w:bCs/>
          <w:snapToGrid/>
          <w:kern w:val="2"/>
          <w:sz w:val="24"/>
          <w:szCs w:val="24"/>
          <w:lang w:eastAsia="zh-CN"/>
        </w:rPr>
        <w:t>和</w:t>
      </w:r>
      <w:r>
        <w:rPr>
          <w:rFonts w:hint="default" w:ascii="Times New Roman" w:hAnsi="Times New Roman" w:eastAsia="宋体" w:cs="Times New Roman"/>
          <w:b w:val="0"/>
          <w:bCs/>
          <w:snapToGrid/>
          <w:kern w:val="2"/>
          <w:sz w:val="24"/>
          <w:szCs w:val="24"/>
          <w:lang w:eastAsia="zh-CN"/>
        </w:rPr>
        <w:t>1条</w:t>
      </w:r>
      <w:r>
        <w:rPr>
          <w:rFonts w:hint="eastAsia" w:ascii="Times New Roman" w:hAnsi="Times New Roman" w:eastAsia="宋体" w:cs="Times New Roman"/>
          <w:b w:val="0"/>
          <w:bCs/>
          <w:snapToGrid/>
          <w:kern w:val="2"/>
          <w:sz w:val="24"/>
          <w:szCs w:val="24"/>
          <w:lang w:eastAsia="zh-CN"/>
        </w:rPr>
        <w:t>羊自动化屠宰</w:t>
      </w:r>
      <w:r>
        <w:rPr>
          <w:rFonts w:hint="default" w:ascii="Times New Roman" w:hAnsi="Times New Roman" w:eastAsia="宋体" w:cs="Times New Roman"/>
          <w:b w:val="0"/>
          <w:bCs/>
          <w:snapToGrid/>
          <w:kern w:val="2"/>
          <w:sz w:val="24"/>
          <w:szCs w:val="24"/>
          <w:lang w:eastAsia="zh-CN"/>
        </w:rPr>
        <w:t>线，生产线上</w:t>
      </w:r>
      <w:r>
        <w:rPr>
          <w:rFonts w:hint="eastAsia" w:ascii="Times New Roman" w:hAnsi="Times New Roman" w:eastAsia="宋体" w:cs="Times New Roman"/>
          <w:b w:val="0"/>
          <w:bCs/>
          <w:snapToGrid/>
          <w:kern w:val="2"/>
          <w:sz w:val="24"/>
          <w:szCs w:val="24"/>
          <w:lang w:eastAsia="zh-CN"/>
        </w:rPr>
        <w:t>配套</w:t>
      </w:r>
      <w:r>
        <w:rPr>
          <w:rFonts w:hint="default" w:ascii="Times New Roman" w:hAnsi="Times New Roman" w:eastAsia="宋体" w:cs="Times New Roman"/>
          <w:b w:val="0"/>
          <w:bCs/>
          <w:snapToGrid/>
          <w:kern w:val="2"/>
          <w:sz w:val="24"/>
          <w:szCs w:val="24"/>
          <w:lang w:eastAsia="zh-CN"/>
        </w:rPr>
        <w:t>进行</w:t>
      </w:r>
      <w:r>
        <w:rPr>
          <w:rFonts w:hint="eastAsia" w:ascii="Times New Roman" w:hAnsi="Times New Roman" w:eastAsia="宋体" w:cs="Times New Roman"/>
          <w:b w:val="0"/>
          <w:bCs/>
          <w:snapToGrid/>
          <w:kern w:val="2"/>
          <w:sz w:val="24"/>
          <w:szCs w:val="24"/>
          <w:lang w:eastAsia="zh-CN"/>
        </w:rPr>
        <w:t>分类转移</w:t>
      </w:r>
      <w:r>
        <w:rPr>
          <w:rFonts w:hint="default" w:ascii="Times New Roman" w:hAnsi="Times New Roman" w:eastAsia="宋体" w:cs="Times New Roman"/>
          <w:b w:val="0"/>
          <w:bCs/>
          <w:snapToGrid/>
          <w:kern w:val="2"/>
          <w:sz w:val="24"/>
          <w:szCs w:val="24"/>
          <w:lang w:eastAsia="zh-CN"/>
        </w:rPr>
        <w:t>、胴体修整</w:t>
      </w:r>
      <w:r>
        <w:rPr>
          <w:rFonts w:hint="eastAsia" w:ascii="Times New Roman" w:hAnsi="Times New Roman" w:eastAsia="宋体" w:cs="Times New Roman"/>
          <w:b w:val="0"/>
          <w:bCs/>
          <w:snapToGrid/>
          <w:kern w:val="2"/>
          <w:sz w:val="24"/>
          <w:szCs w:val="24"/>
          <w:lang w:eastAsia="zh-CN"/>
        </w:rPr>
        <w:t>、检验</w:t>
      </w:r>
      <w:r>
        <w:rPr>
          <w:rFonts w:hint="default" w:ascii="Times New Roman" w:hAnsi="Times New Roman" w:eastAsia="宋体" w:cs="Times New Roman"/>
          <w:b w:val="0"/>
          <w:bCs/>
          <w:snapToGrid/>
          <w:kern w:val="2"/>
          <w:sz w:val="24"/>
          <w:szCs w:val="24"/>
          <w:lang w:eastAsia="zh-CN"/>
        </w:rPr>
        <w:t>等</w:t>
      </w:r>
      <w:r>
        <w:rPr>
          <w:rFonts w:hint="eastAsia" w:ascii="Times New Roman" w:hAnsi="Times New Roman" w:eastAsia="宋体" w:cs="Times New Roman"/>
          <w:b w:val="0"/>
          <w:bCs/>
          <w:snapToGrid/>
          <w:kern w:val="2"/>
          <w:sz w:val="24"/>
          <w:szCs w:val="24"/>
          <w:lang w:eastAsia="zh-CN"/>
        </w:rPr>
        <w:t>人工操作。参考</w:t>
      </w:r>
      <w:r>
        <w:rPr>
          <w:rFonts w:hint="default" w:ascii="Times New Roman" w:hAnsi="Times New Roman" w:eastAsia="宋体" w:cs="Times New Roman"/>
          <w:b w:val="0"/>
          <w:bCs/>
          <w:snapToGrid/>
          <w:kern w:val="2"/>
          <w:sz w:val="24"/>
          <w:szCs w:val="24"/>
          <w:lang w:eastAsia="zh-CN"/>
        </w:rPr>
        <w:t>同类型项目</w:t>
      </w:r>
      <w:r>
        <w:rPr>
          <w:rFonts w:hint="eastAsia" w:ascii="Times New Roman" w:hAnsi="Times New Roman" w:eastAsia="宋体" w:cs="Times New Roman"/>
          <w:b w:val="0"/>
          <w:bCs/>
          <w:snapToGrid/>
          <w:kern w:val="2"/>
          <w:sz w:val="24"/>
          <w:szCs w:val="24"/>
          <w:lang w:eastAsia="zh-CN"/>
        </w:rPr>
        <w:t>生产</w:t>
      </w:r>
      <w:r>
        <w:rPr>
          <w:rFonts w:hint="default" w:ascii="Times New Roman" w:hAnsi="Times New Roman" w:eastAsia="宋体" w:cs="Times New Roman"/>
          <w:b w:val="0"/>
          <w:bCs/>
          <w:snapToGrid/>
          <w:kern w:val="2"/>
          <w:sz w:val="24"/>
          <w:szCs w:val="24"/>
          <w:lang w:eastAsia="zh-CN"/>
        </w:rPr>
        <w:t>经验，</w:t>
      </w:r>
      <w:r>
        <w:rPr>
          <w:rFonts w:hint="eastAsia" w:ascii="Times New Roman" w:hAnsi="Times New Roman" w:eastAsia="宋体" w:cs="Times New Roman"/>
          <w:b w:val="0"/>
          <w:bCs/>
          <w:snapToGrid/>
          <w:kern w:val="2"/>
          <w:sz w:val="24"/>
          <w:szCs w:val="24"/>
          <w:lang w:eastAsia="zh-CN"/>
        </w:rPr>
        <w:t>自动化屠宰</w:t>
      </w:r>
      <w:r>
        <w:rPr>
          <w:rFonts w:hint="default" w:ascii="Times New Roman" w:hAnsi="Times New Roman" w:eastAsia="宋体" w:cs="Times New Roman"/>
          <w:b w:val="0"/>
          <w:bCs/>
          <w:snapToGrid/>
          <w:kern w:val="2"/>
          <w:sz w:val="24"/>
          <w:szCs w:val="24"/>
          <w:lang w:eastAsia="zh-CN"/>
        </w:rPr>
        <w:t>线平均每</w:t>
      </w:r>
      <w:r>
        <w:rPr>
          <w:rFonts w:hint="eastAsia" w:ascii="Times New Roman" w:hAnsi="Times New Roman" w:eastAsia="宋体" w:cs="Times New Roman"/>
          <w:b w:val="0"/>
          <w:bCs/>
          <w:snapToGrid/>
          <w:kern w:val="2"/>
          <w:sz w:val="24"/>
          <w:szCs w:val="24"/>
          <w:lang w:val="en-US" w:eastAsia="zh-CN"/>
        </w:rPr>
        <w:t>2~3</w:t>
      </w:r>
      <w:r>
        <w:rPr>
          <w:rFonts w:hint="default" w:ascii="Times New Roman" w:hAnsi="Times New Roman" w:eastAsia="宋体" w:cs="Times New Roman"/>
          <w:b w:val="0"/>
          <w:bCs/>
          <w:snapToGrid/>
          <w:kern w:val="2"/>
          <w:sz w:val="24"/>
          <w:szCs w:val="24"/>
          <w:lang w:eastAsia="zh-CN"/>
        </w:rPr>
        <w:t>分钟可宰杀一只羊</w:t>
      </w:r>
      <w:r>
        <w:rPr>
          <w:rFonts w:hint="eastAsia" w:ascii="Times New Roman" w:hAnsi="Times New Roman" w:eastAsia="宋体" w:cs="Times New Roman"/>
          <w:b w:val="0"/>
          <w:bCs/>
          <w:snapToGrid/>
          <w:kern w:val="2"/>
          <w:sz w:val="24"/>
          <w:szCs w:val="24"/>
          <w:lang w:eastAsia="zh-CN"/>
        </w:rPr>
        <w:t>，</w:t>
      </w:r>
      <w:r>
        <w:rPr>
          <w:rFonts w:hint="default" w:ascii="Times New Roman" w:hAnsi="Times New Roman" w:eastAsia="宋体" w:cs="Times New Roman"/>
          <w:b w:val="0"/>
          <w:bCs/>
          <w:snapToGrid/>
          <w:kern w:val="2"/>
          <w:sz w:val="24"/>
          <w:szCs w:val="24"/>
          <w:lang w:eastAsia="zh-CN"/>
        </w:rPr>
        <w:t>每</w:t>
      </w:r>
      <w:r>
        <w:rPr>
          <w:rFonts w:hint="eastAsia" w:ascii="Times New Roman" w:hAnsi="Times New Roman" w:eastAsia="宋体" w:cs="Times New Roman"/>
          <w:b w:val="0"/>
          <w:bCs/>
          <w:snapToGrid/>
          <w:kern w:val="2"/>
          <w:sz w:val="24"/>
          <w:szCs w:val="24"/>
          <w:lang w:val="en-US" w:eastAsia="zh-CN"/>
        </w:rPr>
        <w:t>10</w:t>
      </w:r>
      <w:r>
        <w:rPr>
          <w:rFonts w:hint="default" w:ascii="Times New Roman" w:hAnsi="Times New Roman" w:eastAsia="宋体" w:cs="Times New Roman"/>
          <w:b w:val="0"/>
          <w:bCs/>
          <w:snapToGrid/>
          <w:kern w:val="2"/>
          <w:sz w:val="24"/>
          <w:szCs w:val="24"/>
          <w:lang w:eastAsia="zh-CN"/>
        </w:rPr>
        <w:t>~</w:t>
      </w:r>
      <w:r>
        <w:rPr>
          <w:rFonts w:hint="eastAsia" w:ascii="Times New Roman" w:hAnsi="Times New Roman" w:eastAsia="宋体" w:cs="Times New Roman"/>
          <w:b w:val="0"/>
          <w:bCs/>
          <w:snapToGrid/>
          <w:kern w:val="2"/>
          <w:sz w:val="24"/>
          <w:szCs w:val="24"/>
          <w:lang w:val="en-US" w:eastAsia="zh-CN"/>
        </w:rPr>
        <w:t>15</w:t>
      </w:r>
      <w:r>
        <w:rPr>
          <w:rFonts w:hint="default" w:ascii="Times New Roman" w:hAnsi="Times New Roman" w:eastAsia="宋体" w:cs="Times New Roman"/>
          <w:b w:val="0"/>
          <w:bCs/>
          <w:snapToGrid/>
          <w:kern w:val="2"/>
          <w:sz w:val="24"/>
          <w:szCs w:val="24"/>
          <w:lang w:eastAsia="zh-CN"/>
        </w:rPr>
        <w:t>分钟可宰杀一</w:t>
      </w:r>
      <w:r>
        <w:rPr>
          <w:rFonts w:hint="eastAsia" w:ascii="Times New Roman" w:hAnsi="Times New Roman" w:eastAsia="宋体" w:cs="Times New Roman"/>
          <w:b w:val="0"/>
          <w:bCs/>
          <w:snapToGrid/>
          <w:kern w:val="2"/>
          <w:sz w:val="24"/>
          <w:szCs w:val="24"/>
          <w:lang w:eastAsia="zh-CN"/>
        </w:rPr>
        <w:t>头牛</w:t>
      </w:r>
      <w:r>
        <w:rPr>
          <w:rFonts w:hint="default" w:ascii="Times New Roman" w:hAnsi="Times New Roman" w:eastAsia="宋体" w:cs="Times New Roman"/>
          <w:b w:val="0"/>
          <w:bCs/>
          <w:snapToGrid/>
          <w:kern w:val="2"/>
          <w:sz w:val="24"/>
          <w:szCs w:val="24"/>
          <w:lang w:eastAsia="zh-CN"/>
        </w:rPr>
        <w:t>。本项目</w:t>
      </w:r>
      <w:r>
        <w:rPr>
          <w:rFonts w:hint="eastAsia" w:ascii="Times New Roman" w:hAnsi="Times New Roman" w:eastAsia="宋体" w:cs="Times New Roman"/>
          <w:b w:val="0"/>
          <w:bCs/>
          <w:snapToGrid/>
          <w:kern w:val="2"/>
          <w:sz w:val="24"/>
          <w:szCs w:val="24"/>
          <w:lang w:eastAsia="zh-CN"/>
        </w:rPr>
        <w:t>满负荷条件下，</w:t>
      </w:r>
      <w:r>
        <w:rPr>
          <w:rFonts w:hint="default" w:ascii="Times New Roman" w:hAnsi="Times New Roman" w:eastAsia="宋体" w:cs="Times New Roman"/>
          <w:b w:val="0"/>
          <w:bCs/>
          <w:snapToGrid/>
          <w:kern w:val="2"/>
          <w:sz w:val="24"/>
          <w:szCs w:val="24"/>
          <w:lang w:eastAsia="zh-CN"/>
        </w:rPr>
        <w:t>年工作3</w:t>
      </w:r>
      <w:r>
        <w:rPr>
          <w:rFonts w:hint="eastAsia" w:ascii="Times New Roman" w:hAnsi="Times New Roman" w:eastAsia="宋体" w:cs="Times New Roman"/>
          <w:b w:val="0"/>
          <w:bCs/>
          <w:snapToGrid/>
          <w:kern w:val="2"/>
          <w:sz w:val="24"/>
          <w:szCs w:val="24"/>
          <w:lang w:val="en-US" w:eastAsia="zh-CN"/>
        </w:rPr>
        <w:t>20</w:t>
      </w:r>
      <w:r>
        <w:rPr>
          <w:rFonts w:hint="default" w:ascii="Times New Roman" w:hAnsi="Times New Roman" w:eastAsia="宋体" w:cs="Times New Roman"/>
          <w:b w:val="0"/>
          <w:bCs/>
          <w:snapToGrid/>
          <w:kern w:val="2"/>
          <w:sz w:val="24"/>
          <w:szCs w:val="24"/>
          <w:lang w:eastAsia="zh-CN"/>
        </w:rPr>
        <w:t>天，每天工作16h，</w:t>
      </w:r>
      <w:r>
        <w:rPr>
          <w:rFonts w:hint="eastAsia" w:ascii="Times New Roman" w:hAnsi="Times New Roman" w:eastAsia="宋体" w:cs="Times New Roman"/>
          <w:b w:val="0"/>
          <w:bCs/>
          <w:snapToGrid/>
          <w:kern w:val="2"/>
          <w:sz w:val="24"/>
          <w:szCs w:val="24"/>
          <w:lang w:eastAsia="zh-CN"/>
        </w:rPr>
        <w:t>则最大屠宰能力为</w:t>
      </w:r>
      <w:r>
        <w:rPr>
          <w:rFonts w:hint="eastAsia" w:ascii="Times New Roman" w:hAnsi="Times New Roman" w:eastAsia="宋体" w:cs="Times New Roman"/>
          <w:b w:val="0"/>
          <w:bCs/>
          <w:snapToGrid/>
          <w:kern w:val="2"/>
          <w:sz w:val="24"/>
          <w:szCs w:val="24"/>
          <w:lang w:val="en-US" w:eastAsia="zh-CN"/>
        </w:rPr>
        <w:t>30</w:t>
      </w:r>
      <w:r>
        <w:rPr>
          <w:rFonts w:hint="default" w:ascii="Times New Roman" w:hAnsi="Times New Roman" w:eastAsia="宋体" w:cs="Times New Roman"/>
          <w:b w:val="0"/>
          <w:bCs/>
          <w:snapToGrid/>
          <w:kern w:val="2"/>
          <w:sz w:val="24"/>
          <w:szCs w:val="24"/>
          <w:lang w:eastAsia="zh-CN"/>
        </w:rPr>
        <w:t>只羊</w:t>
      </w:r>
      <w:r>
        <w:rPr>
          <w:rFonts w:hint="eastAsia" w:ascii="Times New Roman" w:hAnsi="Times New Roman" w:eastAsia="宋体" w:cs="Times New Roman"/>
          <w:b w:val="0"/>
          <w:bCs/>
          <w:snapToGrid/>
          <w:kern w:val="2"/>
          <w:sz w:val="24"/>
          <w:szCs w:val="24"/>
          <w:lang w:val="en-US" w:eastAsia="zh-CN"/>
        </w:rPr>
        <w:t>/h，480</w:t>
      </w:r>
      <w:r>
        <w:rPr>
          <w:rFonts w:hint="default" w:ascii="Times New Roman" w:hAnsi="Times New Roman" w:eastAsia="宋体" w:cs="Times New Roman"/>
          <w:b w:val="0"/>
          <w:bCs/>
          <w:snapToGrid/>
          <w:kern w:val="2"/>
          <w:sz w:val="24"/>
          <w:szCs w:val="24"/>
          <w:lang w:eastAsia="zh-CN"/>
        </w:rPr>
        <w:t>只羊</w:t>
      </w:r>
      <w:r>
        <w:rPr>
          <w:rFonts w:hint="eastAsia" w:ascii="Times New Roman" w:hAnsi="Times New Roman" w:eastAsia="宋体" w:cs="Times New Roman"/>
          <w:b w:val="0"/>
          <w:bCs/>
          <w:snapToGrid/>
          <w:kern w:val="2"/>
          <w:sz w:val="24"/>
          <w:szCs w:val="24"/>
          <w:lang w:val="en-US" w:eastAsia="zh-CN"/>
        </w:rPr>
        <w:t>/d，153600</w:t>
      </w:r>
      <w:r>
        <w:rPr>
          <w:rFonts w:hint="default" w:ascii="Times New Roman" w:hAnsi="Times New Roman" w:eastAsia="宋体" w:cs="Times New Roman"/>
          <w:b w:val="0"/>
          <w:bCs/>
          <w:snapToGrid/>
          <w:kern w:val="2"/>
          <w:sz w:val="24"/>
          <w:szCs w:val="24"/>
          <w:lang w:eastAsia="zh-CN"/>
        </w:rPr>
        <w:t>只羊</w:t>
      </w:r>
      <w:r>
        <w:rPr>
          <w:rFonts w:hint="eastAsia" w:ascii="Times New Roman" w:hAnsi="Times New Roman" w:eastAsia="宋体" w:cs="Times New Roman"/>
          <w:b w:val="0"/>
          <w:bCs/>
          <w:snapToGrid/>
          <w:kern w:val="2"/>
          <w:sz w:val="24"/>
          <w:szCs w:val="24"/>
          <w:lang w:val="en-US" w:eastAsia="zh-CN"/>
        </w:rPr>
        <w:t>/a；6</w:t>
      </w:r>
      <w:r>
        <w:rPr>
          <w:rFonts w:hint="eastAsia" w:ascii="Times New Roman" w:hAnsi="Times New Roman" w:eastAsia="宋体" w:cs="Times New Roman"/>
          <w:b w:val="0"/>
          <w:bCs/>
          <w:snapToGrid/>
          <w:kern w:val="2"/>
          <w:sz w:val="24"/>
          <w:szCs w:val="24"/>
          <w:lang w:eastAsia="zh-CN"/>
        </w:rPr>
        <w:t>头牛</w:t>
      </w:r>
      <w:r>
        <w:rPr>
          <w:rFonts w:hint="eastAsia" w:ascii="Times New Roman" w:hAnsi="Times New Roman" w:eastAsia="宋体" w:cs="Times New Roman"/>
          <w:b w:val="0"/>
          <w:bCs/>
          <w:snapToGrid/>
          <w:kern w:val="2"/>
          <w:sz w:val="24"/>
          <w:szCs w:val="24"/>
          <w:lang w:val="en-US" w:eastAsia="zh-CN"/>
        </w:rPr>
        <w:t>/h，96</w:t>
      </w:r>
      <w:r>
        <w:rPr>
          <w:rFonts w:hint="eastAsia" w:ascii="Times New Roman" w:hAnsi="Times New Roman" w:eastAsia="宋体" w:cs="Times New Roman"/>
          <w:b w:val="0"/>
          <w:bCs/>
          <w:snapToGrid/>
          <w:kern w:val="2"/>
          <w:sz w:val="24"/>
          <w:szCs w:val="24"/>
          <w:lang w:eastAsia="zh-CN"/>
        </w:rPr>
        <w:t>头牛</w:t>
      </w:r>
      <w:r>
        <w:rPr>
          <w:rFonts w:hint="eastAsia" w:ascii="Times New Roman" w:hAnsi="Times New Roman" w:eastAsia="宋体" w:cs="Times New Roman"/>
          <w:b w:val="0"/>
          <w:bCs/>
          <w:snapToGrid/>
          <w:kern w:val="2"/>
          <w:sz w:val="24"/>
          <w:szCs w:val="24"/>
          <w:lang w:val="en-US" w:eastAsia="zh-CN"/>
        </w:rPr>
        <w:t>/d，33600</w:t>
      </w:r>
      <w:r>
        <w:rPr>
          <w:rFonts w:hint="eastAsia" w:ascii="Times New Roman" w:hAnsi="Times New Roman" w:eastAsia="宋体" w:cs="Times New Roman"/>
          <w:b w:val="0"/>
          <w:bCs/>
          <w:snapToGrid/>
          <w:kern w:val="2"/>
          <w:sz w:val="24"/>
          <w:szCs w:val="24"/>
          <w:lang w:eastAsia="zh-CN"/>
        </w:rPr>
        <w:t>头牛</w:t>
      </w:r>
      <w:r>
        <w:rPr>
          <w:rFonts w:hint="eastAsia" w:ascii="Times New Roman" w:hAnsi="Times New Roman" w:eastAsia="宋体" w:cs="Times New Roman"/>
          <w:b w:val="0"/>
          <w:bCs/>
          <w:snapToGrid/>
          <w:kern w:val="2"/>
          <w:sz w:val="24"/>
          <w:szCs w:val="24"/>
          <w:lang w:val="en-US" w:eastAsia="zh-CN"/>
        </w:rPr>
        <w:t>/a（实际受制于收购肉牛数量的限制，肉牛平均屠宰量约为32头/d）</w:t>
      </w:r>
      <w:r>
        <w:rPr>
          <w:rFonts w:hint="default" w:ascii="Times New Roman" w:hAnsi="Times New Roman" w:eastAsia="宋体" w:cs="Times New Roman"/>
          <w:b w:val="0"/>
          <w:bCs/>
          <w:snapToGrid/>
          <w:kern w:val="2"/>
          <w:sz w:val="24"/>
          <w:szCs w:val="24"/>
          <w:lang w:eastAsia="zh-CN"/>
        </w:rPr>
        <w:t>，项目屠宰产能可达到项目产量需求。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lang w:eastAsia="zh-CN"/>
        </w:rPr>
      </w:pPr>
      <w:r>
        <w:rPr>
          <w:rFonts w:hint="default" w:ascii="Times New Roman" w:hAnsi="Times New Roman" w:eastAsia="宋体" w:cs="Times New Roman"/>
          <w:b w:val="0"/>
          <w:bCs/>
          <w:snapToGrid/>
          <w:kern w:val="2"/>
          <w:sz w:val="24"/>
          <w:szCs w:val="24"/>
          <w:lang w:eastAsia="zh-CN"/>
        </w:rPr>
        <w:tab/>
      </w:r>
      <w:r>
        <w:rPr>
          <w:rFonts w:hint="default" w:ascii="Times New Roman" w:hAnsi="Times New Roman" w:eastAsia="宋体" w:cs="Times New Roman"/>
          <w:b w:val="0"/>
          <w:bCs/>
          <w:snapToGrid/>
          <w:kern w:val="2"/>
          <w:sz w:val="24"/>
          <w:szCs w:val="24"/>
          <w:lang w:eastAsia="zh-CN"/>
        </w:rPr>
        <w:t>（3）冷库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lang w:eastAsia="zh-CN"/>
        </w:rPr>
      </w:pPr>
      <w:r>
        <w:rPr>
          <w:rFonts w:hint="default" w:ascii="Times New Roman" w:hAnsi="Times New Roman" w:eastAsia="宋体" w:cs="Times New Roman"/>
          <w:b w:val="0"/>
          <w:bCs/>
          <w:snapToGrid/>
          <w:kern w:val="2"/>
          <w:sz w:val="24"/>
          <w:szCs w:val="24"/>
          <w:lang w:eastAsia="zh-CN"/>
        </w:rPr>
        <w:t>对于食用内脏和食用骨，经清洗干净后，厂区首先进行速冻，然后暂存于冷库中；对于食用血，屠宰过程中通过专门存血容器进行收集，直接</w:t>
      </w:r>
      <w:r>
        <w:rPr>
          <w:rFonts w:hint="eastAsia" w:ascii="Times New Roman" w:hAnsi="Times New Roman" w:eastAsia="宋体" w:cs="Times New Roman"/>
          <w:b w:val="0"/>
          <w:bCs/>
          <w:snapToGrid/>
          <w:kern w:val="2"/>
          <w:sz w:val="24"/>
          <w:szCs w:val="24"/>
          <w:lang w:eastAsia="zh-CN"/>
        </w:rPr>
        <w:t>对外出售</w:t>
      </w:r>
      <w:r>
        <w:rPr>
          <w:rFonts w:hint="default" w:ascii="Times New Roman" w:hAnsi="Times New Roman" w:eastAsia="宋体" w:cs="Times New Roman"/>
          <w:b w:val="0"/>
          <w:bCs/>
          <w:snapToGrid/>
          <w:kern w:val="2"/>
          <w:sz w:val="24"/>
          <w:szCs w:val="24"/>
          <w:lang w:eastAsia="zh-CN"/>
        </w:rPr>
        <w:t>；对于牛羊皮，经简单撒盐处理，企业即可放入常温储藏室暂存。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lang w:val="en-US" w:eastAsia="zh-CN"/>
        </w:rPr>
      </w:pPr>
      <w:r>
        <w:rPr>
          <w:rFonts w:hint="eastAsia" w:ascii="Times New Roman" w:hAnsi="Times New Roman" w:eastAsia="宋体" w:cs="Times New Roman"/>
          <w:b w:val="0"/>
          <w:bCs/>
          <w:snapToGrid/>
          <w:kern w:val="2"/>
          <w:sz w:val="24"/>
          <w:szCs w:val="24"/>
          <w:lang w:eastAsia="zh-CN"/>
        </w:rPr>
        <w:t>对于</w:t>
      </w:r>
      <w:r>
        <w:rPr>
          <w:rFonts w:hint="default" w:ascii="Times New Roman" w:hAnsi="Times New Roman" w:eastAsia="宋体" w:cs="Times New Roman"/>
          <w:b w:val="0"/>
          <w:bCs/>
          <w:snapToGrid/>
          <w:kern w:val="2"/>
          <w:sz w:val="24"/>
          <w:szCs w:val="24"/>
          <w:lang w:eastAsia="zh-CN"/>
        </w:rPr>
        <w:t>排酸后的</w:t>
      </w:r>
      <w:r>
        <w:rPr>
          <w:rFonts w:hint="eastAsia" w:ascii="Times New Roman" w:hAnsi="Times New Roman" w:eastAsia="宋体" w:cs="Times New Roman"/>
          <w:b w:val="0"/>
          <w:bCs/>
          <w:snapToGrid/>
          <w:kern w:val="2"/>
          <w:sz w:val="24"/>
          <w:szCs w:val="24"/>
          <w:lang w:eastAsia="zh-CN"/>
        </w:rPr>
        <w:t>牛</w:t>
      </w:r>
      <w:r>
        <w:rPr>
          <w:rFonts w:hint="default" w:ascii="Times New Roman" w:hAnsi="Times New Roman" w:eastAsia="宋体" w:cs="Times New Roman"/>
          <w:b w:val="0"/>
          <w:bCs/>
          <w:snapToGrid/>
          <w:kern w:val="2"/>
          <w:sz w:val="24"/>
          <w:szCs w:val="24"/>
          <w:lang w:eastAsia="zh-CN"/>
        </w:rPr>
        <w:t>羊肉，</w:t>
      </w:r>
      <w:r>
        <w:rPr>
          <w:rFonts w:hint="eastAsia" w:ascii="Times New Roman" w:hAnsi="Times New Roman" w:eastAsia="宋体" w:cs="Times New Roman"/>
          <w:b w:val="0"/>
          <w:bCs/>
          <w:snapToGrid/>
          <w:kern w:val="2"/>
          <w:sz w:val="24"/>
          <w:szCs w:val="24"/>
          <w:lang w:eastAsia="zh-CN"/>
        </w:rPr>
        <w:t>一般会在</w:t>
      </w:r>
      <w:r>
        <w:rPr>
          <w:rFonts w:hint="default" w:ascii="Times New Roman" w:hAnsi="Times New Roman" w:eastAsia="宋体" w:cs="Times New Roman"/>
          <w:b w:val="0"/>
          <w:bCs/>
          <w:snapToGrid/>
          <w:kern w:val="2"/>
          <w:sz w:val="24"/>
          <w:szCs w:val="24"/>
          <w:lang w:eastAsia="zh-CN"/>
        </w:rPr>
        <w:t>冷库内</w:t>
      </w:r>
      <w:r>
        <w:rPr>
          <w:rFonts w:hint="eastAsia" w:ascii="Times New Roman" w:hAnsi="Times New Roman" w:eastAsia="宋体" w:cs="Times New Roman"/>
          <w:b w:val="0"/>
          <w:bCs/>
          <w:snapToGrid/>
          <w:kern w:val="2"/>
          <w:sz w:val="24"/>
          <w:szCs w:val="24"/>
          <w:lang w:eastAsia="zh-CN"/>
        </w:rPr>
        <w:t>储存</w:t>
      </w:r>
      <w:r>
        <w:rPr>
          <w:rFonts w:hint="default" w:ascii="Times New Roman" w:hAnsi="Times New Roman" w:eastAsia="宋体" w:cs="Times New Roman"/>
          <w:b w:val="0"/>
          <w:bCs/>
          <w:snapToGrid/>
          <w:kern w:val="2"/>
          <w:sz w:val="24"/>
          <w:szCs w:val="24"/>
          <w:lang w:eastAsia="zh-CN"/>
        </w:rPr>
        <w:t>。</w:t>
      </w:r>
      <w:r>
        <w:rPr>
          <w:rFonts w:hint="eastAsia" w:ascii="Times New Roman" w:hAnsi="Times New Roman" w:eastAsia="宋体" w:cs="Times New Roman"/>
          <w:b w:val="0"/>
          <w:bCs/>
          <w:snapToGrid/>
          <w:kern w:val="2"/>
          <w:sz w:val="24"/>
          <w:szCs w:val="24"/>
          <w:lang w:eastAsia="zh-CN"/>
        </w:rPr>
        <w:t>本项目厂区预计长期储存的</w:t>
      </w:r>
      <w:r>
        <w:rPr>
          <w:rFonts w:hint="default" w:ascii="Times New Roman" w:hAnsi="Times New Roman" w:eastAsia="宋体" w:cs="Times New Roman"/>
          <w:b w:val="0"/>
          <w:bCs/>
          <w:snapToGrid/>
          <w:kern w:val="2"/>
          <w:sz w:val="24"/>
          <w:szCs w:val="24"/>
          <w:lang w:eastAsia="zh-CN"/>
        </w:rPr>
        <w:t>冷冻肉</w:t>
      </w:r>
      <w:r>
        <w:rPr>
          <w:rFonts w:hint="eastAsia" w:ascii="Times New Roman" w:hAnsi="Times New Roman" w:eastAsia="宋体" w:cs="Times New Roman"/>
          <w:b w:val="0"/>
          <w:bCs/>
          <w:snapToGrid/>
          <w:kern w:val="2"/>
          <w:sz w:val="24"/>
          <w:szCs w:val="24"/>
          <w:lang w:eastAsia="zh-CN"/>
        </w:rPr>
        <w:t>产量</w:t>
      </w:r>
      <w:r>
        <w:rPr>
          <w:rFonts w:hint="default" w:ascii="Times New Roman" w:hAnsi="Times New Roman" w:eastAsia="宋体" w:cs="Times New Roman"/>
          <w:b w:val="0"/>
          <w:bCs/>
          <w:snapToGrid/>
          <w:kern w:val="2"/>
          <w:sz w:val="24"/>
          <w:szCs w:val="24"/>
          <w:lang w:eastAsia="zh-CN"/>
        </w:rPr>
        <w:t>占80%，冷鲜肉占20%。</w:t>
      </w:r>
      <w:r>
        <w:rPr>
          <w:rFonts w:hint="eastAsia" w:ascii="Times New Roman" w:hAnsi="Times New Roman" w:eastAsia="宋体" w:cs="Times New Roman"/>
          <w:b w:val="0"/>
          <w:bCs/>
          <w:snapToGrid/>
          <w:kern w:val="2"/>
          <w:sz w:val="24"/>
          <w:szCs w:val="24"/>
          <w:lang w:eastAsia="zh-CN"/>
        </w:rPr>
        <w:t>需要进入冷库冷藏的重量按</w:t>
      </w:r>
      <w:r>
        <w:rPr>
          <w:rFonts w:hint="eastAsia" w:ascii="Times New Roman" w:hAnsi="Times New Roman" w:eastAsia="宋体" w:cs="Times New Roman"/>
          <w:b w:val="0"/>
          <w:bCs/>
          <w:snapToGrid/>
          <w:kern w:val="2"/>
          <w:sz w:val="24"/>
          <w:szCs w:val="24"/>
          <w:lang w:val="en-US" w:eastAsia="zh-CN"/>
        </w:rPr>
        <w:t>300kg/头</w:t>
      </w:r>
      <w:r>
        <w:rPr>
          <w:rFonts w:hint="eastAsia" w:ascii="Times New Roman" w:hAnsi="Times New Roman" w:eastAsia="宋体" w:cs="Times New Roman"/>
          <w:b w:val="0"/>
          <w:bCs/>
          <w:snapToGrid/>
          <w:kern w:val="2"/>
          <w:sz w:val="24"/>
          <w:szCs w:val="24"/>
          <w:lang w:eastAsia="zh-CN"/>
        </w:rPr>
        <w:t>牛（考虑食用内脏和骨）</w:t>
      </w:r>
      <w:r>
        <w:rPr>
          <w:rFonts w:hint="eastAsia" w:ascii="Times New Roman" w:hAnsi="Times New Roman" w:eastAsia="宋体" w:cs="Times New Roman"/>
          <w:b w:val="0"/>
          <w:bCs/>
          <w:snapToGrid/>
          <w:kern w:val="2"/>
          <w:sz w:val="24"/>
          <w:szCs w:val="24"/>
          <w:lang w:val="en-US" w:eastAsia="zh-CN"/>
        </w:rPr>
        <w:t>，35kg/只羊</w:t>
      </w:r>
      <w:r>
        <w:rPr>
          <w:rFonts w:hint="eastAsia" w:ascii="Times New Roman" w:hAnsi="Times New Roman" w:eastAsia="宋体" w:cs="Times New Roman"/>
          <w:b w:val="0"/>
          <w:bCs/>
          <w:snapToGrid/>
          <w:kern w:val="2"/>
          <w:sz w:val="24"/>
          <w:szCs w:val="24"/>
          <w:lang w:eastAsia="zh-CN"/>
        </w:rPr>
        <w:t>（考虑食用内脏和骨）</w:t>
      </w:r>
      <w:r>
        <w:rPr>
          <w:rFonts w:hint="eastAsia" w:ascii="Times New Roman" w:hAnsi="Times New Roman" w:eastAsia="宋体" w:cs="Times New Roman"/>
          <w:b w:val="0"/>
          <w:bCs/>
          <w:snapToGrid/>
          <w:kern w:val="2"/>
          <w:sz w:val="24"/>
          <w:szCs w:val="24"/>
          <w:lang w:val="en-US" w:eastAsia="zh-CN"/>
        </w:rPr>
        <w:t>记，则冷库每天的储存量为26t。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lang w:eastAsia="zh-CN"/>
        </w:rPr>
      </w:pPr>
      <w:r>
        <w:rPr>
          <w:rFonts w:hint="default" w:ascii="Times New Roman" w:hAnsi="Times New Roman" w:eastAsia="宋体" w:cs="Times New Roman"/>
          <w:b w:val="0"/>
          <w:bCs/>
          <w:snapToGrid/>
          <w:kern w:val="2"/>
          <w:sz w:val="24"/>
          <w:szCs w:val="24"/>
          <w:lang w:eastAsia="zh-CN"/>
        </w:rPr>
        <w:t>冷冻</w:t>
      </w:r>
      <w:r>
        <w:rPr>
          <w:rFonts w:hint="eastAsia" w:ascii="Times New Roman" w:hAnsi="Times New Roman" w:eastAsia="宋体" w:cs="Times New Roman"/>
          <w:b w:val="0"/>
          <w:bCs/>
          <w:snapToGrid/>
          <w:kern w:val="2"/>
          <w:sz w:val="24"/>
          <w:szCs w:val="24"/>
          <w:lang w:eastAsia="zh-CN"/>
        </w:rPr>
        <w:t>产品</w:t>
      </w:r>
      <w:r>
        <w:rPr>
          <w:rFonts w:hint="default" w:ascii="Times New Roman" w:hAnsi="Times New Roman" w:eastAsia="宋体" w:cs="Times New Roman"/>
          <w:b w:val="0"/>
          <w:bCs/>
          <w:snapToGrid/>
          <w:kern w:val="2"/>
          <w:sz w:val="24"/>
          <w:szCs w:val="24"/>
          <w:lang w:eastAsia="zh-CN"/>
        </w:rPr>
        <w:t>在经过包装后储存于冷库区的储藏间，</w:t>
      </w:r>
      <w:r>
        <w:rPr>
          <w:rFonts w:hint="eastAsia" w:ascii="Times New Roman" w:hAnsi="Times New Roman" w:eastAsia="宋体" w:cs="Times New Roman"/>
          <w:b w:val="0"/>
          <w:bCs/>
          <w:snapToGrid/>
          <w:kern w:val="2"/>
          <w:sz w:val="24"/>
          <w:szCs w:val="24"/>
          <w:lang w:eastAsia="zh-CN"/>
        </w:rPr>
        <w:t>按</w:t>
      </w:r>
      <w:r>
        <w:rPr>
          <w:rFonts w:hint="default" w:ascii="Times New Roman" w:hAnsi="Times New Roman" w:eastAsia="宋体" w:cs="Times New Roman"/>
          <w:b w:val="0"/>
          <w:bCs/>
          <w:snapToGrid/>
          <w:kern w:val="2"/>
          <w:sz w:val="24"/>
          <w:szCs w:val="24"/>
          <w:lang w:eastAsia="zh-CN"/>
        </w:rPr>
        <w:t>每个月发货1次</w:t>
      </w:r>
      <w:r>
        <w:rPr>
          <w:rFonts w:hint="eastAsia" w:ascii="Times New Roman" w:hAnsi="Times New Roman" w:eastAsia="宋体" w:cs="Times New Roman"/>
          <w:b w:val="0"/>
          <w:bCs/>
          <w:snapToGrid/>
          <w:kern w:val="2"/>
          <w:sz w:val="24"/>
          <w:szCs w:val="24"/>
          <w:lang w:eastAsia="zh-CN"/>
        </w:rPr>
        <w:t>考虑，则冷库最大储存量为</w:t>
      </w:r>
      <w:r>
        <w:rPr>
          <w:rFonts w:hint="eastAsia" w:ascii="Times New Roman" w:hAnsi="Times New Roman" w:eastAsia="宋体" w:cs="Times New Roman"/>
          <w:b w:val="0"/>
          <w:bCs/>
          <w:snapToGrid/>
          <w:kern w:val="2"/>
          <w:sz w:val="24"/>
          <w:szCs w:val="24"/>
          <w:lang w:val="en-US" w:eastAsia="zh-CN"/>
        </w:rPr>
        <w:t>780t</w:t>
      </w:r>
      <w:r>
        <w:rPr>
          <w:rFonts w:hint="eastAsia" w:ascii="Times New Roman" w:hAnsi="Times New Roman" w:eastAsia="宋体" w:cs="Times New Roman"/>
          <w:b w:val="0"/>
          <w:bCs/>
          <w:snapToGrid/>
          <w:kern w:val="2"/>
          <w:sz w:val="24"/>
          <w:szCs w:val="24"/>
          <w:lang w:eastAsia="zh-CN"/>
        </w:rPr>
        <w:t>，本项目冷库</w:t>
      </w:r>
      <w:r>
        <w:rPr>
          <w:rFonts w:hint="eastAsia" w:ascii="Times New Roman" w:hAnsi="Times New Roman" w:eastAsia="宋体" w:cs="Times New Roman"/>
          <w:b w:val="0"/>
          <w:bCs/>
          <w:snapToGrid/>
          <w:kern w:val="2"/>
          <w:sz w:val="24"/>
          <w:szCs w:val="24"/>
          <w:lang w:val="en-US" w:eastAsia="zh-CN"/>
        </w:rPr>
        <w:t>1500t的设计规模可</w:t>
      </w:r>
      <w:r>
        <w:rPr>
          <w:rFonts w:hint="eastAsia" w:ascii="Times New Roman" w:hAnsi="Times New Roman" w:eastAsia="宋体" w:cs="Times New Roman"/>
          <w:b w:val="0"/>
          <w:bCs/>
          <w:snapToGrid/>
          <w:kern w:val="2"/>
          <w:sz w:val="24"/>
          <w:szCs w:val="24"/>
          <w:lang w:eastAsia="zh-CN"/>
        </w:rPr>
        <w:t>满足企业实际生产的需要</w:t>
      </w:r>
      <w:r>
        <w:rPr>
          <w:rFonts w:hint="default" w:ascii="Times New Roman" w:hAnsi="Times New Roman" w:eastAsia="宋体" w:cs="Times New Roman"/>
          <w:b w:val="0"/>
          <w:bCs/>
          <w:snapToGrid/>
          <w:kern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kern w:val="2"/>
          <w:sz w:val="24"/>
          <w:szCs w:val="24"/>
          <w:lang w:eastAsia="zh-CN"/>
        </w:rPr>
      </w:pPr>
      <w:r>
        <w:rPr>
          <w:rFonts w:hint="default" w:ascii="Times New Roman" w:hAnsi="Times New Roman" w:eastAsia="宋体" w:cs="Times New Roman"/>
          <w:b w:val="0"/>
          <w:bCs/>
          <w:snapToGrid/>
          <w:kern w:val="2"/>
          <w:sz w:val="24"/>
          <w:szCs w:val="24"/>
          <w:lang w:eastAsia="zh-CN"/>
        </w:rPr>
        <w:t>综上，项目产能可达到年屠宰</w:t>
      </w:r>
      <w:r>
        <w:rPr>
          <w:rFonts w:hint="eastAsia" w:ascii="Times New Roman" w:hAnsi="Times New Roman" w:eastAsia="宋体" w:cs="Times New Roman"/>
          <w:b w:val="0"/>
          <w:bCs/>
          <w:snapToGrid/>
          <w:kern w:val="2"/>
          <w:sz w:val="24"/>
          <w:szCs w:val="24"/>
          <w:lang w:val="en-US" w:eastAsia="zh-CN"/>
        </w:rPr>
        <w:t>1万头牛</w:t>
      </w:r>
      <w:r>
        <w:rPr>
          <w:rFonts w:hint="eastAsia" w:ascii="Times New Roman" w:hAnsi="Times New Roman" w:eastAsia="宋体" w:cs="Times New Roman"/>
          <w:b w:val="0"/>
          <w:bCs/>
          <w:snapToGrid/>
          <w:kern w:val="2"/>
          <w:sz w:val="24"/>
          <w:szCs w:val="24"/>
          <w:lang w:eastAsia="zh-CN"/>
        </w:rPr>
        <w:t>和</w:t>
      </w:r>
      <w:r>
        <w:rPr>
          <w:rFonts w:hint="default" w:ascii="Times New Roman" w:hAnsi="Times New Roman" w:eastAsia="宋体" w:cs="Times New Roman"/>
          <w:b w:val="0"/>
          <w:bCs/>
          <w:snapToGrid/>
          <w:kern w:val="2"/>
          <w:sz w:val="24"/>
          <w:szCs w:val="24"/>
          <w:lang w:eastAsia="zh-CN"/>
        </w:rPr>
        <w:t>1</w:t>
      </w:r>
      <w:r>
        <w:rPr>
          <w:rFonts w:hint="eastAsia" w:ascii="Times New Roman" w:hAnsi="Times New Roman" w:eastAsia="宋体" w:cs="Times New Roman"/>
          <w:b w:val="0"/>
          <w:bCs/>
          <w:snapToGrid/>
          <w:kern w:val="2"/>
          <w:sz w:val="24"/>
          <w:szCs w:val="24"/>
          <w:lang w:val="en-US" w:eastAsia="zh-CN"/>
        </w:rPr>
        <w:t>5万</w:t>
      </w:r>
      <w:r>
        <w:rPr>
          <w:rFonts w:hint="default" w:ascii="Times New Roman" w:hAnsi="Times New Roman" w:eastAsia="宋体" w:cs="Times New Roman"/>
          <w:b w:val="0"/>
          <w:bCs/>
          <w:snapToGrid/>
          <w:kern w:val="2"/>
          <w:sz w:val="24"/>
          <w:szCs w:val="24"/>
          <w:lang w:eastAsia="zh-CN"/>
        </w:rPr>
        <w:t>只羊</w:t>
      </w:r>
      <w:r>
        <w:rPr>
          <w:rFonts w:hint="eastAsia" w:ascii="Times New Roman" w:hAnsi="Times New Roman" w:eastAsia="宋体" w:cs="Times New Roman"/>
          <w:b w:val="0"/>
          <w:bCs/>
          <w:snapToGrid/>
          <w:kern w:val="2"/>
          <w:sz w:val="24"/>
          <w:szCs w:val="24"/>
          <w:lang w:eastAsia="zh-CN"/>
        </w:rPr>
        <w:t>的生产规模</w:t>
      </w:r>
      <w:r>
        <w:rPr>
          <w:rFonts w:hint="default" w:ascii="Times New Roman" w:hAnsi="Times New Roman" w:eastAsia="宋体" w:cs="Times New Roman"/>
          <w:b w:val="0"/>
          <w:bCs/>
          <w:snapToGrid/>
          <w:kern w:val="2"/>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3.1.7厂区平面布置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napToGrid/>
          <w:kern w:val="2"/>
          <w:sz w:val="24"/>
          <w:szCs w:val="24"/>
          <w:lang w:val="en-US" w:eastAsia="zh-CN"/>
        </w:rPr>
      </w:pPr>
      <w:r>
        <w:rPr>
          <w:rFonts w:hint="eastAsia" w:ascii="Times New Roman" w:hAnsi="Times New Roman" w:eastAsia="宋体" w:cs="Times New Roman"/>
          <w:b w:val="0"/>
          <w:bCs w:val="0"/>
          <w:snapToGrid/>
          <w:kern w:val="2"/>
          <w:sz w:val="24"/>
          <w:szCs w:val="24"/>
          <w:lang w:val="en-US" w:eastAsia="zh-CN"/>
        </w:rPr>
        <w:t>本项目建设由待宰区、吊宰区、精细加工区、冷库、生鲜牛羊肉批发市场以及办公楼、观光通道等组成。项目整体布局着力强化“生态”、“创新”的概念，强调公共空间的共享原则，通过科学设置的出入口和衔接路径，区域与节点等空间设计，打造厂区综合多层次的开放空间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napToGrid/>
          <w:kern w:val="2"/>
          <w:sz w:val="24"/>
          <w:szCs w:val="24"/>
          <w:lang w:val="en-US" w:eastAsia="zh-CN"/>
        </w:rPr>
      </w:pPr>
      <w:r>
        <w:rPr>
          <w:rFonts w:hint="eastAsia" w:ascii="Times New Roman" w:hAnsi="Times New Roman" w:eastAsia="宋体" w:cs="Times New Roman"/>
          <w:b w:val="0"/>
          <w:bCs w:val="0"/>
          <w:snapToGrid/>
          <w:kern w:val="2"/>
          <w:sz w:val="24"/>
          <w:szCs w:val="24"/>
          <w:lang w:val="en-US" w:eastAsia="zh-CN"/>
        </w:rPr>
        <w:t>在入口设置方面基于车流、人流、原料及产品物出入方面考虑，厂区共有两个出入口，主次分明，相互联通园内做到人车货分流，道路系统采用混凝土道路的标准：厂区内主干道宽度不小于6米，各级道路自成系统，又相互衔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napToGrid/>
          <w:kern w:val="2"/>
          <w:sz w:val="24"/>
          <w:szCs w:val="24"/>
          <w:lang w:val="en-US" w:eastAsia="zh-CN"/>
        </w:rPr>
      </w:pPr>
      <w:r>
        <w:rPr>
          <w:rFonts w:hint="eastAsia" w:ascii="Times New Roman" w:hAnsi="Times New Roman" w:eastAsia="宋体" w:cs="Times New Roman"/>
          <w:b w:val="0"/>
          <w:bCs w:val="0"/>
          <w:snapToGrid/>
          <w:kern w:val="2"/>
          <w:sz w:val="24"/>
          <w:szCs w:val="24"/>
          <w:lang w:val="en-US" w:eastAsia="zh-CN"/>
        </w:rPr>
        <w:t>厂区总体平面布置见附图三。</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sz w:val="28"/>
          <w:szCs w:val="28"/>
        </w:rPr>
      </w:pPr>
      <w:bookmarkStart w:id="283" w:name="bookmark51"/>
      <w:bookmarkEnd w:id="283"/>
      <w:bookmarkStart w:id="284" w:name="bookmark50"/>
      <w:bookmarkEnd w:id="284"/>
      <w:r>
        <w:rPr>
          <w:rFonts w:ascii="Times New Roman" w:hAnsi="Times New Roman" w:eastAsia="Times New Roman" w:cs="Times New Roman"/>
          <w:spacing w:val="-1"/>
          <w:sz w:val="28"/>
          <w:szCs w:val="28"/>
        </w:rPr>
        <w:t>3.1.</w:t>
      </w:r>
      <w:r>
        <w:rPr>
          <w:rFonts w:hint="eastAsia" w:ascii="Times New Roman" w:hAnsi="Times New Roman" w:eastAsia="宋体" w:cs="Times New Roman"/>
          <w:spacing w:val="-1"/>
          <w:sz w:val="28"/>
          <w:szCs w:val="28"/>
          <w:lang w:val="en-US" w:eastAsia="zh-CN"/>
        </w:rPr>
        <w:t>8</w:t>
      </w:r>
      <w:r>
        <w:rPr>
          <w:rFonts w:ascii="楷体" w:hAnsi="楷体" w:eastAsia="楷体" w:cs="楷体"/>
          <w:spacing w:val="-1"/>
          <w:sz w:val="28"/>
          <w:szCs w:val="28"/>
        </w:rPr>
        <w:t>公用工程情况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（1）给排水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由厂区</w:t>
      </w:r>
      <w:r>
        <w:rPr>
          <w:rFonts w:hint="default" w:ascii="Times New Roman" w:hAnsi="Times New Roman" w:eastAsia="宋体" w:cs="Times New Roman"/>
          <w:sz w:val="24"/>
          <w:szCs w:val="24"/>
          <w:lang w:eastAsia="zh-CN"/>
        </w:rPr>
        <w:t>自来水</w:t>
      </w:r>
      <w:r>
        <w:rPr>
          <w:rFonts w:hint="default" w:ascii="Times New Roman" w:hAnsi="Times New Roman" w:eastAsia="宋体" w:cs="Times New Roman"/>
          <w:sz w:val="24"/>
          <w:szCs w:val="24"/>
        </w:rPr>
        <w:t>供给，可以满足项目生产、生活需要。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采用雨、污分流制，本项目生活污水经化粪池处理后，</w:t>
      </w:r>
      <w:r>
        <w:rPr>
          <w:rFonts w:hint="default" w:ascii="Times New Roman" w:hAnsi="Times New Roman" w:eastAsia="宋体" w:cs="Times New Roman"/>
          <w:sz w:val="24"/>
          <w:szCs w:val="24"/>
          <w:lang w:eastAsia="zh-CN"/>
        </w:rPr>
        <w:t>进入厂区污水处理站</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生产废水（会同生活污水）</w:t>
      </w:r>
      <w:r>
        <w:rPr>
          <w:rFonts w:hint="default" w:ascii="Times New Roman" w:hAnsi="Times New Roman" w:eastAsia="宋体" w:cs="Times New Roman"/>
          <w:sz w:val="24"/>
          <w:szCs w:val="24"/>
        </w:rPr>
        <w:t>经</w:t>
      </w:r>
      <w:r>
        <w:rPr>
          <w:rFonts w:hint="default" w:ascii="Times New Roman" w:hAnsi="Times New Roman" w:eastAsia="宋体" w:cs="Times New Roman"/>
          <w:sz w:val="24"/>
          <w:szCs w:val="24"/>
          <w:lang w:eastAsia="zh-CN"/>
        </w:rPr>
        <w:t>厂区污水处理站进一步</w:t>
      </w:r>
      <w:r>
        <w:rPr>
          <w:rFonts w:hint="default" w:ascii="Times New Roman" w:hAnsi="Times New Roman" w:eastAsia="宋体" w:cs="Times New Roman"/>
          <w:sz w:val="24"/>
          <w:szCs w:val="24"/>
        </w:rPr>
        <w:t>处理后</w:t>
      </w:r>
      <w:r>
        <w:rPr>
          <w:rFonts w:hint="default" w:ascii="Times New Roman" w:hAnsi="Times New Roman" w:eastAsia="宋体" w:cs="Times New Roman"/>
          <w:sz w:val="24"/>
          <w:szCs w:val="24"/>
          <w:lang w:eastAsia="zh-CN"/>
        </w:rPr>
        <w:t>排入市政污水管网</w:t>
      </w:r>
      <w:r>
        <w:rPr>
          <w:rFonts w:hint="default" w:ascii="Times New Roman" w:hAnsi="Times New Roman" w:eastAsia="宋体"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（2）供电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w:t>
      </w:r>
      <w:r>
        <w:rPr>
          <w:rFonts w:hint="default" w:ascii="Times New Roman" w:hAnsi="Times New Roman" w:eastAsia="宋体" w:cs="Times New Roman"/>
          <w:sz w:val="24"/>
          <w:szCs w:val="24"/>
          <w:lang w:eastAsia="zh-CN"/>
        </w:rPr>
        <w:t>厂区供电管网</w:t>
      </w:r>
      <w:r>
        <w:rPr>
          <w:rFonts w:hint="default" w:ascii="Times New Roman" w:hAnsi="Times New Roman" w:eastAsia="宋体" w:cs="Times New Roman"/>
          <w:sz w:val="24"/>
          <w:szCs w:val="24"/>
        </w:rPr>
        <w:t>供给，可以满足项目生产、生活需要。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（3）制冷系统、供热</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制冷：在厂区内建设一座制冷机房为产品冷藏库制冷。项目制冷由制冷压缩机、冷凝器、蒸发器、节流阀及其辅助设备组合起来，构成一个完整、合理的制冷循环系统。</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供热：项目屠宰过程</w:t>
      </w:r>
      <w:r>
        <w:rPr>
          <w:rFonts w:hint="eastAsia" w:ascii="Times New Roman" w:hAnsi="Times New Roman" w:eastAsia="宋体" w:cs="Times New Roman"/>
          <w:sz w:val="24"/>
          <w:szCs w:val="24"/>
          <w:lang w:eastAsia="zh-CN"/>
        </w:rPr>
        <w:t>不使用热水</w:t>
      </w:r>
      <w:r>
        <w:rPr>
          <w:rFonts w:hint="default" w:ascii="Times New Roman" w:hAnsi="Times New Roman" w:eastAsia="宋体" w:cs="Times New Roman"/>
          <w:sz w:val="24"/>
          <w:szCs w:val="24"/>
        </w:rPr>
        <w:t>，无用热环节。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（4）辅助生产设施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维修：本项目在厂区内设有维修间，负责厂内生产设备的一般性维修、保养，设备的大修可以由厂家协助解决。</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计量、检验：厂区内设有地中衡，对进出厂货物进行检斤计量。办公楼内设有化验室，</w:t>
      </w:r>
      <w:r>
        <w:rPr>
          <w:rFonts w:hint="eastAsia" w:ascii="Times New Roman" w:hAnsi="Times New Roman" w:eastAsia="宋体" w:cs="Times New Roman"/>
          <w:sz w:val="24"/>
          <w:szCs w:val="24"/>
          <w:lang w:eastAsia="zh-CN"/>
        </w:rPr>
        <w:t>安排</w:t>
      </w:r>
      <w:r>
        <w:rPr>
          <w:rFonts w:hint="default" w:ascii="Times New Roman" w:hAnsi="Times New Roman" w:eastAsia="宋体" w:cs="Times New Roman"/>
          <w:sz w:val="24"/>
          <w:szCs w:val="24"/>
        </w:rPr>
        <w:t>专业检验人员负责对进厂原辅材料、半成品和成品的理化和微生物指标进行检验。</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sz w:val="28"/>
          <w:szCs w:val="28"/>
        </w:rPr>
      </w:pPr>
      <w:bookmarkStart w:id="285" w:name="bookmark52"/>
      <w:bookmarkEnd w:id="285"/>
      <w:r>
        <w:rPr>
          <w:rFonts w:ascii="Times New Roman" w:hAnsi="Times New Roman" w:eastAsia="Times New Roman" w:cs="Times New Roman"/>
          <w:spacing w:val="-3"/>
          <w:sz w:val="28"/>
          <w:szCs w:val="28"/>
        </w:rPr>
        <w:t>3.1.</w:t>
      </w:r>
      <w:r>
        <w:rPr>
          <w:rFonts w:hint="eastAsia" w:ascii="Times New Roman" w:hAnsi="Times New Roman" w:eastAsia="宋体" w:cs="Times New Roman"/>
          <w:spacing w:val="-3"/>
          <w:sz w:val="28"/>
          <w:szCs w:val="28"/>
          <w:lang w:val="en-US" w:eastAsia="zh-CN"/>
        </w:rPr>
        <w:t>9</w:t>
      </w:r>
      <w:r>
        <w:rPr>
          <w:rFonts w:ascii="楷体" w:hAnsi="楷体" w:eastAsia="楷体" w:cs="楷体"/>
          <w:spacing w:val="-3"/>
          <w:sz w:val="28"/>
          <w:szCs w:val="28"/>
        </w:rPr>
        <w:t>劳动定员及工作制度</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80" w:firstLineChars="200"/>
        <w:textAlignment w:val="baseline"/>
        <w:outlineLvl w:val="9"/>
        <w:rPr>
          <w:rFonts w:hint="default" w:ascii="Times New Roman" w:hAnsi="Times New Roman" w:cs="Times New Roman"/>
          <w:b w:val="0"/>
          <w:bCs w:val="0"/>
          <w:color w:val="auto"/>
          <w:sz w:val="24"/>
          <w:highlight w:val="none"/>
          <w:lang w:val="en-US" w:eastAsia="zh-CN"/>
        </w:rPr>
      </w:pPr>
      <w:bookmarkStart w:id="286" w:name="bookmark53"/>
      <w:bookmarkEnd w:id="286"/>
      <w:r>
        <w:rPr>
          <w:rFonts w:hint="default" w:ascii="Times New Roman" w:hAnsi="Times New Roman" w:cs="Times New Roman"/>
          <w:b w:val="0"/>
          <w:bCs w:val="0"/>
          <w:color w:val="auto"/>
          <w:sz w:val="24"/>
          <w:highlight w:val="none"/>
          <w:lang w:eastAsia="zh-CN"/>
        </w:rPr>
        <w:t>本项目劳动动员为</w:t>
      </w:r>
      <w:r>
        <w:rPr>
          <w:rFonts w:hint="default" w:ascii="Times New Roman" w:hAnsi="Times New Roman" w:cs="Times New Roman"/>
          <w:b w:val="0"/>
          <w:bCs w:val="0"/>
          <w:color w:val="auto"/>
          <w:sz w:val="24"/>
          <w:highlight w:val="none"/>
          <w:lang w:val="en-US" w:eastAsia="zh-CN"/>
        </w:rPr>
        <w:t>50人</w:t>
      </w:r>
      <w:r>
        <w:rPr>
          <w:rFonts w:hint="eastAsia" w:ascii="Times New Roman" w:hAnsi="Times New Roman" w:cs="Times New Roman"/>
          <w:b w:val="0"/>
          <w:bCs w:val="0"/>
          <w:color w:val="auto"/>
          <w:sz w:val="24"/>
          <w:lang w:val="en-US" w:eastAsia="zh-CN"/>
        </w:rPr>
        <w:t>，</w:t>
      </w:r>
      <w:r>
        <w:rPr>
          <w:rFonts w:hint="default" w:ascii="Times New Roman" w:hAnsi="Times New Roman" w:cs="Times New Roman"/>
          <w:b w:val="0"/>
          <w:bCs w:val="0"/>
          <w:color w:val="auto"/>
          <w:sz w:val="24"/>
          <w:highlight w:val="none"/>
          <w:lang w:val="en-US" w:eastAsia="zh-CN"/>
        </w:rPr>
        <w:t>年工作3</w:t>
      </w:r>
      <w:r>
        <w:rPr>
          <w:rFonts w:hint="eastAsia" w:ascii="Times New Roman" w:hAnsi="Times New Roman" w:cs="Times New Roman"/>
          <w:b w:val="0"/>
          <w:bCs w:val="0"/>
          <w:color w:val="auto"/>
          <w:sz w:val="24"/>
          <w:highlight w:val="none"/>
          <w:lang w:val="en-US" w:eastAsia="zh-CN"/>
        </w:rPr>
        <w:t>2</w:t>
      </w:r>
      <w:r>
        <w:rPr>
          <w:rFonts w:hint="default" w:ascii="Times New Roman" w:hAnsi="Times New Roman" w:cs="Times New Roman"/>
          <w:b w:val="0"/>
          <w:bCs w:val="0"/>
          <w:color w:val="auto"/>
          <w:sz w:val="24"/>
          <w:highlight w:val="none"/>
          <w:lang w:val="en-US" w:eastAsia="zh-CN"/>
        </w:rPr>
        <w:t>0天，</w:t>
      </w:r>
      <w:r>
        <w:rPr>
          <w:rFonts w:hint="default" w:ascii="Times New Roman" w:hAnsi="Times New Roman" w:cs="Times New Roman"/>
          <w:b w:val="0"/>
          <w:bCs w:val="0"/>
          <w:color w:val="auto"/>
          <w:sz w:val="24"/>
          <w:lang w:val="en-US" w:eastAsia="zh-CN"/>
        </w:rPr>
        <w:t>实行两班制，</w:t>
      </w:r>
      <w:r>
        <w:rPr>
          <w:rFonts w:hint="default" w:ascii="Times New Roman" w:hAnsi="Times New Roman" w:cs="Times New Roman"/>
          <w:b w:val="0"/>
          <w:bCs w:val="0"/>
          <w:color w:val="auto"/>
          <w:sz w:val="24"/>
          <w:highlight w:val="none"/>
          <w:lang w:val="en-US" w:eastAsia="zh-CN"/>
        </w:rPr>
        <w:t>每班8小时</w:t>
      </w:r>
      <w:r>
        <w:rPr>
          <w:rFonts w:hint="eastAsia" w:ascii="Times New Roman" w:hAnsi="Times New Roman" w:cs="Times New Roman"/>
          <w:b w:val="0"/>
          <w:bCs w:val="0"/>
          <w:color w:val="auto"/>
          <w:sz w:val="24"/>
          <w:highlight w:val="none"/>
          <w:lang w:val="en-US" w:eastAsia="zh-CN"/>
        </w:rPr>
        <w:t>，共计5120h/a</w:t>
      </w:r>
      <w:r>
        <w:rPr>
          <w:rFonts w:hint="default" w:ascii="Times New Roman" w:hAnsi="Times New Roman" w:cs="Times New Roman"/>
          <w:b w:val="0"/>
          <w:bCs w:val="0"/>
          <w:color w:val="auto"/>
          <w:sz w:val="24"/>
          <w:highlight w:val="none"/>
          <w:lang w:val="en-US" w:eastAsia="zh-CN"/>
        </w:rPr>
        <w:t>。</w:t>
      </w:r>
    </w:p>
    <w:p>
      <w:pPr>
        <w:pStyle w:val="4"/>
        <w:bidi w:val="0"/>
        <w:rPr>
          <w:rFonts w:ascii="黑体" w:hAnsi="黑体" w:eastAsia="黑体" w:cs="黑体"/>
          <w:sz w:val="32"/>
          <w:szCs w:val="32"/>
        </w:rPr>
      </w:pPr>
      <w:bookmarkStart w:id="287" w:name="_Toc27592"/>
      <w:bookmarkStart w:id="288" w:name="_Toc28617"/>
      <w:r>
        <w:rPr>
          <w:rFonts w:ascii="Times New Roman" w:hAnsi="Times New Roman" w:eastAsia="Times New Roman" w:cs="Times New Roman"/>
          <w:spacing w:val="-1"/>
          <w:sz w:val="32"/>
          <w:szCs w:val="32"/>
        </w:rPr>
        <w:t>3.2</w:t>
      </w:r>
      <w:r>
        <w:rPr>
          <w:rFonts w:ascii="黑体" w:hAnsi="黑体" w:eastAsia="黑体" w:cs="黑体"/>
          <w:spacing w:val="-1"/>
          <w:sz w:val="32"/>
          <w:szCs w:val="32"/>
        </w:rPr>
        <w:t>生产工艺分析及产污环节</w:t>
      </w:r>
      <w:bookmarkEnd w:id="287"/>
      <w:bookmarkEnd w:id="288"/>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sz w:val="28"/>
          <w:szCs w:val="28"/>
        </w:rPr>
      </w:pPr>
      <w:bookmarkStart w:id="289" w:name="bookmark54"/>
      <w:bookmarkEnd w:id="289"/>
      <w:r>
        <w:rPr>
          <w:rFonts w:ascii="Times New Roman" w:hAnsi="Times New Roman" w:eastAsia="Times New Roman" w:cs="Times New Roman"/>
          <w:spacing w:val="-6"/>
          <w:sz w:val="28"/>
          <w:szCs w:val="28"/>
        </w:rPr>
        <w:t>3.2.1</w:t>
      </w:r>
      <w:r>
        <w:rPr>
          <w:rFonts w:hint="eastAsia" w:ascii="楷体" w:hAnsi="楷体" w:eastAsia="楷体" w:cs="楷体"/>
          <w:spacing w:val="-6"/>
          <w:sz w:val="28"/>
          <w:szCs w:val="28"/>
          <w:lang w:eastAsia="zh-CN"/>
        </w:rPr>
        <w:t>牛</w:t>
      </w:r>
      <w:r>
        <w:rPr>
          <w:rFonts w:ascii="楷体" w:hAnsi="楷体" w:eastAsia="楷体" w:cs="楷体"/>
          <w:spacing w:val="-6"/>
          <w:sz w:val="28"/>
          <w:szCs w:val="28"/>
        </w:rPr>
        <w:t>羊屠宰加工流程介绍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pacing w:val="-1"/>
          <w:sz w:val="24"/>
          <w:szCs w:val="24"/>
        </w:rPr>
      </w:pPr>
      <w:r>
        <w:rPr>
          <w:rFonts w:hint="eastAsia" w:ascii="宋体" w:hAnsi="宋体" w:eastAsia="宋体" w:cs="宋体"/>
          <w:color w:val="000000"/>
          <w:kern w:val="0"/>
          <w:sz w:val="24"/>
          <w:szCs w:val="24"/>
          <w:lang w:val="en-US" w:eastAsia="zh-CN" w:bidi="ar"/>
        </w:rPr>
        <w:t>广义的屠宰及肉类加工包括牲畜屠宰加工（包括冷鲜肉的处理）和肉类制品（卤肉、火腿、香肠等）生产两部分。本项目仅进行牛羊的屠宰加工（包括冷鲜肉的处理），不进行肉类制品加工</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ascii="宋体" w:hAnsi="宋体" w:eastAsia="宋体" w:cs="宋体"/>
          <w:spacing w:val="-3"/>
          <w:sz w:val="24"/>
          <w:szCs w:val="24"/>
        </w:rPr>
        <w:sectPr>
          <w:pgSz w:w="11906" w:h="16839"/>
          <w:pgMar w:top="1431" w:right="1350" w:bottom="1278" w:left="1402" w:header="0" w:footer="1116" w:gutter="0"/>
          <w:pgBorders>
            <w:top w:val="none" w:sz="0" w:space="0"/>
            <w:left w:val="none" w:sz="0" w:space="0"/>
            <w:bottom w:val="none" w:sz="0" w:space="0"/>
            <w:right w:val="none" w:sz="0" w:space="0"/>
          </w:pgBorders>
          <w:pgNumType w:fmt="numberInDash"/>
          <w:cols w:equalWidth="0" w:num="1">
            <w:col w:w="9154"/>
          </w:cols>
        </w:sectPr>
      </w:pPr>
      <w:r>
        <w:rPr>
          <w:rFonts w:ascii="宋体" w:hAnsi="宋体" w:eastAsia="宋体" w:cs="宋体"/>
          <w:spacing w:val="-3"/>
          <w:sz w:val="24"/>
          <w:szCs w:val="24"/>
        </w:rPr>
        <w:t>项目工艺流程及产污环节见图</w:t>
      </w:r>
      <w:r>
        <w:rPr>
          <w:rFonts w:ascii="Times New Roman" w:hAnsi="Times New Roman" w:eastAsia="Times New Roman" w:cs="Times New Roman"/>
          <w:spacing w:val="-3"/>
          <w:sz w:val="24"/>
          <w:szCs w:val="24"/>
        </w:rPr>
        <w:t>3-1</w:t>
      </w: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大体上可以分为宰前准备、屠宰分割、精细加工和冷藏三个阶段</w:t>
      </w:r>
      <w:r>
        <w:rPr>
          <w:rFonts w:ascii="宋体" w:hAnsi="宋体" w:eastAsia="宋体" w:cs="宋体"/>
          <w:spacing w:val="-3"/>
          <w:sz w:val="24"/>
          <w:szCs w:val="24"/>
        </w:rPr>
        <w:t>。</w:t>
      </w:r>
    </w:p>
    <w:p>
      <w:pPr>
        <w:pStyle w:val="13"/>
        <w:ind w:left="0" w:leftChars="0" w:firstLine="0" w:firstLineChars="0"/>
        <w:jc w:val="center"/>
        <w:rPr>
          <w:rFonts w:hint="eastAsia" w:eastAsia="宋体"/>
          <w:lang w:eastAsia="zh-CN"/>
        </w:rPr>
      </w:pPr>
      <w:r>
        <w:rPr>
          <w:sz w:val="21"/>
        </w:rPr>
        <mc:AlternateContent>
          <mc:Choice Requires="wps">
            <w:drawing>
              <wp:anchor distT="0" distB="0" distL="114300" distR="114300" simplePos="0" relativeHeight="251732992" behindDoc="0" locked="0" layoutInCell="1" allowOverlap="1">
                <wp:simplePos x="0" y="0"/>
                <wp:positionH relativeFrom="column">
                  <wp:posOffset>4614545</wp:posOffset>
                </wp:positionH>
                <wp:positionV relativeFrom="paragraph">
                  <wp:posOffset>7748905</wp:posOffset>
                </wp:positionV>
                <wp:extent cx="1160145" cy="134048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160145" cy="1340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360" w:lineRule="auto"/>
                              <w:ind w:left="-105" w:leftChars="-50" w:right="-105" w:rightChars="-50"/>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图中</w:t>
                            </w:r>
                          </w:p>
                          <w:p>
                            <w:pPr>
                              <w:keepNext w:val="0"/>
                              <w:keepLines w:val="0"/>
                              <w:pageBreakBefore w:val="0"/>
                              <w:widowControl/>
                              <w:kinsoku w:val="0"/>
                              <w:wordWrap/>
                              <w:overflowPunct/>
                              <w:topLinePunct w:val="0"/>
                              <w:bidi w:val="0"/>
                              <w:adjustRightInd w:val="0"/>
                              <w:snapToGrid w:val="0"/>
                              <w:spacing w:line="360" w:lineRule="auto"/>
                              <w:ind w:left="-105" w:leftChars="-50" w:right="-105" w:rightChars="-5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G：表示废气</w:t>
                            </w:r>
                          </w:p>
                          <w:p>
                            <w:pPr>
                              <w:keepNext w:val="0"/>
                              <w:keepLines w:val="0"/>
                              <w:pageBreakBefore w:val="0"/>
                              <w:widowControl/>
                              <w:kinsoku w:val="0"/>
                              <w:wordWrap/>
                              <w:overflowPunct/>
                              <w:topLinePunct w:val="0"/>
                              <w:bidi w:val="0"/>
                              <w:adjustRightInd w:val="0"/>
                              <w:snapToGrid w:val="0"/>
                              <w:spacing w:line="360" w:lineRule="auto"/>
                              <w:ind w:left="-105" w:leftChars="-50" w:right="-105" w:rightChars="-50"/>
                              <w:jc w:val="center"/>
                              <w:textAlignment w:val="baseline"/>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W</w:t>
                            </w:r>
                            <w:r>
                              <w:rPr>
                                <w:rFonts w:hint="eastAsia" w:ascii="Times New Roman" w:hAnsi="Times New Roman" w:eastAsia="宋体" w:cs="Times New Roman"/>
                                <w:lang w:val="en-US" w:eastAsia="zh-CN"/>
                              </w:rPr>
                              <w:t>：表示废水</w:t>
                            </w:r>
                          </w:p>
                          <w:p>
                            <w:pPr>
                              <w:pStyle w:val="13"/>
                              <w:keepNext w:val="0"/>
                              <w:keepLines w:val="0"/>
                              <w:pageBreakBefore w:val="0"/>
                              <w:widowControl/>
                              <w:kinsoku w:val="0"/>
                              <w:wordWrap/>
                              <w:overflowPunct/>
                              <w:topLinePunct w:val="0"/>
                              <w:bidi w:val="0"/>
                              <w:adjustRightInd w:val="0"/>
                              <w:snapToGrid w:val="0"/>
                              <w:spacing w:after="0" w:line="360" w:lineRule="auto"/>
                              <w:ind w:left="0" w:leftChars="0" w:firstLine="0" w:firstLineChars="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S：表示固废</w:t>
                            </w:r>
                          </w:p>
                          <w:p>
                            <w:pPr>
                              <w:keepNext w:val="0"/>
                              <w:keepLines w:val="0"/>
                              <w:pageBreakBefore w:val="0"/>
                              <w:widowControl/>
                              <w:kinsoku w:val="0"/>
                              <w:wordWrap/>
                              <w:overflowPunct/>
                              <w:topLinePunct w:val="0"/>
                              <w:bidi w:val="0"/>
                              <w:adjustRightInd w:val="0"/>
                              <w:snapToGrid w:val="0"/>
                              <w:spacing w:line="360" w:lineRule="auto"/>
                              <w:jc w:val="center"/>
                              <w:textAlignment w:val="baseline"/>
                              <w:rPr>
                                <w:rFonts w:hint="default"/>
                                <w:lang w:val="en-US" w:eastAsia="zh-CN"/>
                              </w:rPr>
                            </w:pPr>
                            <w:r>
                              <w:rPr>
                                <w:rFonts w:hint="eastAsia" w:ascii="Times New Roman" w:hAnsi="Times New Roman" w:eastAsia="宋体" w:cs="Times New Roman"/>
                                <w:lang w:val="en-US" w:eastAsia="zh-CN"/>
                              </w:rPr>
                              <w:t>N：表示噪声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35pt;margin-top:610.15pt;height:105.55pt;width:91.35pt;z-index:251732992;mso-width-relative:page;mso-height-relative:page;" filled="f" stroked="f" coordsize="21600,21600" o:gfxdata="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wxVVN0AAAANAQAADwAAAAAAAAABACAAAAAiAAAAZHJzL2Rvd25yZXYueG1sUEsBAhQAFAAAAAgA&#10;h07iQH+35GUgAgAAHQQAAA4AAAAAAAAAAQAgAAAALAEAAGRycy9lMm9Eb2MueG1sUEsFBgAAAAAG&#10;AAYAWQEAAL4FA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360" w:lineRule="auto"/>
                        <w:ind w:left="-105" w:leftChars="-50" w:right="-105" w:rightChars="-50"/>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图中</w:t>
                      </w:r>
                    </w:p>
                    <w:p>
                      <w:pPr>
                        <w:keepNext w:val="0"/>
                        <w:keepLines w:val="0"/>
                        <w:pageBreakBefore w:val="0"/>
                        <w:widowControl/>
                        <w:kinsoku w:val="0"/>
                        <w:wordWrap/>
                        <w:overflowPunct/>
                        <w:topLinePunct w:val="0"/>
                        <w:bidi w:val="0"/>
                        <w:adjustRightInd w:val="0"/>
                        <w:snapToGrid w:val="0"/>
                        <w:spacing w:line="360" w:lineRule="auto"/>
                        <w:ind w:left="-105" w:leftChars="-50" w:right="-105" w:rightChars="-5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G：表示废气</w:t>
                      </w:r>
                    </w:p>
                    <w:p>
                      <w:pPr>
                        <w:keepNext w:val="0"/>
                        <w:keepLines w:val="0"/>
                        <w:pageBreakBefore w:val="0"/>
                        <w:widowControl/>
                        <w:kinsoku w:val="0"/>
                        <w:wordWrap/>
                        <w:overflowPunct/>
                        <w:topLinePunct w:val="0"/>
                        <w:bidi w:val="0"/>
                        <w:adjustRightInd w:val="0"/>
                        <w:snapToGrid w:val="0"/>
                        <w:spacing w:line="360" w:lineRule="auto"/>
                        <w:ind w:left="-105" w:leftChars="-50" w:right="-105" w:rightChars="-50"/>
                        <w:jc w:val="center"/>
                        <w:textAlignment w:val="baseline"/>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W</w:t>
                      </w:r>
                      <w:r>
                        <w:rPr>
                          <w:rFonts w:hint="eastAsia" w:ascii="Times New Roman" w:hAnsi="Times New Roman" w:eastAsia="宋体" w:cs="Times New Roman"/>
                          <w:lang w:val="en-US" w:eastAsia="zh-CN"/>
                        </w:rPr>
                        <w:t>：表示废水</w:t>
                      </w:r>
                    </w:p>
                    <w:p>
                      <w:pPr>
                        <w:pStyle w:val="13"/>
                        <w:keepNext w:val="0"/>
                        <w:keepLines w:val="0"/>
                        <w:pageBreakBefore w:val="0"/>
                        <w:widowControl/>
                        <w:kinsoku w:val="0"/>
                        <w:wordWrap/>
                        <w:overflowPunct/>
                        <w:topLinePunct w:val="0"/>
                        <w:bidi w:val="0"/>
                        <w:adjustRightInd w:val="0"/>
                        <w:snapToGrid w:val="0"/>
                        <w:spacing w:after="0" w:line="360" w:lineRule="auto"/>
                        <w:ind w:left="0" w:leftChars="0" w:firstLine="0" w:firstLineChars="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S：表示固废</w:t>
                      </w:r>
                    </w:p>
                    <w:p>
                      <w:pPr>
                        <w:keepNext w:val="0"/>
                        <w:keepLines w:val="0"/>
                        <w:pageBreakBefore w:val="0"/>
                        <w:widowControl/>
                        <w:kinsoku w:val="0"/>
                        <w:wordWrap/>
                        <w:overflowPunct/>
                        <w:topLinePunct w:val="0"/>
                        <w:bidi w:val="0"/>
                        <w:adjustRightInd w:val="0"/>
                        <w:snapToGrid w:val="0"/>
                        <w:spacing w:line="360" w:lineRule="auto"/>
                        <w:jc w:val="center"/>
                        <w:textAlignment w:val="baseline"/>
                        <w:rPr>
                          <w:rFonts w:hint="default"/>
                          <w:lang w:val="en-US" w:eastAsia="zh-CN"/>
                        </w:rPr>
                      </w:pPr>
                      <w:r>
                        <w:rPr>
                          <w:rFonts w:hint="eastAsia" w:ascii="Times New Roman" w:hAnsi="Times New Roman" w:eastAsia="宋体" w:cs="Times New Roman"/>
                          <w:lang w:val="en-US" w:eastAsia="zh-CN"/>
                        </w:rPr>
                        <w:t>N：表示噪声</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3710305</wp:posOffset>
                </wp:positionH>
                <wp:positionV relativeFrom="paragraph">
                  <wp:posOffset>4453255</wp:posOffset>
                </wp:positionV>
                <wp:extent cx="2045970" cy="351790"/>
                <wp:effectExtent l="0" t="0" r="11430" b="10160"/>
                <wp:wrapNone/>
                <wp:docPr id="161" name="文本框 161"/>
                <wp:cNvGraphicFramePr/>
                <a:graphic xmlns:a="http://schemas.openxmlformats.org/drawingml/2006/main">
                  <a:graphicData uri="http://schemas.microsoft.com/office/word/2010/wordprocessingShape">
                    <wps:wsp>
                      <wps:cNvSpPr txBox="1"/>
                      <wps:spPr>
                        <a:xfrm>
                          <a:off x="0" y="0"/>
                          <a:ext cx="2045970" cy="35179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恶臭气体G</w:t>
                            </w:r>
                            <w:r>
                              <w:rPr>
                                <w:rFonts w:hint="eastAsia" w:ascii="Times New Roman" w:hAnsi="Times New Roman" w:eastAsia="宋体" w:cs="Times New Roman"/>
                                <w:lang w:val="en-US" w:eastAsia="zh-CN"/>
                              </w:rPr>
                              <w:t>、</w:t>
                            </w:r>
                            <w:r>
                              <w:rPr>
                                <w:rFonts w:hint="default" w:ascii="Times New Roman" w:hAnsi="Times New Roman" w:eastAsia="宋体" w:cs="Times New Roman"/>
                                <w:lang w:eastAsia="zh-CN"/>
                              </w:rPr>
                              <w:t>噪声</w:t>
                            </w:r>
                            <w:r>
                              <w:rPr>
                                <w:rFonts w:hint="default" w:ascii="Times New Roman" w:hAnsi="Times New Roman" w:eastAsia="宋体" w:cs="Times New Roman"/>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15pt;margin-top:350.65pt;height:27.7pt;width:161.1pt;z-index:251740160;mso-width-relative:page;mso-height-relative:page;" fillcolor="#FFFFFF [3212]" filled="t" stroked="f" coordsize="21600,21600" o:gfxdata="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gakjdYAAAALAQAADwAAAAAAAAABACAAAAAiAAAAZHJzL2Rvd25yZXYu&#10;eG1sUEsBAhQAFAAAAAgAh07iQHzYiLo2AgAARQQAAA4AAAAAAAAAAQAgAAAAJQEAAGRycy9lMm9E&#10;b2MueG1sUEsFBgAAAAAGAAYAWQEAAM0FAAAAAA==&#10;">
                <v:fill on="t" focussize="0,0"/>
                <v:stroke on="f" weight="0.5pt"/>
                <v:imagedata o:title=""/>
                <o:lock v:ext="edit" aspectratio="f"/>
                <v:textbox>
                  <w:txbxContent>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恶臭气体G</w:t>
                      </w:r>
                      <w:r>
                        <w:rPr>
                          <w:rFonts w:hint="eastAsia" w:ascii="Times New Roman" w:hAnsi="Times New Roman" w:eastAsia="宋体" w:cs="Times New Roman"/>
                          <w:lang w:val="en-US" w:eastAsia="zh-CN"/>
                        </w:rPr>
                        <w:t>、</w:t>
                      </w:r>
                      <w:r>
                        <w:rPr>
                          <w:rFonts w:hint="default" w:ascii="Times New Roman" w:hAnsi="Times New Roman" w:eastAsia="宋体" w:cs="Times New Roman"/>
                          <w:lang w:eastAsia="zh-CN"/>
                        </w:rPr>
                        <w:t>噪声</w:t>
                      </w:r>
                      <w:r>
                        <w:rPr>
                          <w:rFonts w:hint="default" w:ascii="Times New Roman" w:hAnsi="Times New Roman" w:eastAsia="宋体" w:cs="Times New Roman"/>
                          <w:lang w:val="en-US" w:eastAsia="zh-CN"/>
                        </w:rPr>
                        <w:t>N</w:t>
                      </w: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5062855</wp:posOffset>
                </wp:positionH>
                <wp:positionV relativeFrom="paragraph">
                  <wp:posOffset>4977130</wp:posOffset>
                </wp:positionV>
                <wp:extent cx="790575" cy="447675"/>
                <wp:effectExtent l="0" t="0" r="9525" b="9525"/>
                <wp:wrapNone/>
                <wp:docPr id="160" name="文本框 160"/>
                <wp:cNvGraphicFramePr/>
                <a:graphic xmlns:a="http://schemas.openxmlformats.org/drawingml/2006/main">
                  <a:graphicData uri="http://schemas.microsoft.com/office/word/2010/wordprocessingShape">
                    <wps:wsp>
                      <wps:cNvSpPr txBox="1"/>
                      <wps:spPr>
                        <a:xfrm>
                          <a:off x="0" y="0"/>
                          <a:ext cx="790575" cy="4476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ind w:left="-105" w:leftChars="-50" w:right="-105" w:rightChars="-5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厂区</w:t>
                            </w:r>
                          </w:p>
                          <w:p>
                            <w:pPr>
                              <w:keepNext w:val="0"/>
                              <w:keepLines w:val="0"/>
                              <w:pageBreakBefore w:val="0"/>
                              <w:widowControl/>
                              <w:kinsoku w:val="0"/>
                              <w:wordWrap/>
                              <w:overflowPunct/>
                              <w:topLinePunct w:val="0"/>
                              <w:bidi w:val="0"/>
                              <w:adjustRightInd w:val="0"/>
                              <w:snapToGrid w:val="0"/>
                              <w:ind w:left="-105" w:leftChars="-50" w:right="-105" w:rightChars="-50"/>
                              <w:jc w:val="center"/>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65pt;margin-top:391.9pt;height:35.25pt;width:62.25pt;z-index:251739136;mso-width-relative:page;mso-height-relative:page;" fillcolor="#FFFFFF [3212]" filled="t" stroked="f" coordsize="21600,21600" o:gfxdata="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Np17tYAAAALAQAADwAAAAAAAAABACAAAAAiAAAAZHJzL2Rvd25yZXYueG1s&#10;UEsBAhQAFAAAAAgAh07iQDejDcAzAgAARAQAAA4AAAAAAAAAAQAgAAAAJQEAAGRycy9lMm9Eb2Mu&#10;eG1sUEsFBgAAAAAGAAYAWQEAAMoFAAAAAA==&#10;">
                <v:fill on="t"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ind w:left="-105" w:leftChars="-50" w:right="-105" w:rightChars="-5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厂区</w:t>
                      </w:r>
                    </w:p>
                    <w:p>
                      <w:pPr>
                        <w:keepNext w:val="0"/>
                        <w:keepLines w:val="0"/>
                        <w:pageBreakBefore w:val="0"/>
                        <w:widowControl/>
                        <w:kinsoku w:val="0"/>
                        <w:wordWrap/>
                        <w:overflowPunct/>
                        <w:topLinePunct w:val="0"/>
                        <w:bidi w:val="0"/>
                        <w:adjustRightInd w:val="0"/>
                        <w:snapToGrid w:val="0"/>
                        <w:ind w:left="-105" w:leftChars="-50" w:right="-105" w:rightChars="-50"/>
                        <w:jc w:val="center"/>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污水处理站</w:t>
                      </w:r>
                    </w:p>
                  </w:txbxContent>
                </v:textbox>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3852545</wp:posOffset>
                </wp:positionH>
                <wp:positionV relativeFrom="paragraph">
                  <wp:posOffset>5091430</wp:posOffset>
                </wp:positionV>
                <wp:extent cx="857885" cy="266700"/>
                <wp:effectExtent l="0" t="0" r="18415" b="0"/>
                <wp:wrapNone/>
                <wp:docPr id="159" name="文本框 159"/>
                <wp:cNvGraphicFramePr/>
                <a:graphic xmlns:a="http://schemas.openxmlformats.org/drawingml/2006/main">
                  <a:graphicData uri="http://schemas.microsoft.com/office/word/2010/wordprocessingShape">
                    <wps:wsp>
                      <wps:cNvSpPr txBox="1"/>
                      <wps:spPr>
                        <a:xfrm>
                          <a:off x="0" y="0"/>
                          <a:ext cx="857885" cy="2667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屠宰废水</w:t>
                            </w:r>
                            <w:r>
                              <w:rPr>
                                <w:rFonts w:hint="eastAsia" w:ascii="Times New Roman" w:hAnsi="Times New Roman" w:eastAsia="宋体" w:cs="Times New Roman"/>
                                <w:lang w:val="en-US" w:eastAsia="zh-CN"/>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35pt;margin-top:400.9pt;height:21pt;width:67.55pt;z-index:251738112;mso-width-relative:page;mso-height-relative:page;" fillcolor="#FFFFFF [3212]" filled="t" stroked="f" coordsize="21600,21600" o:gfxdata="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wL9ctYAAAALAQAADwAAAAAAAAABACAAAAAiAAAAZHJzL2Rvd25yZXYu&#10;eG1sUEsBAhQAFAAAAAgAh07iQJlrZVE2AgAARAQAAA4AAAAAAAAAAQAgAAAAJQEAAGRycy9lMm9E&#10;b2MueG1sUEsFBgAAAAAGAAYAWQEAAM0FAAAAAA==&#10;">
                <v:fill on="t"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屠宰废水</w:t>
                      </w:r>
                      <w:r>
                        <w:rPr>
                          <w:rFonts w:hint="eastAsia" w:ascii="Times New Roman" w:hAnsi="Times New Roman" w:eastAsia="宋体" w:cs="Times New Roman"/>
                          <w:lang w:val="en-US" w:eastAsia="zh-CN"/>
                        </w:rPr>
                        <w:t>W</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2027555</wp:posOffset>
                </wp:positionH>
                <wp:positionV relativeFrom="paragraph">
                  <wp:posOffset>4230370</wp:posOffset>
                </wp:positionV>
                <wp:extent cx="1515110" cy="2410460"/>
                <wp:effectExtent l="6350" t="6350" r="21590" b="21590"/>
                <wp:wrapNone/>
                <wp:docPr id="43" name="矩形 43"/>
                <wp:cNvGraphicFramePr/>
                <a:graphic xmlns:a="http://schemas.openxmlformats.org/drawingml/2006/main">
                  <a:graphicData uri="http://schemas.microsoft.com/office/word/2010/wordprocessingShape">
                    <wps:wsp>
                      <wps:cNvSpPr/>
                      <wps:spPr>
                        <a:xfrm>
                          <a:off x="2352040" y="5325745"/>
                          <a:ext cx="1515110" cy="2410460"/>
                        </a:xfrm>
                        <a:prstGeom prst="rect">
                          <a:avLst/>
                        </a:prstGeom>
                        <a:noFill/>
                        <a:ln w="1270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65pt;margin-top:333.1pt;height:189.8pt;width:119.3pt;z-index:251714560;v-text-anchor:middle;mso-width-relative:page;mso-height-relative:page;" filled="f" stroked="t" coordsize="21600,21600" o:gfxdata="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N11srZAAAADAEAAA8A&#10;AAAAAAAAAQAgAAAAIgAAAGRycy9kb3ducmV2LnhtbFBLAQIUABQAAAAIAIdO4kCMQWqRTwIAAHQE&#10;AAAOAAAAAAAAAAEAIAAAACgBAABkcnMvZTJvRG9jLnhtbFBLBQYAAAAABgAGAFkBAADpBQAAAAA=&#10;">
                <v:fill on="f" focussize="0,0"/>
                <v:stroke weight="1pt" color="#000000 [3213]" joinstyle="round" dashstyle="dash"/>
                <v:imagedata o:title=""/>
                <o:lock v:ext="edit" aspectratio="f"/>
              </v:rect>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3919855</wp:posOffset>
                </wp:positionH>
                <wp:positionV relativeFrom="paragraph">
                  <wp:posOffset>2557780</wp:posOffset>
                </wp:positionV>
                <wp:extent cx="1045845" cy="266700"/>
                <wp:effectExtent l="0" t="0" r="1905" b="0"/>
                <wp:wrapNone/>
                <wp:docPr id="156" name="文本框 156"/>
                <wp:cNvGraphicFramePr/>
                <a:graphic xmlns:a="http://schemas.openxmlformats.org/drawingml/2006/main">
                  <a:graphicData uri="http://schemas.microsoft.com/office/word/2010/wordprocessingShape">
                    <wps:wsp>
                      <wps:cNvSpPr txBox="1"/>
                      <wps:spPr>
                        <a:xfrm>
                          <a:off x="0" y="0"/>
                          <a:ext cx="1045845" cy="2667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噪声</w:t>
                            </w:r>
                            <w:r>
                              <w:rPr>
                                <w:rFonts w:hint="default" w:ascii="Times New Roman" w:hAnsi="Times New Roman" w:eastAsia="宋体" w:cs="Times New Roman"/>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65pt;margin-top:201.4pt;height:21pt;width:82.35pt;z-index:251736064;mso-width-relative:page;mso-height-relative:page;" fillcolor="#FFFFFF [3212]" filled="t" stroked="f" coordsize="21600,21600" o:gfxdata="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k2MgNYAAAALAQAADwAAAAAAAAABACAAAAAiAAAAZHJzL2Rvd25yZXYu&#10;eG1sUEsBAhQAFAAAAAgAh07iQDGZ/PA2AgAARQQAAA4AAAAAAAAAAQAgAAAAJQEAAGRycy9lMm9E&#10;b2MueG1sUEsFBgAAAAAGAAYAWQEAAM0FAAAAAA==&#10;">
                <v:fill on="t" focussize="0,0"/>
                <v:stroke on="f" weight="0.5pt"/>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噪声</w:t>
                      </w:r>
                      <w:r>
                        <w:rPr>
                          <w:rFonts w:hint="default" w:ascii="Times New Roman" w:hAnsi="Times New Roman" w:eastAsia="宋体" w:cs="Times New Roman"/>
                          <w:lang w:val="en-US" w:eastAsia="zh-CN"/>
                        </w:rPr>
                        <w:t>N</w:t>
                      </w: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3881120</wp:posOffset>
                </wp:positionH>
                <wp:positionV relativeFrom="paragraph">
                  <wp:posOffset>5662930</wp:posOffset>
                </wp:positionV>
                <wp:extent cx="621030" cy="400050"/>
                <wp:effectExtent l="0" t="0" r="7620" b="0"/>
                <wp:wrapNone/>
                <wp:docPr id="158" name="文本框 158"/>
                <wp:cNvGraphicFramePr/>
                <a:graphic xmlns:a="http://schemas.openxmlformats.org/drawingml/2006/main">
                  <a:graphicData uri="http://schemas.microsoft.com/office/word/2010/wordprocessingShape">
                    <wps:wsp>
                      <wps:cNvSpPr txBox="1"/>
                      <wps:spPr>
                        <a:xfrm>
                          <a:off x="0" y="0"/>
                          <a:ext cx="621030" cy="4000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ascii="Times New Roman" w:hAnsi="Times New Roman" w:eastAsia="宋体" w:cs="Times New Roman"/>
                                <w:lang w:eastAsia="zh-CN"/>
                              </w:rPr>
                            </w:pPr>
                            <w:r>
                              <w:rPr>
                                <w:rFonts w:hint="default" w:ascii="Times New Roman" w:hAnsi="Times New Roman" w:eastAsia="宋体" w:cs="Times New Roman"/>
                                <w:lang w:eastAsia="zh-CN"/>
                              </w:rPr>
                              <w:t>肠胃</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内容物</w:t>
                            </w:r>
                            <w:r>
                              <w:rPr>
                                <w:rFonts w:hint="default" w:ascii="Times New Roman" w:hAnsi="Times New Roman" w:eastAsia="宋体" w:cs="Times New Roman"/>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6pt;margin-top:445.9pt;height:31.5pt;width:48.9pt;z-index:251737088;mso-width-relative:page;mso-height-relative:page;" fillcolor="#FFFFFF [3212]" filled="t" stroked="f" coordsize="21600,21600" o:gfxdata="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pfYvdYAAAALAQAADwAAAAAAAAABACAAAAAiAAAAZHJzL2Rvd25yZXYueG1s&#10;UEsBAhQAFAAAAAgAh07iQBz9E9kzAgAARAQAAA4AAAAAAAAAAQAgAAAAJQEAAGRycy9lMm9Eb2Mu&#10;eG1sUEsFBgAAAAAGAAYAWQEAAMoFAAAAAA==&#10;">
                <v:fill on="t"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ascii="Times New Roman" w:hAnsi="Times New Roman" w:eastAsia="宋体" w:cs="Times New Roman"/>
                          <w:lang w:eastAsia="zh-CN"/>
                        </w:rPr>
                      </w:pPr>
                      <w:r>
                        <w:rPr>
                          <w:rFonts w:hint="default" w:ascii="Times New Roman" w:hAnsi="Times New Roman" w:eastAsia="宋体" w:cs="Times New Roman"/>
                          <w:lang w:eastAsia="zh-CN"/>
                        </w:rPr>
                        <w:t>肠胃</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内容物</w:t>
                      </w:r>
                      <w:r>
                        <w:rPr>
                          <w:rFonts w:hint="default" w:ascii="Times New Roman" w:hAnsi="Times New Roman" w:eastAsia="宋体" w:cs="Times New Roman"/>
                          <w:lang w:val="en-US" w:eastAsia="zh-CN"/>
                        </w:rPr>
                        <w:t>S</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4443730</wp:posOffset>
                </wp:positionH>
                <wp:positionV relativeFrom="paragraph">
                  <wp:posOffset>6329680</wp:posOffset>
                </wp:positionV>
                <wp:extent cx="1541145" cy="323850"/>
                <wp:effectExtent l="0" t="0" r="1905" b="0"/>
                <wp:wrapNone/>
                <wp:docPr id="44" name="文本框 44"/>
                <wp:cNvGraphicFramePr/>
                <a:graphic xmlns:a="http://schemas.openxmlformats.org/drawingml/2006/main">
                  <a:graphicData uri="http://schemas.microsoft.com/office/word/2010/wordprocessingShape">
                    <wps:wsp>
                      <wps:cNvSpPr txBox="1"/>
                      <wps:spPr>
                        <a:xfrm>
                          <a:off x="0" y="0"/>
                          <a:ext cx="1541145" cy="3238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ind w:left="-105" w:leftChars="-50" w:right="-105" w:rightChars="-50"/>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不合格品S，外协处理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9pt;margin-top:498.4pt;height:25.5pt;width:121.35pt;z-index:251715584;mso-width-relative:page;mso-height-relative:page;" fillcolor="#FFFFFF [3212]" filled="t" stroked="f" coordsize="21600,21600" o:gfxdata="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b7tdNcAAAAMAQAADwAAAAAAAAABACAAAAAiAAAAZHJzL2Rvd25yZXYu&#10;eG1sUEsBAhQAFAAAAAgAh07iQCJkNxc1AgAAQwQAAA4AAAAAAAAAAQAgAAAAJgEAAGRycy9lMm9E&#10;b2MueG1sUEsFBgAAAAAGAAYAWQEAAM0FAAAAAA==&#10;">
                <v:fill on="t"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ind w:left="-105" w:leftChars="-50" w:right="-105" w:rightChars="-50"/>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不合格品S，外协处理</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3615055</wp:posOffset>
                </wp:positionH>
                <wp:positionV relativeFrom="paragraph">
                  <wp:posOffset>1948180</wp:posOffset>
                </wp:positionV>
                <wp:extent cx="1045845" cy="266700"/>
                <wp:effectExtent l="0" t="0" r="1905" b="0"/>
                <wp:wrapNone/>
                <wp:docPr id="153" name="文本框 153"/>
                <wp:cNvGraphicFramePr/>
                <a:graphic xmlns:a="http://schemas.openxmlformats.org/drawingml/2006/main">
                  <a:graphicData uri="http://schemas.microsoft.com/office/word/2010/wordprocessingShape">
                    <wps:wsp>
                      <wps:cNvSpPr txBox="1"/>
                      <wps:spPr>
                        <a:xfrm>
                          <a:off x="0" y="0"/>
                          <a:ext cx="1045845" cy="2667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噪声</w:t>
                            </w:r>
                            <w:r>
                              <w:rPr>
                                <w:rFonts w:hint="default" w:ascii="Times New Roman" w:hAnsi="Times New Roman" w:eastAsia="宋体" w:cs="Times New Roman"/>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65pt;margin-top:153.4pt;height:21pt;width:82.35pt;z-index:251735040;mso-width-relative:page;mso-height-relative:page;" fillcolor="#FFFFFF [3212]" filled="t" stroked="f" coordsize="21600,21600" o:gfxdata="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DCZ0dUAAAALAQAADwAAAAAAAAABACAAAAAiAAAAZHJzL2Rvd25yZXYu&#10;eG1sUEsBAhQAFAAAAAgAh07iQFx1CaA3AgAARQQAAA4AAAAAAAAAAQAgAAAAJAEAAGRycy9lMm9E&#10;b2MueG1sUEsFBgAAAAAGAAYAWQEAAM0FAAAAAA==&#10;">
                <v:fill on="t" focussize="0,0"/>
                <v:stroke on="f" weight="0.5pt"/>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噪声</w:t>
                      </w:r>
                      <w:r>
                        <w:rPr>
                          <w:rFonts w:hint="default" w:ascii="Times New Roman" w:hAnsi="Times New Roman" w:eastAsia="宋体" w:cs="Times New Roman"/>
                          <w:lang w:val="en-US" w:eastAsia="zh-CN"/>
                        </w:rPr>
                        <w:t>N</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3596005</wp:posOffset>
                </wp:positionH>
                <wp:positionV relativeFrom="paragraph">
                  <wp:posOffset>690880</wp:posOffset>
                </wp:positionV>
                <wp:extent cx="1950085" cy="266700"/>
                <wp:effectExtent l="0" t="0" r="12065" b="0"/>
                <wp:wrapNone/>
                <wp:docPr id="42" name="文本框 42"/>
                <wp:cNvGraphicFramePr/>
                <a:graphic xmlns:a="http://schemas.openxmlformats.org/drawingml/2006/main">
                  <a:graphicData uri="http://schemas.microsoft.com/office/word/2010/wordprocessingShape">
                    <wps:wsp>
                      <wps:cNvSpPr txBox="1"/>
                      <wps:spPr>
                        <a:xfrm>
                          <a:off x="0" y="0"/>
                          <a:ext cx="1950085" cy="2667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eastAsia="zh-CN"/>
                              </w:rPr>
                            </w:pPr>
                            <w:r>
                              <w:rPr>
                                <w:rFonts w:hint="default" w:ascii="Times New Roman" w:hAnsi="Times New Roman" w:eastAsia="宋体" w:cs="Times New Roman"/>
                                <w:lang w:eastAsia="zh-CN"/>
                              </w:rPr>
                              <w:t>病死牛羊</w:t>
                            </w:r>
                            <w:r>
                              <w:rPr>
                                <w:rFonts w:hint="default" w:ascii="Times New Roman" w:hAnsi="Times New Roman" w:eastAsia="宋体" w:cs="Times New Roman"/>
                                <w:lang w:val="en-US" w:eastAsia="zh-CN"/>
                              </w:rPr>
                              <w:t>S，外协</w:t>
                            </w:r>
                            <w:r>
                              <w:rPr>
                                <w:rFonts w:hint="default" w:ascii="Times New Roman" w:hAnsi="Times New Roman" w:eastAsia="宋体" w:cs="Times New Roman"/>
                                <w:lang w:eastAsia="zh-CN"/>
                              </w:rPr>
                              <w:t>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5pt;margin-top:54.4pt;height:21pt;width:153.55pt;z-index:251713536;mso-width-relative:page;mso-height-relative:page;" fillcolor="#FFFFFF [3212]" filled="t" stroked="f" coordsize="21600,21600" o:gfxdata="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huA821QAAAAsBAAAPAAAAAAAAAAEAIAAAACIAAABkcnMvZG93bnJldi54&#10;bWxQSwECFAAUAAAACACHTuJAzevqczYCAABDBAAADgAAAAAAAAABACAAAAAkAQAAZHJzL2Uyb0Rv&#10;Yy54bWxQSwUGAAAAAAYABgBZAQAAzAUAAAAA&#10;">
                <v:fill on="t" focussize="0,0"/>
                <v:stroke on="f" weight="0.5pt"/>
                <v:imagedata o:title=""/>
                <o:lock v:ext="edit" aspectratio="f"/>
                <v:textbox>
                  <w:txbxContent>
                    <w:p>
                      <w:pPr>
                        <w:rPr>
                          <w:rFonts w:hint="default" w:ascii="Times New Roman" w:hAnsi="Times New Roman" w:eastAsia="宋体" w:cs="Times New Roman"/>
                          <w:lang w:eastAsia="zh-CN"/>
                        </w:rPr>
                      </w:pPr>
                      <w:r>
                        <w:rPr>
                          <w:rFonts w:hint="default" w:ascii="Times New Roman" w:hAnsi="Times New Roman" w:eastAsia="宋体" w:cs="Times New Roman"/>
                          <w:lang w:eastAsia="zh-CN"/>
                        </w:rPr>
                        <w:t>病死牛羊</w:t>
                      </w:r>
                      <w:r>
                        <w:rPr>
                          <w:rFonts w:hint="default" w:ascii="Times New Roman" w:hAnsi="Times New Roman" w:eastAsia="宋体" w:cs="Times New Roman"/>
                          <w:lang w:val="en-US" w:eastAsia="zh-CN"/>
                        </w:rPr>
                        <w:t>S，外协</w:t>
                      </w:r>
                      <w:r>
                        <w:rPr>
                          <w:rFonts w:hint="default" w:ascii="Times New Roman" w:hAnsi="Times New Roman" w:eastAsia="宋体" w:cs="Times New Roman"/>
                          <w:lang w:eastAsia="zh-CN"/>
                        </w:rPr>
                        <w:t>处理</w:t>
                      </w: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3366770</wp:posOffset>
                </wp:positionH>
                <wp:positionV relativeFrom="paragraph">
                  <wp:posOffset>1329690</wp:posOffset>
                </wp:positionV>
                <wp:extent cx="2540635" cy="247015"/>
                <wp:effectExtent l="0" t="0" r="12065" b="635"/>
                <wp:wrapNone/>
                <wp:docPr id="152" name="文本框 152"/>
                <wp:cNvGraphicFramePr/>
                <a:graphic xmlns:a="http://schemas.openxmlformats.org/drawingml/2006/main">
                  <a:graphicData uri="http://schemas.microsoft.com/office/word/2010/wordprocessingShape">
                    <wps:wsp>
                      <wps:cNvSpPr txBox="1"/>
                      <wps:spPr>
                        <a:xfrm>
                          <a:off x="0" y="0"/>
                          <a:ext cx="2540635" cy="2470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eastAsia="宋体"/>
                                <w:lang w:val="en-US" w:eastAsia="zh-CN"/>
                              </w:rPr>
                            </w:pPr>
                            <w:r>
                              <w:rPr>
                                <w:rFonts w:hint="eastAsia" w:eastAsia="宋体"/>
                                <w:lang w:val="en-US" w:eastAsia="zh-CN"/>
                              </w:rPr>
                              <w:t>牛羊粪</w:t>
                            </w:r>
                            <w:r>
                              <w:rPr>
                                <w:rFonts w:hint="default" w:ascii="Times New Roman" w:hAnsi="Times New Roman" w:eastAsia="宋体" w:cs="Times New Roman"/>
                                <w:lang w:val="en-US" w:eastAsia="zh-CN"/>
                              </w:rPr>
                              <w:t>便S、恶臭气体G、废水W、噪声N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1pt;margin-top:104.7pt;height:19.45pt;width:200.05pt;z-index:251734016;mso-width-relative:page;mso-height-relative:page;" fillcolor="#FFFFFF [3212]" filled="t" stroked="f" coordsize="21600,21600" o:gfxdata="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Gj99NYAAAALAQAADwAAAAAAAAABACAAAAAiAAAAZHJzL2Rvd25yZXYueG1s&#10;UEsBAhQAFAAAAAgAh07iQJbSd3szAgAARQQAAA4AAAAAAAAAAQAgAAAAJQEAAGRycy9lMm9Eb2Mu&#10;eG1sUEsFBgAAAAAGAAYAWQEAAMoFAAAAAA==&#10;">
                <v:fill on="t"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eastAsia="宋体"/>
                          <w:lang w:val="en-US" w:eastAsia="zh-CN"/>
                        </w:rPr>
                      </w:pPr>
                      <w:r>
                        <w:rPr>
                          <w:rFonts w:hint="eastAsia" w:eastAsia="宋体"/>
                          <w:lang w:val="en-US" w:eastAsia="zh-CN"/>
                        </w:rPr>
                        <w:t>牛羊粪</w:t>
                      </w:r>
                      <w:r>
                        <w:rPr>
                          <w:rFonts w:hint="default" w:ascii="Times New Roman" w:hAnsi="Times New Roman" w:eastAsia="宋体" w:cs="Times New Roman"/>
                          <w:lang w:val="en-US" w:eastAsia="zh-CN"/>
                        </w:rPr>
                        <w:t>便S、恶臭气体G、废水W、噪声N</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3100070</wp:posOffset>
                </wp:positionH>
                <wp:positionV relativeFrom="paragraph">
                  <wp:posOffset>290830</wp:posOffset>
                </wp:positionV>
                <wp:extent cx="636270" cy="39941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63627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eastAsia="宋体"/>
                                <w:lang w:val="en-US" w:eastAsia="zh-CN"/>
                              </w:rPr>
                            </w:pPr>
                            <w:r>
                              <w:rPr>
                                <w:rFonts w:hint="eastAsia" w:eastAsia="宋体"/>
                                <w:lang w:eastAsia="zh-CN"/>
                              </w:rPr>
                              <w:t>不合格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1pt;margin-top:22.9pt;height:31.45pt;width:50.1pt;z-index:251712512;mso-width-relative:page;mso-height-relative:page;" filled="f" stroked="f" coordsize="21600,21600" o:gfxdata="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vAZLa&#10;AAAACgEAAA8AAAAAAAAAAQAgAAAAIgAAAGRycy9kb3ducmV2LnhtbFBLAQIUABQAAAAIAIdO4kCr&#10;vy3CHgIAABkEAAAOAAAAAAAAAAEAIAAAACkBAABkcnMvZTJvRG9jLnhtbFBLBQYAAAAABgAGAFkB&#10;AAC5BQ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default" w:eastAsia="宋体"/>
                          <w:lang w:val="en-US" w:eastAsia="zh-CN"/>
                        </w:rPr>
                      </w:pPr>
                      <w:r>
                        <w:rPr>
                          <w:rFonts w:hint="eastAsia" w:eastAsia="宋体"/>
                          <w:lang w:eastAsia="zh-CN"/>
                        </w:rPr>
                        <w:t>不合格</w:t>
                      </w:r>
                    </w:p>
                  </w:txbxContent>
                </v:textbox>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1312545</wp:posOffset>
                </wp:positionH>
                <wp:positionV relativeFrom="paragraph">
                  <wp:posOffset>7549515</wp:posOffset>
                </wp:positionV>
                <wp:extent cx="494030" cy="117983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494030" cy="1179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精</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细</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加</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default" w:eastAsia="宋体"/>
                                <w:b/>
                                <w:bCs/>
                                <w:color w:val="0000FF"/>
                                <w:lang w:val="en-US" w:eastAsia="zh-CN"/>
                              </w:rPr>
                            </w:pPr>
                            <w:r>
                              <w:rPr>
                                <w:rFonts w:hint="eastAsia" w:eastAsia="宋体"/>
                                <w:b/>
                                <w:bCs/>
                                <w:color w:val="0000FF"/>
                                <w:lang w:val="en-US" w:eastAsia="zh-CN"/>
                              </w:rPr>
                              <w:t>工</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阶</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default"/>
                                <w:b/>
                                <w:bCs/>
                                <w:color w:val="0000FF"/>
                                <w:lang w:val="en-US" w:eastAsia="zh-CN"/>
                              </w:rPr>
                            </w:pPr>
                            <w:r>
                              <w:rPr>
                                <w:rFonts w:hint="eastAsia" w:eastAsia="宋体"/>
                                <w:b/>
                                <w:bCs/>
                                <w:color w:val="0000FF"/>
                                <w:lang w:val="en-US" w:eastAsia="zh-CN"/>
                              </w:rPr>
                              <w:t>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594.45pt;height:92.9pt;width:38.9pt;z-index:251724800;mso-width-relative:page;mso-height-relative:page;" filled="f" stroked="f" coordsize="21600,21600" o:gfxdata="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8iOV3QAAAA0BAAAPAAAAAAAAAAEAIAAAACIAAABkcnMvZG93bnJldi54bWxQSwECFAAUAAAACACH&#10;TuJAnM7tDB8CAAAaBAAADgAAAAAAAAABACAAAAAsAQAAZHJzL2Uyb0RvYy54bWxQSwUGAAAAAAYA&#10;BgBZAQAAvQUAAAAA&#10;">
                <v:fill on="f" focussize="0,0"/>
                <v:stroke on="f" weight="0.5pt"/>
                <v:imagedata o:title=""/>
                <o:lock v:ext="edit" aspectratio="f"/>
                <v:textbox>
                  <w:txbxContent>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精</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细</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加</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default" w:eastAsia="宋体"/>
                          <w:b/>
                          <w:bCs/>
                          <w:color w:val="0000FF"/>
                          <w:lang w:val="en-US" w:eastAsia="zh-CN"/>
                        </w:rPr>
                      </w:pPr>
                      <w:r>
                        <w:rPr>
                          <w:rFonts w:hint="eastAsia" w:eastAsia="宋体"/>
                          <w:b/>
                          <w:bCs/>
                          <w:color w:val="0000FF"/>
                          <w:lang w:val="en-US" w:eastAsia="zh-CN"/>
                        </w:rPr>
                        <w:t>工</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阶</w:t>
                      </w:r>
                    </w:p>
                    <w:p>
                      <w:pPr>
                        <w:pStyle w:val="13"/>
                        <w:keepNext w:val="0"/>
                        <w:keepLines w:val="0"/>
                        <w:pageBreakBefore w:val="0"/>
                        <w:widowControl/>
                        <w:kinsoku w:val="0"/>
                        <w:wordWrap/>
                        <w:overflowPunct/>
                        <w:topLinePunct w:val="0"/>
                        <w:bidi w:val="0"/>
                        <w:adjustRightInd w:val="0"/>
                        <w:snapToGrid w:val="0"/>
                        <w:spacing w:after="0"/>
                        <w:ind w:left="0" w:leftChars="0" w:right="0" w:rightChars="0" w:firstLine="0" w:firstLineChars="0"/>
                        <w:jc w:val="center"/>
                        <w:textAlignment w:val="baseline"/>
                        <w:rPr>
                          <w:rFonts w:hint="default"/>
                          <w:b/>
                          <w:bCs/>
                          <w:color w:val="0000FF"/>
                          <w:lang w:val="en-US" w:eastAsia="zh-CN"/>
                        </w:rPr>
                      </w:pPr>
                      <w:r>
                        <w:rPr>
                          <w:rFonts w:hint="eastAsia" w:eastAsia="宋体"/>
                          <w:b/>
                          <w:bCs/>
                          <w:color w:val="0000FF"/>
                          <w:lang w:val="en-US" w:eastAsia="zh-CN"/>
                        </w:rPr>
                        <w:t>段</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1280795</wp:posOffset>
                </wp:positionH>
                <wp:positionV relativeFrom="paragraph">
                  <wp:posOffset>2421890</wp:posOffset>
                </wp:positionV>
                <wp:extent cx="494030" cy="242189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494030" cy="2421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屠</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宰</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分</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割</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阶</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default"/>
                                <w:b/>
                                <w:bCs/>
                                <w:color w:val="0000FF"/>
                                <w:lang w:val="en-US" w:eastAsia="zh-CN"/>
                              </w:rPr>
                            </w:pPr>
                            <w:r>
                              <w:rPr>
                                <w:rFonts w:hint="eastAsia" w:eastAsia="宋体"/>
                                <w:b/>
                                <w:bCs/>
                                <w:color w:val="0000FF"/>
                                <w:lang w:val="en-US" w:eastAsia="zh-CN"/>
                              </w:rPr>
                              <w:t>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85pt;margin-top:190.7pt;height:190.7pt;width:38.9pt;z-index:251723776;mso-width-relative:page;mso-height-relative:page;" filled="f" stroked="f" coordsize="21600,21600" o:gfxdata="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qSkEPcAAAACwEAAA8AAAAAAAAAAQAgAAAAIgAAAGRycy9kb3ducmV2LnhtbFBLAQIUABQAAAAI&#10;AIdO4kBFyfVQIgIAABoEAAAOAAAAAAAAAAEAIAAAACsBAABkcnMvZTJvRG9jLnhtbFBLBQYAAAAA&#10;BgAGAFkBAAC/BQAAAAA=&#10;">
                <v:fill on="f" focussize="0,0"/>
                <v:stroke on="f" weight="0.5pt"/>
                <v:imagedata o:title=""/>
                <o:lock v:ext="edit" aspectratio="f"/>
                <v:textbox>
                  <w:txbxContent>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屠</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宰</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分</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割</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阶</w:t>
                      </w: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eastAsia" w:eastAsia="宋体"/>
                          <w:b/>
                          <w:bCs/>
                          <w:color w:val="0000FF"/>
                          <w:lang w:val="en-US" w:eastAsia="zh-CN"/>
                        </w:rPr>
                      </w:pPr>
                    </w:p>
                    <w:p>
                      <w:pPr>
                        <w:pStyle w:val="13"/>
                        <w:keepNext w:val="0"/>
                        <w:keepLines w:val="0"/>
                        <w:pageBreakBefore w:val="0"/>
                        <w:widowControl/>
                        <w:kinsoku w:val="0"/>
                        <w:wordWrap/>
                        <w:overflowPunct/>
                        <w:topLinePunct w:val="0"/>
                        <w:bidi w:val="0"/>
                        <w:adjustRightInd w:val="0"/>
                        <w:snapToGrid w:val="0"/>
                        <w:ind w:left="0" w:leftChars="0" w:right="0" w:rightChars="0" w:firstLine="0" w:firstLineChars="0"/>
                        <w:jc w:val="center"/>
                        <w:textAlignment w:val="baseline"/>
                        <w:rPr>
                          <w:rFonts w:hint="default"/>
                          <w:b/>
                          <w:bCs/>
                          <w:color w:val="0000FF"/>
                          <w:lang w:val="en-US" w:eastAsia="zh-CN"/>
                        </w:rPr>
                      </w:pPr>
                      <w:r>
                        <w:rPr>
                          <w:rFonts w:hint="eastAsia" w:eastAsia="宋体"/>
                          <w:b/>
                          <w:bCs/>
                          <w:color w:val="0000FF"/>
                          <w:lang w:val="en-US" w:eastAsia="zh-CN"/>
                        </w:rPr>
                        <w:t>段</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1233170</wp:posOffset>
                </wp:positionH>
                <wp:positionV relativeFrom="paragraph">
                  <wp:posOffset>381635</wp:posOffset>
                </wp:positionV>
                <wp:extent cx="494030" cy="120269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494030" cy="1202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auto"/>
                              <w:ind w:left="0" w:leftChars="0" w:right="0" w:rightChars="0"/>
                              <w:jc w:val="center"/>
                              <w:textAlignment w:val="baseline"/>
                              <w:rPr>
                                <w:rFonts w:hint="eastAsia" w:eastAsia="宋体"/>
                                <w:b/>
                                <w:bCs/>
                                <w:color w:val="0000FF"/>
                                <w:lang w:val="en-US" w:eastAsia="zh-CN"/>
                              </w:rPr>
                            </w:pPr>
                            <w:r>
                              <w:rPr>
                                <w:rFonts w:hint="eastAsia" w:eastAsia="宋体"/>
                                <w:b/>
                                <w:bCs/>
                                <w:color w:val="0000FF"/>
                                <w:lang w:val="en-US" w:eastAsia="zh-CN"/>
                              </w:rPr>
                              <w:t>宰</w:t>
                            </w:r>
                          </w:p>
                          <w:p>
                            <w:pPr>
                              <w:keepNext w:val="0"/>
                              <w:keepLines w:val="0"/>
                              <w:pageBreakBefore w:val="0"/>
                              <w:widowControl/>
                              <w:kinsoku w:val="0"/>
                              <w:wordWrap/>
                              <w:overflowPunct/>
                              <w:topLinePunct w:val="0"/>
                              <w:bidi w:val="0"/>
                              <w:adjustRightInd w:val="0"/>
                              <w:snapToGrid w:val="0"/>
                              <w:spacing w:line="240" w:lineRule="auto"/>
                              <w:ind w:left="0" w:leftChars="0" w:right="0" w:rightChars="0"/>
                              <w:jc w:val="center"/>
                              <w:textAlignment w:val="baseline"/>
                              <w:rPr>
                                <w:rFonts w:hint="eastAsia" w:eastAsia="宋体"/>
                                <w:b/>
                                <w:bCs/>
                                <w:color w:val="0000FF"/>
                                <w:lang w:val="en-US" w:eastAsia="zh-CN"/>
                              </w:rPr>
                            </w:pPr>
                            <w:r>
                              <w:rPr>
                                <w:rFonts w:hint="eastAsia" w:eastAsia="宋体"/>
                                <w:b/>
                                <w:bCs/>
                                <w:color w:val="0000FF"/>
                                <w:lang w:val="en-US" w:eastAsia="zh-CN"/>
                              </w:rPr>
                              <w:t>前</w:t>
                            </w:r>
                          </w:p>
                          <w:p>
                            <w:pPr>
                              <w:keepNext w:val="0"/>
                              <w:keepLines w:val="0"/>
                              <w:pageBreakBefore w:val="0"/>
                              <w:widowControl/>
                              <w:kinsoku w:val="0"/>
                              <w:wordWrap/>
                              <w:overflowPunct/>
                              <w:topLinePunct w:val="0"/>
                              <w:bidi w:val="0"/>
                              <w:adjustRightInd w:val="0"/>
                              <w:snapToGrid w:val="0"/>
                              <w:spacing w:line="240" w:lineRule="auto"/>
                              <w:ind w:left="0" w:leftChars="0" w:right="0" w:rightChars="0"/>
                              <w:jc w:val="center"/>
                              <w:textAlignment w:val="baseline"/>
                              <w:rPr>
                                <w:rFonts w:hint="eastAsia" w:eastAsia="宋体"/>
                                <w:b/>
                                <w:bCs/>
                                <w:color w:val="0000FF"/>
                                <w:lang w:val="en-US" w:eastAsia="zh-CN"/>
                              </w:rPr>
                            </w:pPr>
                            <w:r>
                              <w:rPr>
                                <w:rFonts w:hint="eastAsia" w:eastAsia="宋体"/>
                                <w:b/>
                                <w:bCs/>
                                <w:color w:val="0000FF"/>
                                <w:lang w:val="en-US" w:eastAsia="zh-CN"/>
                              </w:rPr>
                              <w:t>准</w:t>
                            </w:r>
                          </w:p>
                          <w:p>
                            <w:pPr>
                              <w:keepNext w:val="0"/>
                              <w:keepLines w:val="0"/>
                              <w:pageBreakBefore w:val="0"/>
                              <w:widowControl/>
                              <w:kinsoku w:val="0"/>
                              <w:wordWrap/>
                              <w:overflowPunct/>
                              <w:topLinePunct w:val="0"/>
                              <w:bidi w:val="0"/>
                              <w:adjustRightInd w:val="0"/>
                              <w:snapToGrid w:val="0"/>
                              <w:spacing w:line="240" w:lineRule="auto"/>
                              <w:ind w:left="0" w:leftChars="0" w:right="0" w:rightChars="0"/>
                              <w:jc w:val="center"/>
                              <w:textAlignment w:val="baseline"/>
                              <w:rPr>
                                <w:rFonts w:hint="eastAsia" w:eastAsia="宋体"/>
                                <w:b/>
                                <w:bCs/>
                                <w:color w:val="0000FF"/>
                                <w:lang w:val="en-US" w:eastAsia="zh-CN"/>
                              </w:rPr>
                            </w:pPr>
                            <w:r>
                              <w:rPr>
                                <w:rFonts w:hint="eastAsia" w:eastAsia="宋体"/>
                                <w:b/>
                                <w:bCs/>
                                <w:color w:val="0000FF"/>
                                <w:lang w:val="en-US" w:eastAsia="zh-CN"/>
                              </w:rPr>
                              <w:t>备</w:t>
                            </w:r>
                          </w:p>
                          <w:p>
                            <w:pPr>
                              <w:pStyle w:val="13"/>
                              <w:keepNext w:val="0"/>
                              <w:keepLines w:val="0"/>
                              <w:pageBreakBefore w:val="0"/>
                              <w:widowControl/>
                              <w:kinsoku w:val="0"/>
                              <w:wordWrap/>
                              <w:overflowPunct/>
                              <w:topLinePunct w:val="0"/>
                              <w:bidi w:val="0"/>
                              <w:adjustRightInd w:val="0"/>
                              <w:snapToGrid w:val="0"/>
                              <w:spacing w:after="0" w:line="240" w:lineRule="auto"/>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阶</w:t>
                            </w:r>
                          </w:p>
                          <w:p>
                            <w:pPr>
                              <w:pStyle w:val="13"/>
                              <w:keepNext w:val="0"/>
                              <w:keepLines w:val="0"/>
                              <w:pageBreakBefore w:val="0"/>
                              <w:widowControl/>
                              <w:kinsoku w:val="0"/>
                              <w:wordWrap/>
                              <w:overflowPunct/>
                              <w:topLinePunct w:val="0"/>
                              <w:bidi w:val="0"/>
                              <w:adjustRightInd w:val="0"/>
                              <w:snapToGrid w:val="0"/>
                              <w:spacing w:after="0" w:line="240" w:lineRule="auto"/>
                              <w:ind w:left="0" w:leftChars="0" w:right="0" w:rightChars="0" w:firstLine="0" w:firstLineChars="0"/>
                              <w:jc w:val="center"/>
                              <w:textAlignment w:val="baseline"/>
                              <w:rPr>
                                <w:rFonts w:hint="default"/>
                                <w:b/>
                                <w:bCs/>
                                <w:color w:val="0000FF"/>
                                <w:lang w:val="en-US" w:eastAsia="zh-CN"/>
                              </w:rPr>
                            </w:pPr>
                            <w:r>
                              <w:rPr>
                                <w:rFonts w:hint="eastAsia" w:eastAsia="宋体"/>
                                <w:b/>
                                <w:bCs/>
                                <w:color w:val="0000FF"/>
                                <w:lang w:val="en-US" w:eastAsia="zh-CN"/>
                              </w:rPr>
                              <w:t>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30.05pt;height:94.7pt;width:38.9pt;z-index:251722752;mso-width-relative:page;mso-height-relative:page;" filled="f" stroked="f" coordsize="21600,21600" o:gfxdata="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6U&#10;PrraAAAACgEAAA8AAAAAAAAAAQAgAAAAIgAAAGRycy9kb3ducmV2LnhtbFBLAQIUABQAAAAIAIdO&#10;4kDDBStOIQIAABoEAAAOAAAAAAAAAAEAIAAAACkBAABkcnMvZTJvRG9jLnhtbFBLBQYAAAAABgAG&#10;AFkBAAC8BQ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auto"/>
                        <w:ind w:left="0" w:leftChars="0" w:right="0" w:rightChars="0"/>
                        <w:jc w:val="center"/>
                        <w:textAlignment w:val="baseline"/>
                        <w:rPr>
                          <w:rFonts w:hint="eastAsia" w:eastAsia="宋体"/>
                          <w:b/>
                          <w:bCs/>
                          <w:color w:val="0000FF"/>
                          <w:lang w:val="en-US" w:eastAsia="zh-CN"/>
                        </w:rPr>
                      </w:pPr>
                      <w:r>
                        <w:rPr>
                          <w:rFonts w:hint="eastAsia" w:eastAsia="宋体"/>
                          <w:b/>
                          <w:bCs/>
                          <w:color w:val="0000FF"/>
                          <w:lang w:val="en-US" w:eastAsia="zh-CN"/>
                        </w:rPr>
                        <w:t>宰</w:t>
                      </w:r>
                    </w:p>
                    <w:p>
                      <w:pPr>
                        <w:keepNext w:val="0"/>
                        <w:keepLines w:val="0"/>
                        <w:pageBreakBefore w:val="0"/>
                        <w:widowControl/>
                        <w:kinsoku w:val="0"/>
                        <w:wordWrap/>
                        <w:overflowPunct/>
                        <w:topLinePunct w:val="0"/>
                        <w:bidi w:val="0"/>
                        <w:adjustRightInd w:val="0"/>
                        <w:snapToGrid w:val="0"/>
                        <w:spacing w:line="240" w:lineRule="auto"/>
                        <w:ind w:left="0" w:leftChars="0" w:right="0" w:rightChars="0"/>
                        <w:jc w:val="center"/>
                        <w:textAlignment w:val="baseline"/>
                        <w:rPr>
                          <w:rFonts w:hint="eastAsia" w:eastAsia="宋体"/>
                          <w:b/>
                          <w:bCs/>
                          <w:color w:val="0000FF"/>
                          <w:lang w:val="en-US" w:eastAsia="zh-CN"/>
                        </w:rPr>
                      </w:pPr>
                      <w:r>
                        <w:rPr>
                          <w:rFonts w:hint="eastAsia" w:eastAsia="宋体"/>
                          <w:b/>
                          <w:bCs/>
                          <w:color w:val="0000FF"/>
                          <w:lang w:val="en-US" w:eastAsia="zh-CN"/>
                        </w:rPr>
                        <w:t>前</w:t>
                      </w:r>
                    </w:p>
                    <w:p>
                      <w:pPr>
                        <w:keepNext w:val="0"/>
                        <w:keepLines w:val="0"/>
                        <w:pageBreakBefore w:val="0"/>
                        <w:widowControl/>
                        <w:kinsoku w:val="0"/>
                        <w:wordWrap/>
                        <w:overflowPunct/>
                        <w:topLinePunct w:val="0"/>
                        <w:bidi w:val="0"/>
                        <w:adjustRightInd w:val="0"/>
                        <w:snapToGrid w:val="0"/>
                        <w:spacing w:line="240" w:lineRule="auto"/>
                        <w:ind w:left="0" w:leftChars="0" w:right="0" w:rightChars="0"/>
                        <w:jc w:val="center"/>
                        <w:textAlignment w:val="baseline"/>
                        <w:rPr>
                          <w:rFonts w:hint="eastAsia" w:eastAsia="宋体"/>
                          <w:b/>
                          <w:bCs/>
                          <w:color w:val="0000FF"/>
                          <w:lang w:val="en-US" w:eastAsia="zh-CN"/>
                        </w:rPr>
                      </w:pPr>
                      <w:r>
                        <w:rPr>
                          <w:rFonts w:hint="eastAsia" w:eastAsia="宋体"/>
                          <w:b/>
                          <w:bCs/>
                          <w:color w:val="0000FF"/>
                          <w:lang w:val="en-US" w:eastAsia="zh-CN"/>
                        </w:rPr>
                        <w:t>准</w:t>
                      </w:r>
                    </w:p>
                    <w:p>
                      <w:pPr>
                        <w:keepNext w:val="0"/>
                        <w:keepLines w:val="0"/>
                        <w:pageBreakBefore w:val="0"/>
                        <w:widowControl/>
                        <w:kinsoku w:val="0"/>
                        <w:wordWrap/>
                        <w:overflowPunct/>
                        <w:topLinePunct w:val="0"/>
                        <w:bidi w:val="0"/>
                        <w:adjustRightInd w:val="0"/>
                        <w:snapToGrid w:val="0"/>
                        <w:spacing w:line="240" w:lineRule="auto"/>
                        <w:ind w:left="0" w:leftChars="0" w:right="0" w:rightChars="0"/>
                        <w:jc w:val="center"/>
                        <w:textAlignment w:val="baseline"/>
                        <w:rPr>
                          <w:rFonts w:hint="eastAsia" w:eastAsia="宋体"/>
                          <w:b/>
                          <w:bCs/>
                          <w:color w:val="0000FF"/>
                          <w:lang w:val="en-US" w:eastAsia="zh-CN"/>
                        </w:rPr>
                      </w:pPr>
                      <w:r>
                        <w:rPr>
                          <w:rFonts w:hint="eastAsia" w:eastAsia="宋体"/>
                          <w:b/>
                          <w:bCs/>
                          <w:color w:val="0000FF"/>
                          <w:lang w:val="en-US" w:eastAsia="zh-CN"/>
                        </w:rPr>
                        <w:t>备</w:t>
                      </w:r>
                    </w:p>
                    <w:p>
                      <w:pPr>
                        <w:pStyle w:val="13"/>
                        <w:keepNext w:val="0"/>
                        <w:keepLines w:val="0"/>
                        <w:pageBreakBefore w:val="0"/>
                        <w:widowControl/>
                        <w:kinsoku w:val="0"/>
                        <w:wordWrap/>
                        <w:overflowPunct/>
                        <w:topLinePunct w:val="0"/>
                        <w:bidi w:val="0"/>
                        <w:adjustRightInd w:val="0"/>
                        <w:snapToGrid w:val="0"/>
                        <w:spacing w:after="0" w:line="240" w:lineRule="auto"/>
                        <w:ind w:left="0" w:leftChars="0" w:right="0" w:rightChars="0" w:firstLine="0" w:firstLineChars="0"/>
                        <w:jc w:val="center"/>
                        <w:textAlignment w:val="baseline"/>
                        <w:rPr>
                          <w:rFonts w:hint="eastAsia" w:eastAsia="宋体"/>
                          <w:b/>
                          <w:bCs/>
                          <w:color w:val="0000FF"/>
                          <w:lang w:val="en-US" w:eastAsia="zh-CN"/>
                        </w:rPr>
                      </w:pPr>
                      <w:r>
                        <w:rPr>
                          <w:rFonts w:hint="eastAsia" w:eastAsia="宋体"/>
                          <w:b/>
                          <w:bCs/>
                          <w:color w:val="0000FF"/>
                          <w:lang w:val="en-US" w:eastAsia="zh-CN"/>
                        </w:rPr>
                        <w:t>阶</w:t>
                      </w:r>
                    </w:p>
                    <w:p>
                      <w:pPr>
                        <w:pStyle w:val="13"/>
                        <w:keepNext w:val="0"/>
                        <w:keepLines w:val="0"/>
                        <w:pageBreakBefore w:val="0"/>
                        <w:widowControl/>
                        <w:kinsoku w:val="0"/>
                        <w:wordWrap/>
                        <w:overflowPunct/>
                        <w:topLinePunct w:val="0"/>
                        <w:bidi w:val="0"/>
                        <w:adjustRightInd w:val="0"/>
                        <w:snapToGrid w:val="0"/>
                        <w:spacing w:after="0" w:line="240" w:lineRule="auto"/>
                        <w:ind w:left="0" w:leftChars="0" w:right="0" w:rightChars="0" w:firstLine="0" w:firstLineChars="0"/>
                        <w:jc w:val="center"/>
                        <w:textAlignment w:val="baseline"/>
                        <w:rPr>
                          <w:rFonts w:hint="default"/>
                          <w:b/>
                          <w:bCs/>
                          <w:color w:val="0000FF"/>
                          <w:lang w:val="en-US" w:eastAsia="zh-CN"/>
                        </w:rPr>
                      </w:pPr>
                      <w:r>
                        <w:rPr>
                          <w:rFonts w:hint="eastAsia" w:eastAsia="宋体"/>
                          <w:b/>
                          <w:bCs/>
                          <w:color w:val="0000FF"/>
                          <w:lang w:val="en-US" w:eastAsia="zh-CN"/>
                        </w:rPr>
                        <w:t>段</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1037590</wp:posOffset>
                </wp:positionH>
                <wp:positionV relativeFrom="paragraph">
                  <wp:posOffset>7370445</wp:posOffset>
                </wp:positionV>
                <wp:extent cx="4646295" cy="3175"/>
                <wp:effectExtent l="0" t="12700" r="1905" b="12700"/>
                <wp:wrapNone/>
                <wp:docPr id="32" name="直接连接符 32"/>
                <wp:cNvGraphicFramePr/>
                <a:graphic xmlns:a="http://schemas.openxmlformats.org/drawingml/2006/main">
                  <a:graphicData uri="http://schemas.microsoft.com/office/word/2010/wordprocessingShape">
                    <wps:wsp>
                      <wps:cNvCnPr/>
                      <wps:spPr>
                        <a:xfrm flipV="1">
                          <a:off x="0" y="0"/>
                          <a:ext cx="4646295" cy="3175"/>
                        </a:xfrm>
                        <a:prstGeom prst="line">
                          <a:avLst/>
                        </a:prstGeom>
                        <a:ln>
                          <a:solidFill>
                            <a:srgbClr val="00B0F0"/>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1.7pt;margin-top:580.35pt;height:0.25pt;width:365.85pt;z-index:251721728;mso-width-relative:page;mso-height-relative:page;" filled="f" stroked="t" coordsize="21600,21600" o:gfxdata="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BMfZAAAADQEAAA8AAAAAAAAAAQAgAAAA&#10;IgAAAGRycy9kb3ducmV2LnhtbFBLAQIUABQAAAAIAIdO4kCpr+850QEAAF0DAAAOAAAAAAAAAAEA&#10;IAAAACgBAABkcnMvZTJvRG9jLnhtbFBLBQYAAAAABgAGAFkBAABrBQAAAAA=&#10;">
                <v:fill on="f" focussize="0,0"/>
                <v:stroke weight="2pt" color="#00B0F0 [3204]" joinstyle="round" dashstyle="1 1"/>
                <v:imagedata o:title=""/>
                <o:lock v:ext="edit" aspectratio="f"/>
              </v:lin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1283335</wp:posOffset>
                </wp:positionH>
                <wp:positionV relativeFrom="paragraph">
                  <wp:posOffset>1687195</wp:posOffset>
                </wp:positionV>
                <wp:extent cx="4646295" cy="3175"/>
                <wp:effectExtent l="0" t="12700" r="1905" b="12700"/>
                <wp:wrapNone/>
                <wp:docPr id="2" name="直接连接符 2"/>
                <wp:cNvGraphicFramePr/>
                <a:graphic xmlns:a="http://schemas.openxmlformats.org/drawingml/2006/main">
                  <a:graphicData uri="http://schemas.microsoft.com/office/word/2010/wordprocessingShape">
                    <wps:wsp>
                      <wps:cNvCnPr/>
                      <wps:spPr>
                        <a:xfrm flipV="1">
                          <a:off x="1288415" y="2258695"/>
                          <a:ext cx="4646295" cy="3175"/>
                        </a:xfrm>
                        <a:prstGeom prst="line">
                          <a:avLst/>
                        </a:prstGeom>
                        <a:ln>
                          <a:solidFill>
                            <a:srgbClr val="00B0F0"/>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1.05pt;margin-top:132.85pt;height:0.25pt;width:365.85pt;z-index:251720704;mso-width-relative:page;mso-height-relative:page;" filled="f" stroked="t" coordsize="21600,21600" o:gfxdata="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8HQknYAAAACwEAAA8AAAAA&#10;AAAAAQAgAAAAIgAAAGRycy9kb3ducmV2LnhtbFBLAQIUABQAAAAIAIdO4kAU0o3m2wEAAGcDAAAO&#10;AAAAAAAAAAEAIAAAACcBAABkcnMvZTJvRG9jLnhtbFBLBQYAAAAABgAGAFkBAAB0BQAAAAA=&#10;">
                <v:fill on="f" focussize="0,0"/>
                <v:stroke weight="2pt" color="#00B0F0 [3204]" joinstyle="round" dashstyle="1 1"/>
                <v:imagedata o:title=""/>
                <o:lock v:ext="edit" aspectratio="f"/>
              </v:lin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3528695</wp:posOffset>
                </wp:positionH>
                <wp:positionV relativeFrom="paragraph">
                  <wp:posOffset>6072505</wp:posOffset>
                </wp:positionV>
                <wp:extent cx="883920" cy="44704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883920"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不合格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85pt;margin-top:478.15pt;height:35.2pt;width:69.6pt;z-index:251719680;mso-width-relative:page;mso-height-relative:page;" filled="f" stroked="f" coordsize="21600,21600" o:gfxdata="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VRUfHdAAAADAEAAA8AAAAAAAAAAQAgAAAAIgAAAGRycy9kb3ducmV2LnhtbFBLAQIUABQAAAAI&#10;AIdO4kCbNTVlIQIAABkEAAAOAAAAAAAAAAEAIAAAACwBAABkcnMvZTJvRG9jLnhtbFBLBQYAAAAA&#10;BgAGAFkBAAC/BQ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不合格</w:t>
                      </w:r>
                    </w:p>
                  </w:txbxContent>
                </v:textbox>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3542665</wp:posOffset>
                </wp:positionH>
                <wp:positionV relativeFrom="paragraph">
                  <wp:posOffset>6506210</wp:posOffset>
                </wp:positionV>
                <wp:extent cx="929640" cy="2540"/>
                <wp:effectExtent l="0" t="56515" r="3810" b="55245"/>
                <wp:wrapNone/>
                <wp:docPr id="70" name="直接箭头连接符 70"/>
                <wp:cNvGraphicFramePr/>
                <a:graphic xmlns:a="http://schemas.openxmlformats.org/drawingml/2006/main">
                  <a:graphicData uri="http://schemas.microsoft.com/office/word/2010/wordprocessingShape">
                    <wps:wsp>
                      <wps:cNvCnPr/>
                      <wps:spPr>
                        <a:xfrm flipV="1">
                          <a:off x="4095115" y="6830695"/>
                          <a:ext cx="929640" cy="254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8.95pt;margin-top:512.3pt;height:0.2pt;width:73.2pt;z-index:251718656;mso-width-relative:page;mso-height-relative:page;" filled="f" stroked="t" coordsize="21600,21600" o:gfxdata="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axbD3cAAAADQEAAA8AAAAAAAAAAQAgAAAAIgAAAGRycy9kb3ducmV2LnhtbFBL&#10;AQIUABQAAAAIAIdO4kBY1w298gEAAJMDAAAOAAAAAAAAAAEAIAAAACsBAABkcnMvZTJvRG9jLnht&#10;bFBLBQYAAAAABgAGAFkBAACPBQAAAAA=&#10;">
                <v:fill on="f" focussize="0,0"/>
                <v:stroke weight="2pt" color="#000000 [3213]" joinstyle="round" dashstyle="dash" endarrow="open"/>
                <v:imagedata o:title=""/>
                <o:lock v:ext="edit" aspectratio="f"/>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2833370</wp:posOffset>
                </wp:positionH>
                <wp:positionV relativeFrom="paragraph">
                  <wp:posOffset>6605905</wp:posOffset>
                </wp:positionV>
                <wp:extent cx="437515" cy="39941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43751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1pt;margin-top:520.15pt;height:31.45pt;width:34.45pt;z-index:251717632;mso-width-relative:page;mso-height-relative:page;" filled="f" stroked="f" coordsize="21600,21600" o:gfxdata="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uBLs3QAAAA0BAAAPAAAAAAAAAAEAIAAAACIAAABkcnMvZG93bnJldi54bWxQSwECFAAUAAAACACH&#10;TuJAAEYkIB8CAAAZBAAADgAAAAAAAAABACAAAAAsAQAAZHJzL2Uyb0RvYy54bWxQSwUGAAAAAAYA&#10;BgBZAQAAvQU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合格</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1518920</wp:posOffset>
                </wp:positionH>
                <wp:positionV relativeFrom="paragraph">
                  <wp:posOffset>5434330</wp:posOffset>
                </wp:positionV>
                <wp:extent cx="437515" cy="39941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3751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427.9pt;height:31.45pt;width:34.45pt;z-index:251716608;mso-width-relative:page;mso-height-relative:page;" filled="f" stroked="f" coordsize="21600,21600" o:gfxdata="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x&#10;4LHE3AAAAAsBAAAPAAAAAAAAAAEAIAAAACIAAABkcnMvZG93bnJldi54bWxQSwECFAAUAAAACACH&#10;TuJATkKDmyACAAAZBAAADgAAAAAAAAABACAAAAArAQAAZHJzL2Uyb0RvYy54bWxQSwUGAAAAAAYA&#10;BgBZAQAAvQU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合格</w:t>
                      </w:r>
                    </w:p>
                  </w:txbxContent>
                </v:textbox>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2785745</wp:posOffset>
                </wp:positionH>
                <wp:positionV relativeFrom="paragraph">
                  <wp:posOffset>929005</wp:posOffset>
                </wp:positionV>
                <wp:extent cx="437515" cy="399415"/>
                <wp:effectExtent l="0" t="0" r="0" b="0"/>
                <wp:wrapNone/>
                <wp:docPr id="40" name="文本框 40"/>
                <wp:cNvGraphicFramePr/>
                <a:graphic xmlns:a="http://schemas.openxmlformats.org/drawingml/2006/main">
                  <a:graphicData uri="http://schemas.microsoft.com/office/word/2010/wordprocessingShape">
                    <wps:wsp>
                      <wps:cNvSpPr txBox="1"/>
                      <wps:spPr>
                        <a:xfrm>
                          <a:off x="3814445" y="824230"/>
                          <a:ext cx="43751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35pt;margin-top:73.15pt;height:31.45pt;width:34.45pt;z-index:251710464;mso-width-relative:page;mso-height-relative:page;" filled="f" stroked="f" coordsize="21600,21600" o:gfxdata="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jxoJ3AAAAAsBAAAPAAAAAAAAAAEAIAAAACIAAABkcnMvZG93bnJldi54bWxQSwEC&#10;FAAUAAAACACHTuJAcqUSlikCAAAkBAAADgAAAAAAAAABACAAAAArAQAAZHJzL2Uyb0RvYy54bWxQ&#10;SwUGAAAAAAYABgBZAQAAxgU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检疫</w:t>
                      </w:r>
                    </w:p>
                    <w:p>
                      <w:pPr>
                        <w:keepNext w:val="0"/>
                        <w:keepLines w:val="0"/>
                        <w:pageBreakBefore w:val="0"/>
                        <w:widowControl/>
                        <w:kinsoku w:val="0"/>
                        <w:wordWrap/>
                        <w:overflowPunct/>
                        <w:topLinePunct w:val="0"/>
                        <w:bidi w:val="0"/>
                        <w:adjustRightInd w:val="0"/>
                        <w:snapToGrid w:val="0"/>
                        <w:spacing w:line="240" w:lineRule="exact"/>
                        <w:ind w:left="-105" w:leftChars="-50" w:right="-105" w:rightChars="-50"/>
                        <w:jc w:val="center"/>
                        <w:textAlignment w:val="baseline"/>
                        <w:rPr>
                          <w:rFonts w:hint="eastAsia" w:eastAsia="宋体"/>
                          <w:lang w:eastAsia="zh-CN"/>
                        </w:rPr>
                      </w:pPr>
                      <w:r>
                        <w:rPr>
                          <w:rFonts w:hint="eastAsia" w:eastAsia="宋体"/>
                          <w:lang w:eastAsia="zh-CN"/>
                        </w:rPr>
                        <w:t>合格</w:t>
                      </w:r>
                    </w:p>
                  </w:txbxContent>
                </v:textbox>
              </v:shape>
            </w:pict>
          </mc:Fallback>
        </mc:AlternateContent>
      </w:r>
      <w:r>
        <w:rPr>
          <w:rFonts w:hint="eastAsia" w:eastAsia="宋体"/>
          <w:lang w:eastAsia="zh-CN"/>
        </w:rPr>
        <w:drawing>
          <wp:inline distT="0" distB="0" distL="114300" distR="114300">
            <wp:extent cx="5562600" cy="9144000"/>
            <wp:effectExtent l="0" t="0" r="0" b="0"/>
            <wp:docPr id="33"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
                    <pic:cNvPicPr>
                      <a:picLocks noChangeAspect="1"/>
                    </pic:cNvPicPr>
                  </pic:nvPicPr>
                  <pic:blipFill>
                    <a:blip r:embed="rId30"/>
                    <a:stretch>
                      <a:fillRect/>
                    </a:stretch>
                  </pic:blipFill>
                  <pic:spPr>
                    <a:xfrm>
                      <a:off x="0" y="0"/>
                      <a:ext cx="5562600" cy="914400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0" w:beforeLines="50"/>
        <w:jc w:val="center"/>
        <w:textAlignment w:val="baseline"/>
        <w:rPr>
          <w:rFonts w:hint="eastAsia" w:ascii="黑体" w:hAnsi="黑体" w:eastAsia="黑体" w:cs="黑体"/>
          <w:sz w:val="24"/>
          <w:szCs w:val="24"/>
          <w:lang w:eastAsia="zh-CN"/>
        </w:rPr>
      </w:pPr>
      <w:r>
        <w:rPr>
          <w:rFonts w:hint="eastAsia" w:ascii="黑体" w:hAnsi="黑体" w:eastAsia="黑体" w:cs="黑体"/>
          <w:sz w:val="24"/>
          <w:szCs w:val="24"/>
          <w:lang w:val="en-US" w:eastAsia="zh-CN"/>
        </w:rPr>
        <w:t>图3-1    项目牛羊屠宰生产线流程及产污环节图</w:t>
      </w:r>
    </w:p>
    <w:p>
      <w:pPr>
        <w:rPr>
          <w:rFonts w:hint="eastAsia"/>
          <w:lang w:eastAsia="zh-CN"/>
        </w:rPr>
      </w:pPr>
    </w:p>
    <w:p>
      <w:pPr>
        <w:rPr>
          <w:rFonts w:hint="eastAsia"/>
          <w:lang w:eastAsia="zh-CN"/>
        </w:rPr>
      </w:pPr>
    </w:p>
    <w:p>
      <w:pPr>
        <w:spacing w:before="120" w:line="219" w:lineRule="auto"/>
        <w:jc w:val="both"/>
        <w:rPr>
          <w:rFonts w:ascii="宋体" w:hAnsi="宋体" w:eastAsia="宋体" w:cs="宋体"/>
          <w:spacing w:val="-3"/>
          <w:sz w:val="24"/>
          <w:szCs w:val="24"/>
        </w:rPr>
        <w:sectPr>
          <w:pgSz w:w="11906" w:h="16839"/>
          <w:pgMar w:top="720" w:right="720" w:bottom="720" w:left="720" w:header="0" w:footer="454" w:gutter="0"/>
          <w:pgBorders>
            <w:top w:val="none" w:sz="0" w:space="0"/>
            <w:left w:val="none" w:sz="0" w:space="0"/>
            <w:bottom w:val="none" w:sz="0" w:space="0"/>
            <w:right w:val="none" w:sz="0" w:space="0"/>
          </w:pgBorders>
          <w:pgNumType w:fmt="numberInDash"/>
          <w:cols w:equalWidth="0" w:num="1">
            <w:col w:w="9154"/>
          </w:cols>
        </w:sect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楷体" w:hAnsi="楷体" w:eastAsia="楷体" w:cs="楷体"/>
          <w:b/>
          <w:bCs/>
          <w:snapToGrid/>
          <w:kern w:val="2"/>
          <w:sz w:val="28"/>
          <w:szCs w:val="28"/>
          <w:lang w:val="en-US" w:eastAsia="zh-CN"/>
        </w:rPr>
      </w:pPr>
      <w:r>
        <w:rPr>
          <w:rFonts w:hint="eastAsia" w:ascii="楷体" w:hAnsi="楷体" w:eastAsia="楷体" w:cs="楷体"/>
          <w:b/>
          <w:bCs/>
          <w:snapToGrid/>
          <w:kern w:val="2"/>
          <w:sz w:val="28"/>
          <w:szCs w:val="28"/>
          <w:lang w:val="en-US" w:eastAsia="zh-CN"/>
        </w:rPr>
        <mc:AlternateContent>
          <mc:Choice Requires="wps">
            <w:drawing>
              <wp:anchor distT="0" distB="0" distL="114300" distR="114300" simplePos="0" relativeHeight="251709440" behindDoc="0" locked="0" layoutInCell="1" allowOverlap="1">
                <wp:simplePos x="0" y="0"/>
                <wp:positionH relativeFrom="column">
                  <wp:posOffset>680085</wp:posOffset>
                </wp:positionH>
                <wp:positionV relativeFrom="paragraph">
                  <wp:posOffset>133350</wp:posOffset>
                </wp:positionV>
                <wp:extent cx="371475" cy="635"/>
                <wp:effectExtent l="0" t="0" r="0" b="0"/>
                <wp:wrapNone/>
                <wp:docPr id="111" name="直接箭头连接符 111"/>
                <wp:cNvGraphicFramePr/>
                <a:graphic xmlns:a="http://schemas.openxmlformats.org/drawingml/2006/main">
                  <a:graphicData uri="http://schemas.microsoft.com/office/word/2010/wordprocessingShape">
                    <wps:wsp>
                      <wps:cNvCnPr/>
                      <wps:spPr>
                        <a:xfrm>
                          <a:off x="0" y="0"/>
                          <a:ext cx="371475" cy="635"/>
                        </a:xfrm>
                        <a:prstGeom prst="straightConnector1">
                          <a:avLst/>
                        </a:prstGeom>
                        <a:ln>
                          <a:noFill/>
                        </a:ln>
                        <a:effectLst/>
                      </wps:spPr>
                      <wps:bodyPr/>
                    </wps:wsp>
                  </a:graphicData>
                </a:graphic>
              </wp:anchor>
            </w:drawing>
          </mc:Choice>
          <mc:Fallback>
            <w:pict>
              <v:shape id="_x0000_s1026" o:spid="_x0000_s1026" o:spt="32" type="#_x0000_t32" style="position:absolute;left:0pt;margin-left:53.55pt;margin-top:10.5pt;height:0.05pt;width:29.25pt;z-index:251709440;mso-width-relative:page;mso-height-relative:page;" filled="f" stroked="f" coordsize="21600,21600" o:gfxdata="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xhz6m1gAAAAkBAAAPAAAAAAAAAAEAIAAAACIA&#10;AABkcnMvZG93bnJldi54bWxQSwECFAAUAAAACACHTuJANtlDo5kBAAD8AgAADgAAAAAAAAABACAA&#10;AAAlAQAAZHJzL2Uyb0RvYy54bWxQSwUGAAAAAAYABgBZAQAAMAUAAAAA&#10;">
                <v:fill on="f" focussize="0,0"/>
                <v:stroke on="f"/>
                <v:imagedata o:title=""/>
                <o:lock v:ext="edit" aspectratio="f"/>
              </v:shape>
            </w:pict>
          </mc:Fallback>
        </mc:AlternateContent>
      </w:r>
      <w:r>
        <w:rPr>
          <w:rFonts w:hint="eastAsia" w:ascii="楷体" w:hAnsi="楷体" w:eastAsia="楷体" w:cs="楷体"/>
          <w:b/>
          <w:bCs/>
          <w:snapToGrid/>
          <w:kern w:val="2"/>
          <w:sz w:val="28"/>
          <w:szCs w:val="28"/>
          <w:lang w:val="en-US" w:eastAsia="zh-CN"/>
        </w:rPr>
        <mc:AlternateContent>
          <mc:Choice Requires="wps">
            <w:drawing>
              <wp:anchor distT="0" distB="0" distL="114300" distR="114300" simplePos="0" relativeHeight="251708416" behindDoc="0" locked="0" layoutInCell="1" allowOverlap="1">
                <wp:simplePos x="0" y="0"/>
                <wp:positionH relativeFrom="column">
                  <wp:posOffset>489585</wp:posOffset>
                </wp:positionH>
                <wp:positionV relativeFrom="paragraph">
                  <wp:posOffset>100965</wp:posOffset>
                </wp:positionV>
                <wp:extent cx="371475" cy="0"/>
                <wp:effectExtent l="0" t="0" r="0" b="0"/>
                <wp:wrapNone/>
                <wp:docPr id="112" name="直接箭头连接符 112"/>
                <wp:cNvGraphicFramePr/>
                <a:graphic xmlns:a="http://schemas.openxmlformats.org/drawingml/2006/main">
                  <a:graphicData uri="http://schemas.microsoft.com/office/word/2010/wordprocessingShape">
                    <wps:wsp>
                      <wps:cNvCnPr/>
                      <wps:spPr>
                        <a:xfrm>
                          <a:off x="0" y="0"/>
                          <a:ext cx="371475" cy="0"/>
                        </a:xfrm>
                        <a:prstGeom prst="straightConnector1">
                          <a:avLst/>
                        </a:prstGeom>
                        <a:ln>
                          <a:noFill/>
                        </a:ln>
                        <a:effectLst/>
                      </wps:spPr>
                      <wps:bodyPr/>
                    </wps:wsp>
                  </a:graphicData>
                </a:graphic>
              </wp:anchor>
            </w:drawing>
          </mc:Choice>
          <mc:Fallback>
            <w:pict>
              <v:shape id="_x0000_s1026" o:spid="_x0000_s1026" o:spt="32" type="#_x0000_t32" style="position:absolute;left:0pt;margin-left:38.55pt;margin-top:7.95pt;height:0pt;width:29.25pt;z-index:251708416;mso-width-relative:page;mso-height-relative:page;" filled="f" stroked="f" coordsize="21600,21600" o:gfxdata="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&#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IRTKn1gAAAAgBAAAPAAAAAAAAAAEAIAAAACIAAABk&#10;cnMvZG93bnJldi54bWxQSwECFAAUAAAACACHTuJAysbAipYBAAD6AgAADgAAAAAAAAABACAAAAAl&#10;AQAAZHJzL2Uyb0RvYy54bWxQSwUGAAAAAAYABgBZAQAALQUAAAAA&#10;">
                <v:fill on="f" focussize="0,0"/>
                <v:stroke on="f"/>
                <v:imagedata o:title=""/>
                <o:lock v:ext="edit" aspectratio="f"/>
              </v:shape>
            </w:pict>
          </mc:Fallback>
        </mc:AlternateContent>
      </w:r>
      <w:r>
        <w:rPr>
          <w:rFonts w:hint="eastAsia" w:ascii="楷体" w:hAnsi="楷体" w:eastAsia="楷体" w:cs="楷体"/>
          <w:b/>
          <w:bCs/>
          <w:snapToGrid/>
          <w:kern w:val="2"/>
          <w:sz w:val="28"/>
          <w:szCs w:val="28"/>
          <w:lang w:val="en-US" w:eastAsia="zh-CN"/>
        </w:rPr>
        <w:t>3.2.2</w:t>
      </w:r>
      <w:r>
        <w:rPr>
          <w:rFonts w:hint="eastAsia" w:ascii="楷体" w:hAnsi="楷体" w:eastAsia="楷体" w:cs="楷体"/>
          <w:b/>
          <w:bCs/>
          <w:snapToGrid/>
          <w:color w:val="auto"/>
          <w:kern w:val="2"/>
          <w:sz w:val="28"/>
          <w:szCs w:val="28"/>
          <w:lang w:eastAsia="zh-CN"/>
        </w:rPr>
        <w:t>工艺流程简述</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rightChars="0" w:firstLine="482" w:firstLineChars="200"/>
        <w:jc w:val="both"/>
        <w:textAlignment w:val="auto"/>
        <w:rPr>
          <w:rFonts w:hint="eastAsia" w:ascii="Times New Roman" w:hAnsi="Times New Roman" w:eastAsia="宋体" w:cs="Times New Roman"/>
          <w:b/>
          <w:bCs/>
          <w:snapToGrid/>
          <w:kern w:val="2"/>
          <w:sz w:val="24"/>
          <w:szCs w:val="24"/>
          <w:highlight w:val="none"/>
          <w:u w:val="single"/>
          <w:lang w:val="en-US" w:eastAsia="zh-CN"/>
        </w:rPr>
      </w:pPr>
      <w:r>
        <w:rPr>
          <w:rFonts w:hint="eastAsia" w:ascii="Times New Roman" w:hAnsi="Times New Roman" w:eastAsia="宋体" w:cs="Times New Roman"/>
          <w:b/>
          <w:bCs/>
          <w:snapToGrid/>
          <w:color w:val="000000"/>
          <w:kern w:val="2"/>
          <w:sz w:val="24"/>
          <w:szCs w:val="24"/>
          <w:u w:val="single"/>
          <w:lang w:val="en-US" w:eastAsia="zh-CN" w:bidi="ar-SA"/>
        </w:rPr>
        <w:t>（1）</w:t>
      </w:r>
      <w:r>
        <w:rPr>
          <w:rFonts w:hint="eastAsia" w:ascii="Times New Roman" w:hAnsi="Times New Roman" w:eastAsia="宋体" w:cs="Times New Roman"/>
          <w:b/>
          <w:bCs/>
          <w:snapToGrid/>
          <w:kern w:val="2"/>
          <w:sz w:val="24"/>
          <w:szCs w:val="24"/>
          <w:highlight w:val="none"/>
          <w:u w:val="single"/>
          <w:lang w:val="en-US" w:eastAsia="zh-CN"/>
        </w:rPr>
        <w:t>宰前准备</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rightChars="0" w:firstLine="480" w:firstLineChars="200"/>
        <w:jc w:val="both"/>
        <w:textAlignment w:val="auto"/>
        <w:rPr>
          <w:rFonts w:hint="eastAsia" w:ascii="Times New Roman" w:hAnsi="Times New Roman" w:eastAsia="宋体" w:cs="Times New Roman"/>
          <w:snapToGrid/>
          <w:kern w:val="2"/>
          <w:sz w:val="24"/>
          <w:szCs w:val="24"/>
          <w:u w:val="single"/>
          <w:lang w:val="en-US" w:eastAsia="zh-CN"/>
        </w:rPr>
      </w:pPr>
      <w:r>
        <w:rPr>
          <w:rFonts w:hint="eastAsia" w:ascii="Times New Roman" w:hAnsi="Times New Roman" w:eastAsia="宋体" w:cs="Times New Roman"/>
          <w:snapToGrid/>
          <w:kern w:val="2"/>
          <w:sz w:val="24"/>
          <w:szCs w:val="24"/>
          <w:u w:val="single"/>
          <w:lang w:val="en-US" w:eastAsia="zh-CN"/>
        </w:rPr>
        <w:t>①宰前检疫（入厂前）</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snapToGrid/>
          <w:kern w:val="2"/>
          <w:sz w:val="24"/>
          <w:szCs w:val="24"/>
          <w:u w:val="single"/>
          <w:lang w:val="en-US" w:eastAsia="zh-CN"/>
        </w:rPr>
      </w:pPr>
      <w:r>
        <w:rPr>
          <w:rFonts w:hint="eastAsia" w:ascii="Times New Roman" w:hAnsi="Times New Roman" w:eastAsia="宋体" w:cs="Times New Roman"/>
          <w:snapToGrid/>
          <w:kern w:val="2"/>
          <w:sz w:val="24"/>
          <w:szCs w:val="24"/>
          <w:u w:val="single"/>
          <w:lang w:val="en-US" w:eastAsia="zh-CN"/>
        </w:rPr>
        <w:t>指牛羊在收购之前，买方按照《牛羊屠宰产品品质检验规程》（GB18393-2001）要求向卖方索取检疫证或防疫注射证，以便从侧面了解产地疫情；持证核对品种及头数，发现不符，及时查明原因，直到认为没有可疑疫情时允许装车，借过磅验级之际，留神观察牲畜健康状态，对可疑者应做进一步诊断。当确诊疫病时，及时封锁，上报疫情，终止此次交易。</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snapToGrid/>
          <w:kern w:val="2"/>
          <w:sz w:val="24"/>
          <w:szCs w:val="24"/>
          <w:u w:val="single"/>
          <w:lang w:val="en-US" w:eastAsia="zh-CN"/>
        </w:rPr>
        <w:t>②候宰检查</w:t>
      </w:r>
      <w:r>
        <w:rPr>
          <w:rFonts w:hint="eastAsia" w:ascii="Times New Roman" w:hAnsi="Times New Roman" w:eastAsia="宋体" w:cs="Times New Roman"/>
          <w:kern w:val="2"/>
          <w:sz w:val="24"/>
          <w:szCs w:val="24"/>
          <w:u w:val="single"/>
          <w:lang w:val="en-US" w:eastAsia="zh-CN" w:bidi="ar-SA"/>
        </w:rPr>
        <w:t>（待宰圈）</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snapToGrid/>
          <w:kern w:val="2"/>
          <w:sz w:val="24"/>
          <w:szCs w:val="24"/>
          <w:u w:val="single"/>
          <w:lang w:val="en-US" w:eastAsia="zh-CN"/>
        </w:rPr>
      </w:pPr>
      <w:r>
        <w:rPr>
          <w:rFonts w:hint="eastAsia" w:ascii="Times New Roman" w:hAnsi="Times New Roman" w:eastAsia="宋体" w:cs="Times New Roman"/>
          <w:kern w:val="2"/>
          <w:sz w:val="24"/>
          <w:szCs w:val="24"/>
          <w:u w:val="single"/>
          <w:lang w:val="en-US" w:eastAsia="zh-CN" w:bidi="ar-SA"/>
        </w:rPr>
        <w:t>牛羊被运到屠宰厂后，存放在待宰圈内，必须保证活牛羊有充分的休息时间，使活牛羊保持安静的状态，防止代谢机能旺盛，同时宰前断食24h。</w:t>
      </w:r>
      <w:r>
        <w:rPr>
          <w:rFonts w:hint="eastAsia" w:ascii="Times New Roman" w:hAnsi="Times New Roman" w:eastAsia="宋体" w:cs="Times New Roman"/>
          <w:snapToGrid/>
          <w:kern w:val="2"/>
          <w:sz w:val="24"/>
          <w:szCs w:val="24"/>
          <w:u w:val="single"/>
          <w:lang w:val="en-US" w:eastAsia="zh-CN"/>
        </w:rPr>
        <w:t>厂区检疫人员到待宰圈内观察育肥牛羊外形、休息和行动状态，发现异常，随时剔出进行临床检查，必要时采取急宰后剖检诊断。若正常，进入后续工序，若确认有问题，则立即送至叶县益康动物无害化处理有限公司进行处理（后续处理过程，若出现问题产品，将同样立即外协处理）。</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2" w:firstLineChars="200"/>
        <w:jc w:val="both"/>
        <w:textAlignment w:val="auto"/>
        <w:rPr>
          <w:rFonts w:hint="eastAsia" w:ascii="Times New Roman" w:hAnsi="Times New Roman" w:eastAsia="宋体" w:cs="Times New Roman"/>
          <w:b/>
          <w:bCs/>
          <w:kern w:val="2"/>
          <w:sz w:val="24"/>
          <w:szCs w:val="24"/>
          <w:u w:val="single"/>
          <w:lang w:val="en-US" w:eastAsia="zh-CN" w:bidi="ar-SA"/>
        </w:rPr>
      </w:pPr>
      <w:r>
        <w:rPr>
          <w:rFonts w:hint="eastAsia" w:ascii="Times New Roman" w:hAnsi="Times New Roman" w:eastAsia="宋体" w:cs="Times New Roman"/>
          <w:b/>
          <w:bCs/>
          <w:kern w:val="2"/>
          <w:sz w:val="24"/>
          <w:szCs w:val="24"/>
          <w:u w:val="single"/>
          <w:lang w:val="en-US" w:eastAsia="zh-CN" w:bidi="ar-SA"/>
        </w:rPr>
        <w:t>（2）屠宰分割</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①称重：经宰前检验后合格的牛羊经指定通道牵到地磅上称重。</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②击晕、起吊：将牛羊赶入击晕箱，在100V左右的电压下对牛进行约5-10s的电麻，将其击晕后挂在电动葫芦的吊钩上，使牛完全吊在高轨上。</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③伊斯兰教方法</w:t>
      </w:r>
      <w:r>
        <w:rPr>
          <w:rFonts w:hint="eastAsia" w:ascii="Times New Roman" w:hAnsi="Times New Roman" w:eastAsia="宋体" w:cs="Times New Roman"/>
          <w:kern w:val="2"/>
          <w:sz w:val="24"/>
          <w:szCs w:val="24"/>
          <w:highlight w:val="none"/>
          <w:u w:val="single"/>
          <w:lang w:val="en-US" w:eastAsia="zh-CN" w:bidi="ar-SA"/>
        </w:rPr>
        <w:t>屠宰</w:t>
      </w:r>
      <w:r>
        <w:rPr>
          <w:rFonts w:hint="eastAsia" w:ascii="Times New Roman" w:hAnsi="Times New Roman" w:eastAsia="宋体" w:cs="Times New Roman"/>
          <w:kern w:val="2"/>
          <w:sz w:val="24"/>
          <w:szCs w:val="24"/>
          <w:u w:val="single"/>
          <w:lang w:val="en-US" w:eastAsia="zh-CN" w:bidi="ar-SA"/>
        </w:rPr>
        <w:t>：指通过信奉伊斯兰教的专职教务人员（一般为阿訇），作为屠宰人员用刀分别割断三管（食管、气管、血管）进行宰杀，宰杀后提升到放血轨道上放血，放血时间约9min，并用专用容器集血槽收集牛羊血，收集后流入集血槽（不锈钢材质），牛羊血收集后当天有专人收购。然后，再进入低压电刺激系统接受脉冲电压刺激，电压为25-80V，用以放松肌肉，加速牛羊肉排酸过程，提高牛羊肉嫩度。</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④预剥头皮：宰杀后用刀将牛羊头皮割开口，顺势剥开面部和头顶部的皮；</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⑤去蹄、预剥胸腹皮、机械去皮：屠宰先预剥前、后腿皮，只留背部皮由扯皮机，并将前后蹄去掉收集入库。预剥后腿皮时结扎肛门，防止粪便外泄。将胸腹部割开，预剥胸腹皮。利用扯皮机缓慢扯下牛羊背部的皮，并将整张牛皮通过自动吹送系统转至收集间贮存。</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⑥去头、开胸：将牛羊头割下，牛羊头清洗后挂在红内脏同步检验线上与胴体对照同步检验。检验后牛羊头放入专用容器内，将牛羊头收集入库出售。开胸是利用开胸锯劈开牛羊胸骨，并剥离气管和食管，将气管与食管分离至食道和胃结合部，将食管顶部结扎牢固，防止肠胃内容物流出。</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⑦去内脏及副产品整理：剖开胸腔、腹腔，首先摘出肠、胃、脾等腹腔内脏器，送入滑槽输送到副产品整理间，摘去肠、胃附油后将胃剖开去除胃容物。分别取出心、肝、肺、肾等挂到屠宰线的相应位置输送到副产品整理间，经清洗后收集入库。摘出的附油直接入库出售。摘除的三腺送叶县益康动物无害化处理有限公司进行</w:t>
      </w:r>
      <w:r>
        <w:rPr>
          <w:rFonts w:hint="eastAsia" w:ascii="Times New Roman" w:hAnsi="Times New Roman" w:eastAsia="宋体" w:cs="Times New Roman"/>
          <w:kern w:val="2"/>
          <w:sz w:val="24"/>
          <w:szCs w:val="24"/>
          <w:highlight w:val="none"/>
          <w:u w:val="single"/>
          <w:lang w:val="en-US" w:eastAsia="zh-CN" w:bidi="ar-SA"/>
        </w:rPr>
        <w:t>处理</w:t>
      </w:r>
      <w:r>
        <w:rPr>
          <w:rFonts w:hint="eastAsia" w:ascii="Times New Roman" w:hAnsi="Times New Roman" w:eastAsia="宋体" w:cs="Times New Roman"/>
          <w:kern w:val="2"/>
          <w:sz w:val="24"/>
          <w:szCs w:val="24"/>
          <w:u w:val="single"/>
          <w:lang w:val="en-US" w:eastAsia="zh-CN" w:bidi="ar-SA"/>
        </w:rPr>
        <w:t>，去除的粪便等胃容物利用管道风压吹送至车间外集粪池。</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kern w:val="2"/>
          <w:sz w:val="24"/>
          <w:szCs w:val="24"/>
          <w:u w:val="single"/>
          <w:lang w:val="en-US" w:eastAsia="zh-CN" w:bidi="ar-SA"/>
        </w:rPr>
        <w:t>⑧</w:t>
      </w:r>
      <w:r>
        <w:rPr>
          <w:rFonts w:hint="eastAsia" w:ascii="Times New Roman" w:hAnsi="Times New Roman" w:eastAsia="宋体" w:cs="Times New Roman"/>
          <w:b w:val="0"/>
          <w:bCs/>
          <w:color w:val="auto"/>
          <w:kern w:val="2"/>
          <w:sz w:val="24"/>
          <w:szCs w:val="24"/>
          <w:u w:val="single"/>
          <w:lang w:val="en-US" w:eastAsia="zh-CN" w:bidi="ar-SA"/>
        </w:rPr>
        <w:t>劈半、检验：利用电锯将牛羊胴体沿脊柱一分为二劈成两半，而后对胴体、头蹄、内脏进行检验，检验合格的进行称重、冲洗，不合格的，厂区暂存后送无害化处理机构进行处理。</w:t>
      </w:r>
      <w:r>
        <w:rPr>
          <w:rFonts w:hint="eastAsia" w:ascii="Times New Roman" w:hAnsi="Times New Roman" w:eastAsia="宋体" w:cs="Times New Roman"/>
          <w:b w:val="0"/>
          <w:bCs/>
          <w:color w:val="auto"/>
          <w:kern w:val="2"/>
          <w:sz w:val="24"/>
          <w:szCs w:val="24"/>
          <w:lang w:val="en-US" w:eastAsia="zh-CN" w:bidi="ar-SA"/>
        </w:rPr>
        <w:t>一般检验检疫方式如下：</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A、头蹄及体表检查</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视检体表的完整性、颜色，检查有无本规程规定疫病引起的皮肤病变、关节肿大等；观察吻突、齿龈和蹄部有无水疱、溃疡、烂斑等；放血后退毛前，沿放血孔纵向切开下颌区，直到颌骨高峰区，剖开两侧下颌淋巴结，视检有无肿大、坏死灶（紫、黑、灰、黄），切面是否呈砖红色，周围有无水肿、胶样浸润等；剖检两侧咬肌，充分暴露剖面，检查有无囊尾蚴。</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B、内脏检查</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取出内脏前，观察胸腔、腹腔有无积液、粘连、纤维素性渗出物。检查脾脏、肠系膜淋巴结有无肠炭疽。取出内脏后，检查心脏、肺脏、肝脏、脾脏、胃肠、支气管淋巴结、肝门淋巴结等。视检心包，切开心包膜，检查有无变性、心包积液、渗出、淤血、出血、坏死等症状。在与左纵沟平行的心脏后缘房室分界处纵剖心脏，检查心内膜、心肌、血液凝固状态、二尖瓣及有无虎斑心、菜花样赘生物、寄生虫等；视检肺脏形状、大小、色泽，触检弹性，检查肺实质有无坏死、萎陷、气肿、水肿、淤血、脓肿、实变、结节、纤维素性渗出物等。剖开一侧支气管淋巴结，检查有无出血、淤血、肿胀、坏死等。必要时剖检气管、支气管；视检肝脏形状、大小、色泽，触检弹性，观察有无淤血、肿胀、变性、黄染、坏死、硬化、肿物、结节、纤维素性渗出物、寄生虫等病变。剖开肝门淋巴结，检查有无出血、淤血、肿胀、坏死等。必要时剖检胆管；视检形状、大小、色泽，触检弹性，检查有无肿胀、淤血、坏死灶、边缘出血性梗死、被膜隆起及粘连等。必要时剖检脾实质；视检胃肠浆膜，观察大小、色泽、质地，检查有无淤血、出血、坏死、胶冻样渗出物和粘连。对肠系膜淋巴结做长度不少于20厘米的弧形切口，检查有无淤血、出血、坏死、溃疡等病变。必要时剖检胃肠，检查黏膜有无淤血、出血、水肿、坏死、溃疡。</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C、胴体检查</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整体检查检查皮肤、皮下组织、脂肪、肌肉、淋巴结、骨骼以及胸腔、腹腔浆膜有无淤血、出血、疹块、黄染、脓肿和其他异常等。剖开腹部底壁皮下、后肢内侧、腹股沟皮下环附近的两侧腹股沟浅淋巴结，检查有无淤血、水肿、出血、坏死、增生等病变。必要时剖检腹股沟深淋巴结、髂下淋巴结及髂内淋巴结；沿荐椎与腰椎结合部两侧肌纤维方向切开10厘米左右切口，检查有无囊尾蚴；剥离两侧肾被膜，视检肾脏形状、大小、色泽，触检质地，观察有无贫血、出血、淤血、肿胀等病变。必要时纵向剖检肾脏，检查切面皮质部有无颜色变化、出血及隆起等；取左右膈脚各30克左右，与胴体编号一致，撕去肌膜，感官检查后镜检。</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⑨</w:t>
      </w:r>
      <w:r>
        <w:rPr>
          <w:rFonts w:hint="eastAsia" w:ascii="Times New Roman" w:hAnsi="Times New Roman" w:eastAsia="宋体" w:cs="Times New Roman"/>
          <w:b w:val="0"/>
          <w:bCs/>
          <w:color w:val="auto"/>
          <w:kern w:val="2"/>
          <w:sz w:val="24"/>
          <w:szCs w:val="24"/>
          <w:u w:val="single"/>
          <w:lang w:val="en-US" w:eastAsia="zh-CN" w:bidi="ar-SA"/>
        </w:rPr>
        <w:t>冷却排酸：经检验合格的胴体经冲洗后放置10分钟，沥清表面水后推入排酸库。排酸目的主要是利用牛羊肉中所含各种分解酶的作用，使游离氨基酸、游离脂肪酸、次黄嘌呤核苷酸等与风味有关的成分在肌肉中蓄积，从而改进肉的质量，使肉色泽变好，风味变佳，柔软细嫩，口感更好。根据肉档次不同，冷却排酸的时间也不同，高档牛羊头胴体需在冷却间冷却停留3~6天时间后再分割，普通牛羊肉则在冷却间冷却24小时后，当胴体温度达到7℃时即可剔骨分割。</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2" w:firstLineChars="200"/>
        <w:jc w:val="both"/>
        <w:textAlignment w:val="auto"/>
        <w:rPr>
          <w:rFonts w:hint="eastAsia" w:ascii="Times New Roman" w:hAnsi="Times New Roman" w:eastAsia="宋体" w:cs="Times New Roman"/>
          <w:b/>
          <w:bCs w:val="0"/>
          <w:color w:val="auto"/>
          <w:kern w:val="2"/>
          <w:sz w:val="24"/>
          <w:szCs w:val="24"/>
          <w:u w:val="single"/>
          <w:lang w:val="en-US" w:eastAsia="zh-CN" w:bidi="ar-SA"/>
        </w:rPr>
      </w:pPr>
      <w:r>
        <w:rPr>
          <w:rFonts w:hint="eastAsia" w:ascii="Times New Roman" w:hAnsi="Times New Roman" w:eastAsia="宋体" w:cs="Times New Roman"/>
          <w:b/>
          <w:bCs w:val="0"/>
          <w:color w:val="auto"/>
          <w:kern w:val="2"/>
          <w:sz w:val="24"/>
          <w:szCs w:val="24"/>
          <w:u w:val="single"/>
          <w:lang w:val="en-US" w:eastAsia="zh-CN" w:bidi="ar-SA"/>
        </w:rPr>
        <w:t>（3）精细加工和冷藏</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b w:val="0"/>
          <w:bCs/>
          <w:color w:val="auto"/>
          <w:kern w:val="2"/>
          <w:sz w:val="24"/>
          <w:szCs w:val="24"/>
          <w:u w:val="single"/>
          <w:lang w:val="en-US" w:eastAsia="zh-CN" w:bidi="ar-SA"/>
        </w:rPr>
        <w:t>①分割：排酸合格的胴体推入分割间，按要求将二分体截为四分体或六分体。</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b w:val="0"/>
          <w:bCs/>
          <w:color w:val="auto"/>
          <w:kern w:val="2"/>
          <w:sz w:val="24"/>
          <w:szCs w:val="24"/>
          <w:u w:val="single"/>
          <w:lang w:val="en-US" w:eastAsia="zh-CN" w:bidi="ar-SA"/>
        </w:rPr>
        <w:t>本地周边以及本项目均配套建设有生鲜牛羊肉批发市场，因此，部分牛羊肉加工到此程度即可销售，不再进行后续加工。厂区预计的冷藏牛羊肉产量占80%，鲜肉产量占20%。</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default"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b w:val="0"/>
          <w:bCs/>
          <w:color w:val="auto"/>
          <w:kern w:val="2"/>
          <w:sz w:val="24"/>
          <w:szCs w:val="24"/>
          <w:u w:val="single"/>
          <w:lang w:val="en-US" w:eastAsia="zh-CN" w:bidi="ar-SA"/>
        </w:rPr>
        <w:t>②牛（羊）排加工：以鲜牛（羊）四分体或六分体为原料，根据客户需要，经过切制设施切制成条状或块状，要求大小基本均匀。</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default"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b w:val="0"/>
          <w:bCs/>
          <w:color w:val="auto"/>
          <w:kern w:val="2"/>
          <w:sz w:val="24"/>
          <w:szCs w:val="24"/>
          <w:u w:val="single"/>
          <w:lang w:val="en-US" w:eastAsia="zh-CN" w:bidi="ar-SA"/>
        </w:rPr>
        <w:t>③牛（羊）肉片加工：以鲜牛（羊）四分体或六分体为原料，进行剔骨分割，根据客户需要，打卷或切片，得到产品。</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b w:val="0"/>
          <w:bCs/>
          <w:color w:val="auto"/>
          <w:kern w:val="2"/>
          <w:sz w:val="24"/>
          <w:szCs w:val="24"/>
          <w:u w:val="single"/>
          <w:lang w:val="en-US" w:eastAsia="zh-CN" w:bidi="ar-SA"/>
        </w:rPr>
        <w:t>④包装：利用真空包装机分别进行包装，将内包后的产品进行去皮称量，打印标签并粘贴在盒装产品正面的左上部位。标签内容包括：品名、净重、以及商品条码等信息。</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b w:val="0"/>
          <w:bCs/>
          <w:color w:val="auto"/>
          <w:kern w:val="2"/>
          <w:sz w:val="24"/>
          <w:szCs w:val="24"/>
          <w:u w:val="single"/>
          <w:lang w:val="en-US" w:eastAsia="zh-CN" w:bidi="ar-SA"/>
        </w:rPr>
        <w:t>⑤冷藏：并将成品肉在-35℃速冻间进行冻结，20小时后，当肉中心温度达到-15℃以下时，送入-20℃冷库中冷藏，冷鲜肉贮存在-1℃~1℃库内，安全期为60天。</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b w:val="0"/>
          <w:bCs/>
          <w:color w:val="auto"/>
          <w:kern w:val="2"/>
          <w:sz w:val="24"/>
          <w:szCs w:val="24"/>
          <w:u w:val="single"/>
          <w:lang w:val="en-US" w:eastAsia="zh-CN" w:bidi="ar-SA"/>
        </w:rPr>
        <w:t>（4）厂区制冷流程介绍</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right="0" w:firstLine="480" w:firstLineChars="200"/>
        <w:jc w:val="both"/>
        <w:textAlignment w:val="auto"/>
        <w:rPr>
          <w:rFonts w:hint="eastAsia" w:ascii="Times New Roman" w:hAnsi="Times New Roman" w:eastAsia="宋体" w:cs="Times New Roman"/>
          <w:b w:val="0"/>
          <w:bCs/>
          <w:color w:val="auto"/>
          <w:kern w:val="2"/>
          <w:sz w:val="24"/>
          <w:szCs w:val="24"/>
          <w:u w:val="single"/>
          <w:lang w:val="en-US" w:eastAsia="zh-CN" w:bidi="ar-SA"/>
        </w:rPr>
      </w:pPr>
      <w:r>
        <w:rPr>
          <w:rFonts w:hint="eastAsia" w:ascii="Times New Roman" w:hAnsi="Times New Roman" w:eastAsia="宋体" w:cs="Times New Roman"/>
          <w:b w:val="0"/>
          <w:bCs/>
          <w:color w:val="auto"/>
          <w:kern w:val="2"/>
          <w:sz w:val="24"/>
          <w:szCs w:val="24"/>
          <w:u w:val="single"/>
          <w:lang w:val="en-US" w:eastAsia="zh-CN" w:bidi="ar-SA"/>
        </w:rPr>
        <w:t>本项目主要制冷流程简述见表3-7。</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表3-7    项目制冷流程表</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960"/>
        <w:gridCol w:w="1155"/>
        <w:gridCol w:w="6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序号</w:t>
            </w:r>
          </w:p>
        </w:tc>
        <w:tc>
          <w:tcPr>
            <w:tcW w:w="9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工序</w:t>
            </w:r>
          </w:p>
        </w:tc>
        <w:tc>
          <w:tcPr>
            <w:tcW w:w="11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设备</w:t>
            </w:r>
          </w:p>
        </w:tc>
        <w:tc>
          <w:tcPr>
            <w:tcW w:w="65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简述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1</w:t>
            </w:r>
          </w:p>
        </w:tc>
        <w:tc>
          <w:tcPr>
            <w:tcW w:w="9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压缩</w:t>
            </w:r>
          </w:p>
        </w:tc>
        <w:tc>
          <w:tcPr>
            <w:tcW w:w="11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压缩机</w:t>
            </w:r>
          </w:p>
        </w:tc>
        <w:tc>
          <w:tcPr>
            <w:tcW w:w="65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液态制冷剂R507A经调节阀进入压缩机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2</w:t>
            </w:r>
          </w:p>
        </w:tc>
        <w:tc>
          <w:tcPr>
            <w:tcW w:w="9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蒸发</w:t>
            </w:r>
          </w:p>
        </w:tc>
        <w:tc>
          <w:tcPr>
            <w:tcW w:w="11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蒸发器</w:t>
            </w:r>
          </w:p>
        </w:tc>
        <w:tc>
          <w:tcPr>
            <w:tcW w:w="65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制冷剂R507A进入蒸发器后在蒸发器内吸热气化，变为气态R507A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3</w:t>
            </w:r>
          </w:p>
        </w:tc>
        <w:tc>
          <w:tcPr>
            <w:tcW w:w="9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冷凝</w:t>
            </w:r>
          </w:p>
        </w:tc>
        <w:tc>
          <w:tcPr>
            <w:tcW w:w="11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冷凝器</w:t>
            </w:r>
          </w:p>
        </w:tc>
        <w:tc>
          <w:tcPr>
            <w:tcW w:w="65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制冷剂R507A由液态蒸发为气态的同时使介质（空气）温度急速下降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4</w:t>
            </w:r>
          </w:p>
        </w:tc>
        <w:tc>
          <w:tcPr>
            <w:tcW w:w="9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输送</w:t>
            </w:r>
          </w:p>
        </w:tc>
        <w:tc>
          <w:tcPr>
            <w:tcW w:w="11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冷风机</w:t>
            </w:r>
          </w:p>
        </w:tc>
        <w:tc>
          <w:tcPr>
            <w:tcW w:w="65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冷空气通过冷风机输送到冷库，降低冷库的温度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0" w:beforeLines="50" w:after="0" w:line="360" w:lineRule="auto"/>
        <w:ind w:right="0"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制冷剂均在系统内，通过压力和温度的变化控制，从而使空气温度降低，属物理变化过程，以上制冷过中，无废气废水等污染物产生。</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sz w:val="28"/>
          <w:szCs w:val="28"/>
        </w:rPr>
      </w:pPr>
      <w:bookmarkStart w:id="290" w:name="bookmark55"/>
      <w:bookmarkEnd w:id="290"/>
      <w:r>
        <w:rPr>
          <w:rFonts w:ascii="Times New Roman" w:hAnsi="Times New Roman" w:eastAsia="Times New Roman" w:cs="Times New Roman"/>
          <w:spacing w:val="-1"/>
          <w:sz w:val="28"/>
          <w:szCs w:val="28"/>
        </w:rPr>
        <w:t xml:space="preserve">3.2.2 </w:t>
      </w:r>
      <w:r>
        <w:rPr>
          <w:rFonts w:ascii="楷体" w:hAnsi="楷体" w:eastAsia="楷体" w:cs="楷体"/>
          <w:spacing w:val="-1"/>
          <w:sz w:val="28"/>
          <w:szCs w:val="28"/>
        </w:rPr>
        <w:t>产污节点分析</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sz w:val="24"/>
          <w:szCs w:val="24"/>
        </w:rPr>
      </w:pPr>
      <w:r>
        <w:rPr>
          <w:sz w:val="24"/>
          <w:szCs w:val="24"/>
        </w:rPr>
        <w:t>项目生产过程中会有废水、废气、噪声和固废等污染物产生，主要产污环节见表3-</w:t>
      </w:r>
      <w:r>
        <w:rPr>
          <w:rFonts w:hint="eastAsia" w:eastAsia="宋体"/>
          <w:sz w:val="24"/>
          <w:szCs w:val="24"/>
          <w:lang w:val="en-US" w:eastAsia="zh-CN"/>
        </w:rPr>
        <w:t>8</w:t>
      </w:r>
      <w:r>
        <w:rPr>
          <w:sz w:val="24"/>
          <w:szCs w:val="24"/>
        </w:rPr>
        <w:t>。</w:t>
      </w:r>
    </w:p>
    <w:p>
      <w:pPr>
        <w:jc w:val="center"/>
        <w:rPr>
          <w:b/>
          <w:bCs/>
          <w:sz w:val="24"/>
          <w:szCs w:val="24"/>
        </w:rPr>
      </w:pPr>
      <w:bookmarkStart w:id="291" w:name="bookmark56"/>
      <w:bookmarkEnd w:id="291"/>
      <w:r>
        <w:rPr>
          <w:b/>
          <w:bCs/>
          <w:sz w:val="24"/>
          <w:szCs w:val="24"/>
        </w:rPr>
        <w:t>表</w:t>
      </w:r>
      <w:r>
        <w:rPr>
          <w:rFonts w:hint="eastAsia"/>
          <w:b/>
          <w:bCs/>
          <w:sz w:val="24"/>
          <w:szCs w:val="24"/>
          <w:lang w:val="en-US" w:eastAsia="zh-CN"/>
        </w:rPr>
        <w:t>3-8</w:t>
      </w:r>
      <w:r>
        <w:rPr>
          <w:b/>
          <w:bCs/>
          <w:sz w:val="24"/>
          <w:szCs w:val="24"/>
        </w:rPr>
        <w:t xml:space="preserve">  </w:t>
      </w:r>
      <w:r>
        <w:rPr>
          <w:rFonts w:hint="eastAsia" w:eastAsia="宋体"/>
          <w:b/>
          <w:bCs/>
          <w:sz w:val="24"/>
          <w:szCs w:val="24"/>
          <w:lang w:val="en-US" w:eastAsia="zh-CN"/>
        </w:rPr>
        <w:t xml:space="preserve"> </w:t>
      </w:r>
      <w:r>
        <w:rPr>
          <w:b/>
          <w:bCs/>
          <w:sz w:val="24"/>
          <w:szCs w:val="24"/>
        </w:rPr>
        <w:t xml:space="preserve"> 项目运营期产污环节及治理措施一览表</w:t>
      </w:r>
    </w:p>
    <w:tbl>
      <w:tblPr>
        <w:tblStyle w:val="24"/>
        <w:tblW w:w="9244"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26"/>
        <w:gridCol w:w="1126"/>
        <w:gridCol w:w="1834"/>
        <w:gridCol w:w="1826"/>
        <w:gridCol w:w="363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3"/>
                <w:sz w:val="20"/>
                <w:szCs w:val="20"/>
              </w:rPr>
              <w:t>项目</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污染源</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排放点</w:t>
            </w: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7"/>
                <w:sz w:val="20"/>
                <w:szCs w:val="20"/>
              </w:rPr>
              <w:t>污染物特性</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处理方式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5"/>
                <w:sz w:val="20"/>
                <w:szCs w:val="20"/>
              </w:rPr>
              <w:t>废水</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生活污水</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日常生活</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cs="Times New Roman"/>
              </w:rPr>
              <w:t>COD</w:t>
            </w:r>
            <w:r>
              <w:rPr>
                <w:rFonts w:hint="default" w:ascii="Times New Roman" w:hAnsi="Times New Roman" w:cs="Times New Roman"/>
                <w:spacing w:val="-25"/>
              </w:rPr>
              <w:t xml:space="preserve"> </w:t>
            </w:r>
            <w:r>
              <w:rPr>
                <w:rFonts w:hint="default" w:ascii="Times New Roman" w:hAnsi="Times New Roman" w:eastAsia="宋体" w:cs="Times New Roman"/>
                <w:spacing w:val="3"/>
              </w:rPr>
              <w:t>、</w:t>
            </w:r>
            <w:r>
              <w:rPr>
                <w:rFonts w:hint="default" w:ascii="Times New Roman" w:hAnsi="Times New Roman" w:cs="Times New Roman"/>
              </w:rPr>
              <w:t>SS</w:t>
            </w:r>
            <w:r>
              <w:rPr>
                <w:rFonts w:hint="default" w:ascii="Times New Roman" w:hAnsi="Times New Roman" w:cs="Times New Roman"/>
                <w:spacing w:val="-24"/>
              </w:rPr>
              <w:t xml:space="preserve"> </w:t>
            </w:r>
            <w:r>
              <w:rPr>
                <w:rFonts w:hint="default" w:ascii="Times New Roman" w:hAnsi="Times New Roman" w:eastAsia="宋体" w:cs="Times New Roman"/>
                <w:spacing w:val="3"/>
              </w:rPr>
              <w:t>、氨氮</w:t>
            </w:r>
          </w:p>
        </w:tc>
        <w:tc>
          <w:tcPr>
            <w:tcW w:w="36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pacing w:val="9"/>
                <w:sz w:val="20"/>
                <w:szCs w:val="20"/>
              </w:rPr>
              <w:t>生活污水</w:t>
            </w:r>
            <w:r>
              <w:rPr>
                <w:rFonts w:hint="eastAsia" w:ascii="Times New Roman" w:hAnsi="Times New Roman" w:eastAsia="宋体" w:cs="Times New Roman"/>
                <w:spacing w:val="9"/>
                <w:sz w:val="20"/>
                <w:szCs w:val="20"/>
                <w:lang w:eastAsia="zh-CN"/>
              </w:rPr>
              <w:t>（</w:t>
            </w:r>
            <w:r>
              <w:rPr>
                <w:rFonts w:hint="default" w:ascii="Times New Roman" w:hAnsi="Times New Roman" w:eastAsia="宋体" w:cs="Times New Roman"/>
                <w:spacing w:val="9"/>
                <w:sz w:val="20"/>
                <w:szCs w:val="20"/>
              </w:rPr>
              <w:t>化粪池进行预处理</w:t>
            </w:r>
            <w:r>
              <w:rPr>
                <w:rFonts w:hint="eastAsia" w:ascii="Times New Roman" w:hAnsi="Times New Roman" w:eastAsia="宋体" w:cs="Times New Roman"/>
                <w:spacing w:val="9"/>
                <w:sz w:val="20"/>
                <w:szCs w:val="20"/>
                <w:lang w:eastAsia="zh-CN"/>
              </w:rPr>
              <w:t>）</w:t>
            </w:r>
            <w:r>
              <w:rPr>
                <w:rFonts w:hint="default" w:ascii="Times New Roman" w:hAnsi="Times New Roman" w:eastAsia="宋体" w:cs="Times New Roman"/>
                <w:spacing w:val="9"/>
                <w:sz w:val="20"/>
                <w:szCs w:val="20"/>
              </w:rPr>
              <w:t>和项</w:t>
            </w:r>
            <w:r>
              <w:rPr>
                <w:rFonts w:hint="default" w:ascii="Times New Roman" w:hAnsi="Times New Roman" w:eastAsia="宋体" w:cs="Times New Roman"/>
                <w:spacing w:val="6"/>
                <w:sz w:val="20"/>
                <w:szCs w:val="20"/>
              </w:rPr>
              <w:t>目生产废水一同进入厂区</w:t>
            </w:r>
            <w:r>
              <w:rPr>
                <w:rFonts w:hint="default" w:ascii="Times New Roman" w:hAnsi="Times New Roman" w:eastAsia="宋体" w:cs="Times New Roman"/>
                <w:spacing w:val="9"/>
                <w:sz w:val="20"/>
                <w:szCs w:val="20"/>
              </w:rPr>
              <w:t>污水处理站</w:t>
            </w:r>
            <w:r>
              <w:rPr>
                <w:rFonts w:hint="eastAsia" w:ascii="Times New Roman" w:hAnsi="Times New Roman" w:eastAsia="宋体" w:cs="Times New Roman"/>
                <w:spacing w:val="9"/>
                <w:sz w:val="20"/>
                <w:szCs w:val="20"/>
                <w:lang w:eastAsia="zh-CN"/>
              </w:rPr>
              <w:t>，</w:t>
            </w:r>
            <w:r>
              <w:rPr>
                <w:rFonts w:hint="eastAsia" w:ascii="Times New Roman" w:hAnsi="Times New Roman" w:eastAsia="宋体" w:cs="Times New Roman"/>
                <w:spacing w:val="9"/>
                <w:sz w:val="20"/>
                <w:szCs w:val="20"/>
                <w:lang w:val="en-US" w:eastAsia="zh-CN"/>
              </w:rPr>
              <w:t>经进一步处理后，达标排放进入市政污水管网，并最终进入叶县县城污水处理厂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5"/>
                <w:sz w:val="20"/>
                <w:szCs w:val="20"/>
              </w:rPr>
            </w:pP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0"/>
                <w:szCs w:val="20"/>
                <w:lang w:val="en-US" w:eastAsia="zh-CN"/>
              </w:rPr>
            </w:pPr>
            <w:r>
              <w:rPr>
                <w:rFonts w:hint="eastAsia" w:ascii="Times New Roman" w:hAnsi="Times New Roman" w:eastAsia="宋体" w:cs="Times New Roman"/>
                <w:spacing w:val="6"/>
                <w:sz w:val="20"/>
                <w:szCs w:val="20"/>
                <w:lang w:val="en-US" w:eastAsia="zh-CN"/>
              </w:rPr>
              <w:t>车辆冲洗水</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0"/>
                <w:szCs w:val="20"/>
                <w:lang w:val="en-US" w:eastAsia="zh-CN"/>
              </w:rPr>
            </w:pPr>
            <w:r>
              <w:rPr>
                <w:rFonts w:hint="eastAsia" w:ascii="Times New Roman" w:hAnsi="Times New Roman" w:eastAsia="宋体" w:cs="Times New Roman"/>
                <w:spacing w:val="-2"/>
                <w:sz w:val="20"/>
                <w:szCs w:val="20"/>
                <w:lang w:val="en-US" w:eastAsia="zh-CN"/>
              </w:rPr>
              <w:t>清洗平台</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rPr>
              <w:t>COD</w:t>
            </w:r>
            <w:r>
              <w:rPr>
                <w:rFonts w:hint="default" w:ascii="Times New Roman" w:hAnsi="Times New Roman" w:cs="Times New Roman"/>
                <w:spacing w:val="-25"/>
              </w:rPr>
              <w:t xml:space="preserve"> </w:t>
            </w:r>
            <w:r>
              <w:rPr>
                <w:rFonts w:hint="default" w:ascii="Times New Roman" w:hAnsi="Times New Roman" w:eastAsia="宋体" w:cs="Times New Roman"/>
                <w:spacing w:val="3"/>
              </w:rPr>
              <w:t>、</w:t>
            </w:r>
            <w:r>
              <w:rPr>
                <w:rFonts w:hint="default" w:ascii="Times New Roman" w:hAnsi="Times New Roman" w:cs="Times New Roman"/>
              </w:rPr>
              <w:t>SS</w:t>
            </w:r>
            <w:r>
              <w:rPr>
                <w:rFonts w:hint="default" w:ascii="Times New Roman" w:hAnsi="Times New Roman" w:cs="Times New Roman"/>
                <w:spacing w:val="-24"/>
              </w:rPr>
              <w:t xml:space="preserve"> </w:t>
            </w:r>
            <w:r>
              <w:rPr>
                <w:rFonts w:hint="default" w:ascii="Times New Roman" w:hAnsi="Times New Roman" w:eastAsia="宋体" w:cs="Times New Roman"/>
                <w:spacing w:val="3"/>
              </w:rPr>
              <w:t>、氨氮</w:t>
            </w: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7"/>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生产废水</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7"/>
                <w:sz w:val="20"/>
                <w:szCs w:val="20"/>
              </w:rPr>
              <w:t>待宰圈</w:t>
            </w:r>
            <w:r>
              <w:rPr>
                <w:rFonts w:hint="eastAsia" w:ascii="Times New Roman" w:hAnsi="Times New Roman" w:eastAsia="宋体" w:cs="Times New Roman"/>
                <w:spacing w:val="7"/>
                <w:sz w:val="20"/>
                <w:szCs w:val="20"/>
                <w:lang w:val="en-US" w:eastAsia="zh-CN"/>
              </w:rPr>
              <w:t>牛羊尿、</w:t>
            </w:r>
            <w:r>
              <w:rPr>
                <w:rFonts w:hint="default" w:ascii="Times New Roman" w:hAnsi="Times New Roman" w:eastAsia="宋体" w:cs="Times New Roman"/>
                <w:spacing w:val="7"/>
                <w:sz w:val="20"/>
                <w:szCs w:val="20"/>
              </w:rPr>
              <w:t>冲洗废水</w:t>
            </w:r>
            <w:r>
              <w:rPr>
                <w:rFonts w:hint="eastAsia" w:ascii="Times New Roman" w:hAnsi="Times New Roman" w:eastAsia="宋体" w:cs="Times New Roman"/>
                <w:spacing w:val="7"/>
                <w:sz w:val="20"/>
                <w:szCs w:val="20"/>
                <w:lang w:eastAsia="zh-CN"/>
              </w:rPr>
              <w:t>；</w:t>
            </w:r>
            <w:r>
              <w:rPr>
                <w:rFonts w:hint="default" w:ascii="Times New Roman" w:hAnsi="Times New Roman" w:eastAsia="宋体" w:cs="Times New Roman"/>
                <w:spacing w:val="8"/>
                <w:sz w:val="20"/>
                <w:szCs w:val="20"/>
              </w:rPr>
              <w:t>屠宰车间及深加工车间</w:t>
            </w:r>
            <w:r>
              <w:rPr>
                <w:rFonts w:hint="eastAsia" w:ascii="Times New Roman" w:hAnsi="Times New Roman" w:eastAsia="宋体" w:cs="Times New Roman"/>
                <w:spacing w:val="8"/>
                <w:sz w:val="20"/>
                <w:szCs w:val="20"/>
                <w:lang w:eastAsia="zh-CN"/>
              </w:rPr>
              <w:t>的</w:t>
            </w:r>
            <w:r>
              <w:rPr>
                <w:rFonts w:hint="eastAsia" w:ascii="Times New Roman" w:hAnsi="Times New Roman" w:eastAsia="宋体" w:cs="Times New Roman"/>
                <w:spacing w:val="8"/>
                <w:sz w:val="20"/>
                <w:szCs w:val="20"/>
                <w:lang w:val="en-US" w:eastAsia="zh-CN"/>
              </w:rPr>
              <w:t>胴体冲洗、副产品清洗、地面冲洗以及</w:t>
            </w:r>
            <w:r>
              <w:rPr>
                <w:rFonts w:hint="default" w:ascii="Times New Roman" w:hAnsi="Times New Roman" w:eastAsia="宋体" w:cs="Times New Roman"/>
                <w:spacing w:val="8"/>
                <w:sz w:val="20"/>
                <w:szCs w:val="20"/>
              </w:rPr>
              <w:t>设备清洗废水</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cs="Times New Roman"/>
              </w:rPr>
              <w:t>COD</w:t>
            </w:r>
            <w:r>
              <w:rPr>
                <w:rFonts w:hint="default" w:ascii="Times New Roman" w:hAnsi="Times New Roman" w:eastAsia="宋体" w:cs="Times New Roman"/>
                <w:spacing w:val="1"/>
              </w:rPr>
              <w:t>、</w:t>
            </w:r>
            <w:r>
              <w:rPr>
                <w:rFonts w:hint="default" w:ascii="Times New Roman" w:hAnsi="Times New Roman" w:cs="Times New Roman"/>
              </w:rPr>
              <w:t>NH</w:t>
            </w:r>
            <w:r>
              <w:rPr>
                <w:rFonts w:hint="default" w:ascii="Times New Roman" w:hAnsi="Times New Roman" w:cs="Times New Roman"/>
                <w:spacing w:val="1"/>
                <w:position w:val="-1"/>
                <w:sz w:val="13"/>
                <w:szCs w:val="13"/>
              </w:rPr>
              <w:t>3</w:t>
            </w:r>
            <w:r>
              <w:rPr>
                <w:rFonts w:hint="default" w:ascii="Times New Roman" w:hAnsi="Times New Roman" w:cs="Times New Roman"/>
                <w:spacing w:val="1"/>
              </w:rPr>
              <w:t>-N</w:t>
            </w:r>
            <w:r>
              <w:rPr>
                <w:rFonts w:hint="default" w:ascii="Times New Roman" w:hAnsi="Times New Roman" w:eastAsia="宋体" w:cs="Times New Roman"/>
                <w:spacing w:val="1"/>
              </w:rPr>
              <w:t>、</w:t>
            </w:r>
            <w:r>
              <w:rPr>
                <w:rFonts w:hint="default" w:ascii="Times New Roman" w:hAnsi="Times New Roman" w:cs="Times New Roman"/>
              </w:rPr>
              <w:t>SS</w:t>
            </w:r>
            <w:r>
              <w:rPr>
                <w:rFonts w:hint="default" w:ascii="Times New Roman" w:hAnsi="Times New Roman" w:eastAsia="宋体" w:cs="Times New Roman"/>
                <w:spacing w:val="8"/>
              </w:rPr>
              <w:t>及动植物油等</w:t>
            </w: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5"/>
                <w:sz w:val="20"/>
                <w:szCs w:val="20"/>
              </w:rPr>
              <w:t>废气</w:t>
            </w:r>
          </w:p>
        </w:tc>
        <w:tc>
          <w:tcPr>
            <w:tcW w:w="11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0"/>
                <w:szCs w:val="20"/>
                <w:lang w:eastAsia="zh-CN"/>
              </w:rPr>
            </w:pPr>
            <w:r>
              <w:rPr>
                <w:rFonts w:hint="default" w:ascii="Times New Roman" w:hAnsi="Times New Roman" w:eastAsia="宋体" w:cs="Times New Roman"/>
                <w:spacing w:val="6"/>
                <w:sz w:val="20"/>
                <w:szCs w:val="20"/>
              </w:rPr>
              <w:t>生产</w:t>
            </w:r>
            <w:r>
              <w:rPr>
                <w:rFonts w:hint="eastAsia" w:ascii="Times New Roman" w:hAnsi="Times New Roman" w:eastAsia="宋体" w:cs="Times New Roman"/>
                <w:spacing w:val="6"/>
                <w:sz w:val="20"/>
                <w:szCs w:val="20"/>
                <w:lang w:val="en-US" w:eastAsia="zh-CN"/>
              </w:rPr>
              <w:t>过程</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待宰圈</w:t>
            </w:r>
          </w:p>
        </w:tc>
        <w:tc>
          <w:tcPr>
            <w:tcW w:w="1826" w:type="dxa"/>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eastAsia="宋体" w:cs="Times New Roman"/>
                <w:spacing w:val="5"/>
              </w:rPr>
              <w:t>恶臭、</w:t>
            </w:r>
            <w:r>
              <w:rPr>
                <w:rFonts w:hint="default" w:ascii="Times New Roman" w:hAnsi="Times New Roman" w:cs="Times New Roman"/>
              </w:rPr>
              <w:t>NH</w:t>
            </w:r>
            <w:r>
              <w:rPr>
                <w:rFonts w:hint="default" w:ascii="Times New Roman" w:hAnsi="Times New Roman" w:cs="Times New Roman"/>
                <w:spacing w:val="5"/>
                <w:position w:val="-1"/>
                <w:sz w:val="13"/>
                <w:szCs w:val="13"/>
              </w:rPr>
              <w:t xml:space="preserve">3 </w:t>
            </w:r>
            <w:r>
              <w:rPr>
                <w:rFonts w:hint="default" w:ascii="Times New Roman" w:hAnsi="Times New Roman" w:eastAsia="宋体" w:cs="Times New Roman"/>
                <w:spacing w:val="5"/>
              </w:rPr>
              <w:t>和</w:t>
            </w:r>
            <w:r>
              <w:rPr>
                <w:rFonts w:hint="default" w:ascii="Times New Roman" w:hAnsi="Times New Roman" w:eastAsia="宋体" w:cs="Times New Roman"/>
                <w:spacing w:val="-39"/>
              </w:rPr>
              <w:t xml:space="preserve"> </w:t>
            </w:r>
            <w:r>
              <w:rPr>
                <w:rFonts w:hint="default" w:ascii="Times New Roman" w:hAnsi="Times New Roman" w:cs="Times New Roman"/>
                <w:spacing w:val="5"/>
              </w:rPr>
              <w:t>H</w:t>
            </w:r>
            <w:r>
              <w:rPr>
                <w:rFonts w:hint="default" w:ascii="Times New Roman" w:hAnsi="Times New Roman" w:cs="Times New Roman"/>
                <w:spacing w:val="5"/>
                <w:position w:val="-1"/>
                <w:sz w:val="13"/>
                <w:szCs w:val="13"/>
              </w:rPr>
              <w:t>2</w:t>
            </w:r>
            <w:r>
              <w:rPr>
                <w:rFonts w:hint="default" w:ascii="Times New Roman" w:hAnsi="Times New Roman" w:cs="Times New Roman"/>
                <w:spacing w:val="5"/>
              </w:rPr>
              <w:t>S</w:t>
            </w:r>
          </w:p>
        </w:tc>
        <w:tc>
          <w:tcPr>
            <w:tcW w:w="3632" w:type="dxa"/>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9"/>
              </w:rPr>
              <w:t>屠宰车间和污水处理站废气</w:t>
            </w:r>
            <w:r>
              <w:rPr>
                <w:rFonts w:hint="eastAsia" w:ascii="Times New Roman" w:hAnsi="Times New Roman" w:cs="Times New Roman"/>
                <w:spacing w:val="9"/>
                <w:lang w:eastAsia="zh-CN"/>
              </w:rPr>
              <w:t>（</w:t>
            </w:r>
            <w:r>
              <w:rPr>
                <w:rFonts w:hint="default" w:ascii="Times New Roman" w:hAnsi="Times New Roman" w:eastAsia="宋体" w:cs="Times New Roman"/>
                <w:spacing w:val="9"/>
                <w:sz w:val="20"/>
                <w:szCs w:val="20"/>
              </w:rPr>
              <w:t>加盖</w:t>
            </w:r>
            <w:r>
              <w:rPr>
                <w:rFonts w:hint="default" w:ascii="Times New Roman" w:hAnsi="Times New Roman" w:eastAsia="宋体" w:cs="Times New Roman"/>
                <w:spacing w:val="8"/>
                <w:sz w:val="20"/>
                <w:szCs w:val="20"/>
              </w:rPr>
              <w:t>密闭</w:t>
            </w:r>
            <w:r>
              <w:rPr>
                <w:rFonts w:hint="eastAsia" w:ascii="Times New Roman" w:hAnsi="Times New Roman" w:cs="Times New Roman"/>
                <w:spacing w:val="9"/>
                <w:lang w:eastAsia="zh-CN"/>
              </w:rPr>
              <w:t>）</w:t>
            </w:r>
            <w:r>
              <w:rPr>
                <w:rFonts w:hint="default" w:ascii="Times New Roman" w:hAnsi="Times New Roman" w:eastAsia="宋体" w:cs="Times New Roman"/>
                <w:spacing w:val="5"/>
              </w:rPr>
              <w:t>经引风至一套“喷淋塔</w:t>
            </w:r>
            <w:r>
              <w:rPr>
                <w:rFonts w:hint="default" w:ascii="Times New Roman" w:hAnsi="Times New Roman" w:cs="Times New Roman"/>
                <w:spacing w:val="5"/>
              </w:rPr>
              <w:t>+</w:t>
            </w:r>
            <w:r>
              <w:rPr>
                <w:rFonts w:hint="default" w:ascii="Times New Roman" w:hAnsi="Times New Roman" w:eastAsia="宋体" w:cs="Times New Roman"/>
                <w:spacing w:val="5"/>
              </w:rPr>
              <w:t>生物过滤除臭</w:t>
            </w:r>
            <w:r>
              <w:rPr>
                <w:rFonts w:hint="default" w:ascii="Times New Roman" w:hAnsi="Times New Roman" w:eastAsia="宋体" w:cs="Times New Roman"/>
                <w:spacing w:val="-5"/>
              </w:rPr>
              <w:t>系统</w:t>
            </w:r>
            <w:r>
              <w:rPr>
                <w:rFonts w:hint="default" w:ascii="Times New Roman" w:hAnsi="Times New Roman" w:eastAsia="宋体" w:cs="Times New Roman"/>
                <w:spacing w:val="-62"/>
              </w:rPr>
              <w:t xml:space="preserve"> </w:t>
            </w:r>
            <w:r>
              <w:rPr>
                <w:rFonts w:hint="default" w:ascii="Times New Roman" w:hAnsi="Times New Roman" w:eastAsia="宋体" w:cs="Times New Roman"/>
                <w:spacing w:val="-5"/>
              </w:rPr>
              <w:t>”进行处理，处理后通过</w:t>
            </w:r>
            <w:r>
              <w:rPr>
                <w:rFonts w:hint="default" w:ascii="Times New Roman" w:hAnsi="Times New Roman" w:cs="Times New Roman"/>
                <w:spacing w:val="-5"/>
              </w:rPr>
              <w:t>1</w:t>
            </w:r>
            <w:r>
              <w:rPr>
                <w:rFonts w:hint="default" w:ascii="Times New Roman" w:hAnsi="Times New Roman" w:eastAsia="宋体" w:cs="Times New Roman"/>
                <w:spacing w:val="-5"/>
              </w:rPr>
              <w:t>根</w:t>
            </w:r>
            <w:r>
              <w:rPr>
                <w:rFonts w:hint="default" w:ascii="Times New Roman" w:hAnsi="Times New Roman" w:cs="Times New Roman"/>
                <w:spacing w:val="-5"/>
              </w:rPr>
              <w:t>15m</w:t>
            </w:r>
            <w:r>
              <w:rPr>
                <w:rFonts w:hint="default" w:ascii="Times New Roman" w:hAnsi="Times New Roman" w:eastAsia="宋体" w:cs="Times New Roman"/>
                <w:spacing w:val="5"/>
              </w:rPr>
              <w:t>高的排气筒外排。同时每天对</w:t>
            </w:r>
            <w:r>
              <w:rPr>
                <w:rFonts w:hint="default" w:ascii="Times New Roman" w:hAnsi="Times New Roman" w:eastAsia="宋体" w:cs="Times New Roman"/>
                <w:spacing w:val="9"/>
                <w:sz w:val="20"/>
                <w:szCs w:val="20"/>
              </w:rPr>
              <w:t>待宰</w:t>
            </w:r>
            <w:r>
              <w:rPr>
                <w:rFonts w:hint="eastAsia" w:ascii="Times New Roman" w:hAnsi="Times New Roman" w:cs="Times New Roman"/>
                <w:spacing w:val="9"/>
                <w:sz w:val="20"/>
                <w:szCs w:val="20"/>
                <w:lang w:val="en-US" w:eastAsia="zh-CN"/>
              </w:rPr>
              <w:t>间</w:t>
            </w:r>
            <w:r>
              <w:rPr>
                <w:rFonts w:hint="default" w:ascii="Times New Roman" w:hAnsi="Times New Roman" w:eastAsia="宋体" w:cs="Times New Roman"/>
                <w:spacing w:val="9"/>
                <w:sz w:val="20"/>
                <w:szCs w:val="20"/>
              </w:rPr>
              <w:t>喷洒除臭剂</w:t>
            </w:r>
            <w:r>
              <w:rPr>
                <w:rFonts w:hint="default" w:ascii="Times New Roman" w:hAnsi="Times New Roman" w:eastAsia="宋体" w:cs="Times New Roman"/>
                <w:spacing w:val="8"/>
                <w:sz w:val="20"/>
                <w:szCs w:val="2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7"/>
                <w:sz w:val="20"/>
                <w:szCs w:val="20"/>
              </w:rPr>
              <w:t>屠宰车间</w:t>
            </w:r>
          </w:p>
        </w:tc>
        <w:tc>
          <w:tcPr>
            <w:tcW w:w="1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7"/>
                <w:sz w:val="20"/>
                <w:szCs w:val="20"/>
              </w:rPr>
              <w:t>污水处理站</w:t>
            </w:r>
          </w:p>
        </w:tc>
        <w:tc>
          <w:tcPr>
            <w:tcW w:w="1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一般固废暂存间</w:t>
            </w:r>
            <w:r>
              <w:rPr>
                <w:rFonts w:hint="default" w:ascii="Times New Roman" w:hAnsi="Times New Roman" w:eastAsia="宋体" w:cs="Times New Roman"/>
                <w:spacing w:val="5"/>
                <w:sz w:val="20"/>
                <w:szCs w:val="20"/>
              </w:rPr>
              <w:t>废气</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eastAsia="宋体" w:cs="Times New Roman"/>
                <w:spacing w:val="5"/>
              </w:rPr>
              <w:t>恶臭、</w:t>
            </w:r>
            <w:r>
              <w:rPr>
                <w:rFonts w:hint="default" w:ascii="Times New Roman" w:hAnsi="Times New Roman" w:cs="Times New Roman"/>
              </w:rPr>
              <w:t>NH</w:t>
            </w:r>
            <w:r>
              <w:rPr>
                <w:rFonts w:hint="default" w:ascii="Times New Roman" w:hAnsi="Times New Roman" w:cs="Times New Roman"/>
                <w:spacing w:val="5"/>
                <w:position w:val="-1"/>
                <w:sz w:val="13"/>
                <w:szCs w:val="13"/>
              </w:rPr>
              <w:t xml:space="preserve">3 </w:t>
            </w:r>
            <w:r>
              <w:rPr>
                <w:rFonts w:hint="default" w:ascii="Times New Roman" w:hAnsi="Times New Roman" w:eastAsia="宋体" w:cs="Times New Roman"/>
                <w:spacing w:val="5"/>
              </w:rPr>
              <w:t>和</w:t>
            </w:r>
            <w:r>
              <w:rPr>
                <w:rFonts w:hint="default" w:ascii="Times New Roman" w:hAnsi="Times New Roman" w:eastAsia="宋体" w:cs="Times New Roman"/>
                <w:spacing w:val="-39"/>
              </w:rPr>
              <w:t xml:space="preserve"> </w:t>
            </w:r>
            <w:r>
              <w:rPr>
                <w:rFonts w:hint="default" w:ascii="Times New Roman" w:hAnsi="Times New Roman" w:cs="Times New Roman"/>
                <w:spacing w:val="5"/>
              </w:rPr>
              <w:t>H</w:t>
            </w:r>
            <w:r>
              <w:rPr>
                <w:rFonts w:hint="default" w:ascii="Times New Roman" w:hAnsi="Times New Roman" w:cs="Times New Roman"/>
                <w:spacing w:val="5"/>
                <w:position w:val="-1"/>
                <w:sz w:val="13"/>
                <w:szCs w:val="13"/>
              </w:rPr>
              <w:t>2</w:t>
            </w:r>
            <w:r>
              <w:rPr>
                <w:rFonts w:hint="default" w:ascii="Times New Roman" w:hAnsi="Times New Roman" w:cs="Times New Roman"/>
                <w:spacing w:val="5"/>
              </w:rPr>
              <w:t>S</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9"/>
                <w:sz w:val="20"/>
                <w:szCs w:val="20"/>
              </w:rPr>
              <w:t>地面</w:t>
            </w:r>
            <w:r>
              <w:rPr>
                <w:rFonts w:hint="eastAsia" w:ascii="Times New Roman" w:hAnsi="Times New Roman" w:eastAsia="宋体" w:cs="Times New Roman"/>
                <w:spacing w:val="9"/>
                <w:sz w:val="20"/>
                <w:szCs w:val="20"/>
                <w:lang w:eastAsia="zh-CN"/>
              </w:rPr>
              <w:t>堆存场</w:t>
            </w:r>
            <w:r>
              <w:rPr>
                <w:rFonts w:hint="default" w:ascii="Times New Roman" w:hAnsi="Times New Roman" w:eastAsia="宋体" w:cs="Times New Roman"/>
                <w:spacing w:val="9"/>
                <w:sz w:val="20"/>
                <w:szCs w:val="20"/>
              </w:rPr>
              <w:t>附近喷洒生物除臭剂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职工生活</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8"/>
                <w:sz w:val="20"/>
                <w:szCs w:val="20"/>
                <w:lang w:val="en-US" w:eastAsia="zh-CN"/>
              </w:rPr>
            </w:pPr>
            <w:r>
              <w:rPr>
                <w:rFonts w:hint="eastAsia" w:ascii="Times New Roman" w:hAnsi="Times New Roman" w:eastAsia="宋体" w:cs="Times New Roman"/>
                <w:spacing w:val="8"/>
                <w:sz w:val="20"/>
                <w:szCs w:val="20"/>
                <w:lang w:val="en-US" w:eastAsia="zh-CN"/>
              </w:rPr>
              <w:t>餐饮油烟</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5"/>
                <w:lang w:val="en-US" w:eastAsia="zh-CN"/>
              </w:rPr>
            </w:pPr>
            <w:r>
              <w:rPr>
                <w:rFonts w:hint="eastAsia" w:ascii="Times New Roman" w:hAnsi="Times New Roman" w:cs="Times New Roman"/>
                <w:spacing w:val="5"/>
                <w:lang w:val="en-US" w:eastAsia="zh-CN"/>
              </w:rPr>
              <w:t>中午工作餐产生</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9"/>
                <w:sz w:val="20"/>
                <w:szCs w:val="20"/>
                <w:lang w:val="en-US" w:eastAsia="zh-CN"/>
              </w:rPr>
            </w:pPr>
            <w:r>
              <w:rPr>
                <w:rFonts w:hint="eastAsia" w:ascii="Times New Roman" w:hAnsi="Times New Roman" w:eastAsia="宋体" w:cs="Times New Roman"/>
                <w:spacing w:val="9"/>
                <w:sz w:val="20"/>
                <w:szCs w:val="20"/>
                <w:lang w:val="en-US" w:eastAsia="zh-CN"/>
              </w:rPr>
              <w:t>通过油烟净化器进行处理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5"/>
                <w:sz w:val="20"/>
                <w:szCs w:val="20"/>
              </w:rPr>
              <w:t>固废</w:t>
            </w:r>
          </w:p>
        </w:tc>
        <w:tc>
          <w:tcPr>
            <w:tcW w:w="11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生产固废</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待宰圈</w:t>
            </w: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eastAsia" w:ascii="Times New Roman" w:hAnsi="Times New Roman" w:eastAsia="宋体" w:cs="Times New Roman"/>
                <w:spacing w:val="1"/>
                <w:sz w:val="20"/>
                <w:szCs w:val="20"/>
                <w:lang w:val="en-US" w:eastAsia="zh-CN"/>
              </w:rPr>
              <w:t>牛羊</w:t>
            </w:r>
            <w:r>
              <w:rPr>
                <w:rFonts w:hint="default" w:ascii="Times New Roman" w:hAnsi="Times New Roman" w:eastAsia="宋体" w:cs="Times New Roman"/>
                <w:spacing w:val="1"/>
                <w:sz w:val="20"/>
                <w:szCs w:val="20"/>
              </w:rPr>
              <w:t>粪便</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9"/>
                <w:sz w:val="20"/>
                <w:szCs w:val="20"/>
              </w:rPr>
              <w:t>采用干法收集后外售做有机肥，做到</w:t>
            </w:r>
            <w:r>
              <w:rPr>
                <w:rFonts w:hint="default" w:ascii="Times New Roman" w:hAnsi="Times New Roman" w:eastAsia="宋体" w:cs="Times New Roman"/>
                <w:spacing w:val="-2"/>
                <w:sz w:val="20"/>
                <w:szCs w:val="20"/>
              </w:rPr>
              <w:t>日产日清</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生产车间</w:t>
            </w: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eastAsia" w:ascii="Times New Roman" w:hAnsi="Times New Roman" w:eastAsia="宋体" w:cs="Times New Roman"/>
                <w:spacing w:val="8"/>
                <w:sz w:val="20"/>
                <w:szCs w:val="20"/>
                <w:lang w:val="en-US" w:eastAsia="zh-CN"/>
              </w:rPr>
              <w:t>肠胃内容物、</w:t>
            </w:r>
            <w:r>
              <w:rPr>
                <w:rFonts w:hint="default" w:ascii="Times New Roman" w:hAnsi="Times New Roman" w:eastAsia="宋体" w:cs="Times New Roman"/>
                <w:spacing w:val="8"/>
                <w:sz w:val="20"/>
                <w:szCs w:val="20"/>
              </w:rPr>
              <w:t>碎肉屑及残渣</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经收集后外售做有机肥</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牛羊三腺、病尸体</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9"/>
                <w:sz w:val="20"/>
                <w:szCs w:val="20"/>
              </w:rPr>
              <w:t>经集中收集后送无害化处理设施处理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7"/>
                <w:sz w:val="20"/>
                <w:szCs w:val="20"/>
              </w:rPr>
              <w:t>污水处理站</w:t>
            </w: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eastAsia" w:ascii="Times New Roman" w:hAnsi="Times New Roman" w:eastAsia="宋体" w:cs="Times New Roman"/>
                <w:spacing w:val="3"/>
                <w:sz w:val="20"/>
                <w:szCs w:val="20"/>
                <w:lang w:val="en-US" w:eastAsia="zh-CN"/>
              </w:rPr>
              <w:t>废油脂</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交资质单位进行处理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7"/>
                <w:sz w:val="20"/>
                <w:szCs w:val="20"/>
              </w:rPr>
            </w:pP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pacing w:val="3"/>
                <w:sz w:val="20"/>
                <w:szCs w:val="20"/>
                <w:lang w:val="en-US" w:eastAsia="zh-CN"/>
              </w:rPr>
            </w:pPr>
            <w:r>
              <w:rPr>
                <w:rFonts w:hint="default" w:ascii="Times New Roman" w:hAnsi="Times New Roman" w:eastAsia="宋体" w:cs="Times New Roman"/>
                <w:spacing w:val="3"/>
                <w:sz w:val="20"/>
                <w:szCs w:val="20"/>
              </w:rPr>
              <w:t>污泥</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8"/>
                <w:sz w:val="20"/>
                <w:szCs w:val="20"/>
              </w:rPr>
            </w:pPr>
            <w:r>
              <w:rPr>
                <w:rFonts w:hint="default" w:ascii="Times New Roman" w:hAnsi="Times New Roman" w:eastAsia="宋体" w:cs="Times New Roman"/>
                <w:spacing w:val="8"/>
                <w:sz w:val="20"/>
                <w:szCs w:val="20"/>
              </w:rPr>
              <w:t>经</w:t>
            </w:r>
            <w:r>
              <w:rPr>
                <w:rFonts w:hint="eastAsia" w:ascii="Times New Roman" w:hAnsi="Times New Roman" w:eastAsia="宋体" w:cs="Times New Roman"/>
                <w:spacing w:val="8"/>
                <w:sz w:val="20"/>
                <w:szCs w:val="20"/>
                <w:lang w:eastAsia="zh-CN"/>
              </w:rPr>
              <w:t>脱水</w:t>
            </w:r>
            <w:r>
              <w:rPr>
                <w:rFonts w:hint="default" w:ascii="Times New Roman" w:hAnsi="Times New Roman" w:eastAsia="宋体" w:cs="Times New Roman"/>
                <w:spacing w:val="8"/>
                <w:sz w:val="20"/>
                <w:szCs w:val="20"/>
              </w:rPr>
              <w:t>收集后</w:t>
            </w:r>
            <w:r>
              <w:rPr>
                <w:rFonts w:hint="eastAsia" w:ascii="Times New Roman" w:hAnsi="Times New Roman" w:eastAsia="宋体" w:cs="Times New Roman"/>
                <w:spacing w:val="8"/>
                <w:sz w:val="20"/>
                <w:szCs w:val="20"/>
                <w:lang w:eastAsia="zh-CN"/>
              </w:rPr>
              <w:t>，</w:t>
            </w:r>
            <w:r>
              <w:rPr>
                <w:rFonts w:hint="default" w:ascii="Times New Roman" w:hAnsi="Times New Roman" w:eastAsia="宋体" w:cs="Times New Roman"/>
                <w:spacing w:val="8"/>
                <w:sz w:val="20"/>
                <w:szCs w:val="20"/>
              </w:rPr>
              <w:t>外售</w:t>
            </w:r>
            <w:r>
              <w:rPr>
                <w:rFonts w:hint="eastAsia" w:ascii="Times New Roman" w:hAnsi="Times New Roman" w:eastAsia="宋体" w:cs="Times New Roman"/>
                <w:spacing w:val="8"/>
                <w:sz w:val="20"/>
                <w:szCs w:val="20"/>
                <w:lang w:eastAsia="zh-CN"/>
              </w:rPr>
              <w:t>制作</w:t>
            </w:r>
            <w:r>
              <w:rPr>
                <w:rFonts w:hint="default" w:ascii="Times New Roman" w:hAnsi="Times New Roman" w:eastAsia="宋体" w:cs="Times New Roman"/>
                <w:spacing w:val="8"/>
                <w:sz w:val="20"/>
                <w:szCs w:val="20"/>
              </w:rPr>
              <w:t>有机肥</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深加工车间</w:t>
            </w:r>
          </w:p>
        </w:tc>
        <w:tc>
          <w:tcPr>
            <w:tcW w:w="1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废包装材料</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外售废品回收商进行回收利用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生活垃圾</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7"/>
                <w:sz w:val="20"/>
                <w:szCs w:val="20"/>
              </w:rPr>
              <w:t>职工生活</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spacing w:val="2"/>
              </w:rPr>
              <w:t>/</w:t>
            </w:r>
          </w:p>
        </w:tc>
        <w:tc>
          <w:tcPr>
            <w:tcW w:w="3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9"/>
                <w:sz w:val="20"/>
                <w:szCs w:val="20"/>
              </w:rPr>
              <w:t>集中收集后交由环卫部门处理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噪声</w:t>
            </w:r>
          </w:p>
        </w:tc>
        <w:tc>
          <w:tcPr>
            <w:tcW w:w="11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工业噪声</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4"/>
                <w:sz w:val="20"/>
                <w:szCs w:val="20"/>
              </w:rPr>
              <w:t>泵房</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spacing w:val="3"/>
              </w:rPr>
              <w:t>90-95</w:t>
            </w:r>
            <w:r>
              <w:rPr>
                <w:rFonts w:hint="default" w:ascii="Times New Roman" w:hAnsi="Times New Roman" w:cs="Times New Roman"/>
              </w:rPr>
              <w:t>dB</w:t>
            </w:r>
            <w:r>
              <w:rPr>
                <w:rFonts w:hint="default" w:ascii="Times New Roman" w:hAnsi="Times New Roman" w:cs="Times New Roman"/>
                <w:spacing w:val="3"/>
              </w:rPr>
              <w:t>(A)</w:t>
            </w:r>
          </w:p>
        </w:tc>
        <w:tc>
          <w:tcPr>
            <w:tcW w:w="36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9"/>
                <w:sz w:val="20"/>
                <w:szCs w:val="20"/>
              </w:rPr>
              <w:t>各设备置于室内，建筑隔声，选用低</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噪声、振动小的设备，基础安装减振</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9"/>
                <w:sz w:val="20"/>
                <w:szCs w:val="20"/>
              </w:rPr>
              <w:t>器，引风机出口要加消音器和消声风</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9"/>
                <w:sz w:val="20"/>
                <w:szCs w:val="20"/>
              </w:rPr>
              <w:t>道，风机和风管采用软接头连接，水</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泵出入口处装避振喉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屠宰加工车间</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spacing w:val="4"/>
              </w:rPr>
              <w:t>75-80</w:t>
            </w:r>
            <w:r>
              <w:rPr>
                <w:rFonts w:hint="default" w:ascii="Times New Roman" w:hAnsi="Times New Roman" w:cs="Times New Roman"/>
              </w:rPr>
              <w:t>dB</w:t>
            </w:r>
            <w:r>
              <w:rPr>
                <w:rFonts w:hint="default" w:ascii="Times New Roman" w:hAnsi="Times New Roman" w:cs="Times New Roman"/>
                <w:spacing w:val="4"/>
              </w:rPr>
              <w:t>(A)</w:t>
            </w: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7"/>
                <w:sz w:val="20"/>
                <w:szCs w:val="20"/>
              </w:rPr>
              <w:t>污水处理站</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spacing w:val="1"/>
              </w:rPr>
              <w:t>90-100</w:t>
            </w:r>
            <w:r>
              <w:rPr>
                <w:rFonts w:hint="default" w:ascii="Times New Roman" w:hAnsi="Times New Roman" w:cs="Times New Roman"/>
              </w:rPr>
              <w:t>dB</w:t>
            </w:r>
            <w:r>
              <w:rPr>
                <w:rFonts w:hint="default" w:ascii="Times New Roman" w:hAnsi="Times New Roman" w:cs="Times New Roman"/>
                <w:spacing w:val="1"/>
              </w:rPr>
              <w:t>(A)</w:t>
            </w: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制冷压缩机房</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spacing w:val="3"/>
              </w:rPr>
              <w:t>85-95</w:t>
            </w:r>
            <w:r>
              <w:rPr>
                <w:rFonts w:hint="default" w:ascii="Times New Roman" w:hAnsi="Times New Roman" w:cs="Times New Roman"/>
              </w:rPr>
              <w:t>dB</w:t>
            </w:r>
            <w:r>
              <w:rPr>
                <w:rFonts w:hint="default" w:ascii="Times New Roman" w:hAnsi="Times New Roman" w:cs="Times New Roman"/>
                <w:spacing w:val="3"/>
              </w:rPr>
              <w:t>(A)</w:t>
            </w: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6"/>
                <w:sz w:val="20"/>
                <w:szCs w:val="20"/>
              </w:rPr>
              <w:t>交通噪声</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spacing w:val="3"/>
              </w:rPr>
              <w:t>80-90</w:t>
            </w:r>
            <w:r>
              <w:rPr>
                <w:rFonts w:hint="default" w:ascii="Times New Roman" w:hAnsi="Times New Roman" w:cs="Times New Roman"/>
              </w:rPr>
              <w:t>dB</w:t>
            </w:r>
            <w:r>
              <w:rPr>
                <w:rFonts w:hint="default" w:ascii="Times New Roman" w:hAnsi="Times New Roman" w:cs="Times New Roman"/>
                <w:spacing w:val="3"/>
              </w:rPr>
              <w:t>(A)</w:t>
            </w: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待宰圈动物叫声</w:t>
            </w:r>
          </w:p>
        </w:tc>
        <w:tc>
          <w:tcPr>
            <w:tcW w:w="1826" w:type="dxa"/>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rPr>
            </w:pPr>
            <w:r>
              <w:rPr>
                <w:rFonts w:hint="eastAsia" w:ascii="Times New Roman" w:hAnsi="Times New Roman" w:cs="Times New Roman"/>
                <w:spacing w:val="1"/>
                <w:lang w:val="en-US" w:eastAsia="zh-CN"/>
              </w:rPr>
              <w:t>90-</w:t>
            </w:r>
            <w:r>
              <w:rPr>
                <w:rFonts w:hint="default" w:ascii="Times New Roman" w:hAnsi="Times New Roman" w:cs="Times New Roman"/>
                <w:spacing w:val="1"/>
              </w:rPr>
              <w:t>10</w:t>
            </w:r>
            <w:r>
              <w:rPr>
                <w:rFonts w:hint="eastAsia" w:ascii="Times New Roman" w:hAnsi="Times New Roman" w:cs="Times New Roman"/>
                <w:spacing w:val="1"/>
                <w:lang w:val="en-US" w:eastAsia="zh-CN"/>
              </w:rPr>
              <w:t>0</w:t>
            </w:r>
            <w:r>
              <w:rPr>
                <w:rFonts w:hint="default" w:ascii="Times New Roman" w:hAnsi="Times New Roman" w:cs="Times New Roman"/>
              </w:rPr>
              <w:t>dB</w:t>
            </w:r>
            <w:r>
              <w:rPr>
                <w:rFonts w:hint="default" w:ascii="Times New Roman" w:hAnsi="Times New Roman" w:cs="Times New Roman"/>
                <w:spacing w:val="1"/>
              </w:rPr>
              <w:t>(A)</w:t>
            </w:r>
          </w:p>
        </w:tc>
        <w:tc>
          <w:tcPr>
            <w:tcW w:w="36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p>
        </w:tc>
      </w:tr>
    </w:tbl>
    <w:p>
      <w:pPr>
        <w:keepNext w:val="0"/>
        <w:keepLines w:val="0"/>
        <w:pageBreakBefore w:val="0"/>
        <w:widowControl/>
        <w:kinsoku w:val="0"/>
        <w:wordWrap/>
        <w:overflowPunct/>
        <w:topLinePunct w:val="0"/>
        <w:autoSpaceDE w:val="0"/>
        <w:autoSpaceDN w:val="0"/>
        <w:bidi w:val="0"/>
        <w:adjustRightInd w:val="0"/>
        <w:snapToGrid w:val="0"/>
        <w:spacing w:before="150" w:line="360" w:lineRule="auto"/>
        <w:ind w:left="0"/>
        <w:textAlignment w:val="baseline"/>
        <w:outlineLvl w:val="3"/>
        <w:rPr>
          <w:rFonts w:ascii="楷体" w:hAnsi="楷体" w:eastAsia="楷体" w:cs="楷体"/>
          <w:sz w:val="28"/>
          <w:szCs w:val="28"/>
        </w:rPr>
      </w:pPr>
      <w:r>
        <w:rPr>
          <w:rFonts w:ascii="Times New Roman" w:hAnsi="Times New Roman" w:eastAsia="Times New Roman" w:cs="Times New Roman"/>
          <w:spacing w:val="-1"/>
          <w:sz w:val="28"/>
          <w:szCs w:val="28"/>
        </w:rPr>
        <w:t>3.3.3</w:t>
      </w:r>
      <w:r>
        <w:rPr>
          <w:rFonts w:ascii="楷体" w:hAnsi="楷体" w:eastAsia="楷体" w:cs="楷体"/>
          <w:spacing w:val="-1"/>
          <w:sz w:val="28"/>
          <w:szCs w:val="28"/>
        </w:rPr>
        <w:t>物料平衡分析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投入及产出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待宰</w:t>
      </w:r>
      <w:r>
        <w:rPr>
          <w:rFonts w:hint="default" w:ascii="Times New Roman" w:hAnsi="Times New Roman" w:cs="Times New Roman"/>
          <w:sz w:val="24"/>
          <w:szCs w:val="24"/>
        </w:rPr>
        <w:t>肉</w:t>
      </w:r>
      <w:r>
        <w:rPr>
          <w:rFonts w:hint="default" w:ascii="Times New Roman" w:hAnsi="Times New Roman" w:cs="Times New Roman"/>
          <w:sz w:val="24"/>
          <w:szCs w:val="24"/>
          <w:lang w:eastAsia="zh-CN"/>
        </w:rPr>
        <w:t>牛</w:t>
      </w:r>
      <w:r>
        <w:rPr>
          <w:rFonts w:hint="default" w:ascii="Times New Roman" w:hAnsi="Times New Roman" w:cs="Times New Roman"/>
          <w:sz w:val="24"/>
          <w:szCs w:val="24"/>
        </w:rPr>
        <w:t>平均体重</w:t>
      </w:r>
      <w:r>
        <w:rPr>
          <w:rFonts w:hint="eastAsia" w:ascii="Times New Roman" w:hAnsi="Times New Roman" w:eastAsia="宋体" w:cs="Times New Roman"/>
          <w:sz w:val="24"/>
          <w:szCs w:val="24"/>
          <w:lang w:eastAsia="zh-CN"/>
        </w:rPr>
        <w:t>按</w:t>
      </w:r>
      <w:r>
        <w:rPr>
          <w:rFonts w:hint="default" w:ascii="Times New Roman" w:hAnsi="Times New Roman" w:cs="Times New Roman"/>
          <w:sz w:val="24"/>
          <w:szCs w:val="24"/>
        </w:rPr>
        <w:t>5</w:t>
      </w:r>
      <w:r>
        <w:rPr>
          <w:rFonts w:hint="default" w:ascii="Times New Roman" w:hAnsi="Times New Roman" w:cs="Times New Roman"/>
          <w:sz w:val="24"/>
          <w:szCs w:val="24"/>
          <w:lang w:val="en-US" w:eastAsia="zh-CN"/>
        </w:rPr>
        <w:t>0</w:t>
      </w:r>
      <w:r>
        <w:rPr>
          <w:rFonts w:hint="default" w:ascii="Times New Roman" w:hAnsi="Times New Roman" w:cs="Times New Roman"/>
          <w:sz w:val="24"/>
          <w:szCs w:val="24"/>
        </w:rPr>
        <w:t>0kg计</w:t>
      </w:r>
      <w:r>
        <w:rPr>
          <w:rFonts w:hint="eastAsia" w:ascii="Times New Roman" w:hAnsi="Times New Roman" w:eastAsia="宋体" w:cs="Times New Roman"/>
          <w:sz w:val="24"/>
          <w:szCs w:val="24"/>
          <w:lang w:eastAsia="zh-CN"/>
        </w:rPr>
        <w:t>，肉牛加工的产出主产品为分割牛肉、食用牛骨、牛皮，副产品为内脏和牛血，以及固体废物。</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待宰</w:t>
      </w:r>
      <w:r>
        <w:rPr>
          <w:rFonts w:hint="default" w:ascii="Times New Roman" w:hAnsi="Times New Roman" w:cs="Times New Roman"/>
          <w:sz w:val="24"/>
          <w:szCs w:val="24"/>
        </w:rPr>
        <w:t>肉</w:t>
      </w:r>
      <w:r>
        <w:rPr>
          <w:rFonts w:hint="eastAsia" w:ascii="Times New Roman" w:hAnsi="Times New Roman" w:cs="Times New Roman"/>
          <w:sz w:val="24"/>
          <w:szCs w:val="24"/>
          <w:lang w:eastAsia="zh-CN"/>
        </w:rPr>
        <w:t>羊</w:t>
      </w:r>
      <w:r>
        <w:rPr>
          <w:rFonts w:hint="default" w:ascii="Times New Roman" w:hAnsi="Times New Roman" w:cs="Times New Roman"/>
          <w:sz w:val="24"/>
          <w:szCs w:val="24"/>
        </w:rPr>
        <w:t>平均体重</w:t>
      </w:r>
      <w:r>
        <w:rPr>
          <w:rFonts w:hint="eastAsia" w:ascii="Times New Roman" w:hAnsi="Times New Roman" w:eastAsia="宋体" w:cs="Times New Roman"/>
          <w:sz w:val="24"/>
          <w:szCs w:val="24"/>
          <w:lang w:eastAsia="zh-CN"/>
        </w:rPr>
        <w:t>按</w:t>
      </w:r>
      <w:r>
        <w:rPr>
          <w:rFonts w:hint="default" w:ascii="Times New Roman" w:hAnsi="Times New Roman" w:cs="Times New Roman"/>
          <w:sz w:val="24"/>
          <w:szCs w:val="24"/>
        </w:rPr>
        <w:t>50kg计</w:t>
      </w:r>
      <w:r>
        <w:rPr>
          <w:rFonts w:hint="eastAsia" w:ascii="Times New Roman" w:hAnsi="Times New Roman" w:eastAsia="宋体" w:cs="Times New Roman"/>
          <w:sz w:val="24"/>
          <w:szCs w:val="24"/>
          <w:lang w:eastAsia="zh-CN"/>
        </w:rPr>
        <w:t>，肉羊加工的产出主产品为分割羊肉、食用羊骨、羊皮，副产品为内脏、羊血和羊毛，以及固体废物</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48" w:line="360" w:lineRule="auto"/>
        <w:ind w:firstLine="480" w:firstLineChars="200"/>
        <w:textAlignment w:val="baseline"/>
        <w:outlineLvl w:val="3"/>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highlight w:val="none"/>
          <w:lang w:val="en-US" w:eastAsia="zh-CN"/>
        </w:rPr>
        <w:t>物料平衡图</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hint="default" w:ascii="Times New Roman" w:hAnsi="Times New Roman" w:eastAsia="宋体" w:cs="Times New Roman"/>
          <w:sz w:val="24"/>
          <w:szCs w:val="24"/>
          <w:lang w:val="en-US" w:eastAsia="zh-CN"/>
        </w:rPr>
      </w:pPr>
      <w:r>
        <w:rPr>
          <w:sz w:val="24"/>
        </w:rPr>
        <mc:AlternateContent>
          <mc:Choice Requires="wpc">
            <w:drawing>
              <wp:inline distT="0" distB="0" distL="114300" distR="114300">
                <wp:extent cx="5561965" cy="4538345"/>
                <wp:effectExtent l="0" t="0" r="20955" b="0"/>
                <wp:docPr id="78" name="画布 78"/>
                <wp:cNvGraphicFramePr/>
                <a:graphic xmlns:a="http://schemas.openxmlformats.org/drawingml/2006/main">
                  <a:graphicData uri="http://schemas.microsoft.com/office/word/2010/wordprocessingCanvas">
                    <wpc:wpc>
                      <wpc:bg/>
                      <wpc:whole/>
                      <wps:wsp>
                        <wps:cNvPr id="79" name="矩形 79"/>
                        <wps:cNvSpPr/>
                        <wps:spPr>
                          <a:xfrm>
                            <a:off x="799465" y="434340"/>
                            <a:ext cx="1028065" cy="1076325"/>
                          </a:xfrm>
                          <a:prstGeom prst="rect">
                            <a:avLst/>
                          </a:prstGeom>
                          <a:noFill/>
                          <a:ln w="190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矩形 82"/>
                        <wps:cNvSpPr/>
                        <wps:spPr>
                          <a:xfrm>
                            <a:off x="3095625" y="120015"/>
                            <a:ext cx="2465705" cy="1494790"/>
                          </a:xfrm>
                          <a:prstGeom prst="rect">
                            <a:avLst/>
                          </a:prstGeom>
                          <a:noFill/>
                          <a:ln w="190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文本框 85"/>
                        <wps:cNvSpPr txBox="1"/>
                        <wps:spPr>
                          <a:xfrm>
                            <a:off x="780415" y="476250"/>
                            <a:ext cx="304800" cy="647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①肉</w:t>
                              </w:r>
                            </w:p>
                            <w:p>
                              <w:pPr>
                                <w:rPr>
                                  <w:rFonts w:hint="eastAsia" w:eastAsia="宋体"/>
                                  <w:lang w:eastAsia="zh-CN"/>
                                </w:rPr>
                              </w:pPr>
                              <w:r>
                                <w:rPr>
                                  <w:rFonts w:hint="eastAsia" w:eastAsia="宋体"/>
                                  <w:lang w:eastAsia="zh-CN"/>
                                </w:rPr>
                                <w:t>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93"/>
                        <wps:cNvSpPr txBox="1"/>
                        <wps:spPr>
                          <a:xfrm>
                            <a:off x="3123565" y="152400"/>
                            <a:ext cx="2371090" cy="1524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auto"/>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分割牛肉    1160</w:t>
                              </w:r>
                            </w:p>
                            <w:p>
                              <w:pPr>
                                <w:pStyle w:val="13"/>
                                <w:keepNext w:val="0"/>
                                <w:keepLines w:val="0"/>
                                <w:pageBreakBefore w:val="0"/>
                                <w:widowControl/>
                                <w:kinsoku w:val="0"/>
                                <w:wordWrap/>
                                <w:overflowPunct/>
                                <w:topLinePunct w:val="0"/>
                                <w:bidi w:val="0"/>
                                <w:adjustRightInd w:val="0"/>
                                <w:snapToGrid w:val="0"/>
                                <w:spacing w:after="0" w:line="240" w:lineRule="auto"/>
                                <w:ind w:left="0" w:leftChars="0" w:firstLine="0" w:firstLineChars="0"/>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食用牛骨    1740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牛皮    250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红白内脏    1000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牛血</w:t>
                              </w:r>
                              <w:r>
                                <w:rPr>
                                  <w:rFonts w:hint="eastAsia" w:ascii="Times New Roman" w:hAnsi="Times New Roman" w:eastAsia="宋体" w:cs="Times New Roman"/>
                                  <w:lang w:val="en-US" w:eastAsia="zh-CN"/>
                                </w:rPr>
                                <w:t xml:space="preserve">    300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肠胃内容物    100</w:t>
                              </w:r>
                            </w:p>
                            <w:p>
                              <w:pPr>
                                <w:pStyle w:val="13"/>
                                <w:keepNext w:val="0"/>
                                <w:keepLines w:val="0"/>
                                <w:pageBreakBefore w:val="0"/>
                                <w:widowControl/>
                                <w:kinsoku w:val="0"/>
                                <w:wordWrap/>
                                <w:overflowPunct/>
                                <w:topLinePunct w:val="0"/>
                                <w:bidi w:val="0"/>
                                <w:adjustRightInd w:val="0"/>
                                <w:snapToGrid w:val="0"/>
                                <w:spacing w:after="0" w:line="240" w:lineRule="auto"/>
                                <w:ind w:left="0" w:leftChars="0" w:firstLine="0" w:firstLineChars="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粪便</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112</w:t>
                              </w:r>
                            </w:p>
                            <w:p>
                              <w:pPr>
                                <w:rPr>
                                  <w:rFonts w:hint="default"/>
                                  <w:highlight w:val="none"/>
                                  <w:lang w:val="en-US" w:eastAsia="zh-CN"/>
                                </w:rPr>
                              </w:pPr>
                              <w:r>
                                <w:rPr>
                                  <w:rFonts w:hint="eastAsia" w:ascii="Times New Roman" w:hAnsi="Times New Roman" w:cs="Times New Roman"/>
                                  <w:highlight w:val="none"/>
                                  <w:lang w:val="en-US" w:eastAsia="zh-CN"/>
                                </w:rPr>
                                <w:t>病死牛及不合格肉品    10.5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03"/>
                        <wps:cNvSpPr txBox="1"/>
                        <wps:spPr>
                          <a:xfrm>
                            <a:off x="1037590" y="1552575"/>
                            <a:ext cx="56197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lang w:eastAsia="zh-CN"/>
                                </w:rPr>
                              </w:pPr>
                              <w:r>
                                <w:rPr>
                                  <w:rFonts w:hint="eastAsia" w:eastAsia="宋体"/>
                                  <w:b/>
                                  <w:bCs/>
                                  <w:lang w:eastAsia="zh-CN"/>
                                </w:rPr>
                                <w:t>投入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04"/>
                        <wps:cNvSpPr txBox="1"/>
                        <wps:spPr>
                          <a:xfrm>
                            <a:off x="1028700" y="667385"/>
                            <a:ext cx="744220" cy="790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keepNext w:val="0"/>
                                <w:keepLines w:val="0"/>
                                <w:pageBreakBefore w:val="0"/>
                                <w:widowControl/>
                                <w:kinsoku w:val="0"/>
                                <w:wordWrap/>
                                <w:overflowPunct/>
                                <w:topLinePunct w:val="0"/>
                                <w:bidi w:val="0"/>
                                <w:adjustRightInd w:val="0"/>
                                <w:snapToGrid w:val="0"/>
                                <w:spacing w:line="480" w:lineRule="auto"/>
                                <w:ind w:left="0" w:leftChars="0" w:firstLine="0" w:firstLineChars="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5000t/a</w:t>
                              </w:r>
                            </w:p>
                            <w:p>
                              <w:pPr>
                                <w:keepNext w:val="0"/>
                                <w:keepLines w:val="0"/>
                                <w:pageBreakBefore w:val="0"/>
                                <w:widowControl/>
                                <w:kinsoku w:val="0"/>
                                <w:wordWrap/>
                                <w:overflowPunct/>
                                <w:topLinePunct w:val="0"/>
                                <w:bidi w:val="0"/>
                                <w:adjustRightInd w:val="0"/>
                                <w:snapToGrid w:val="0"/>
                                <w:spacing w:line="480" w:lineRule="auto"/>
                                <w:jc w:val="center"/>
                                <w:textAlignment w:val="baseline"/>
                                <w:rPr>
                                  <w:rFonts w:hint="default"/>
                                  <w:lang w:val="en-US" w:eastAsia="zh-CN"/>
                                </w:rPr>
                              </w:pPr>
                              <w:r>
                                <w:rPr>
                                  <w:rFonts w:hint="eastAsia" w:ascii="Times New Roman" w:hAnsi="Times New Roman" w:eastAsia="宋体" w:cs="Times New Roman"/>
                                  <w:lang w:val="en-US" w:eastAsia="zh-CN"/>
                                </w:rPr>
                                <w:t>10000头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5"/>
                        <wps:cNvSpPr txBox="1"/>
                        <wps:spPr>
                          <a:xfrm>
                            <a:off x="4047490" y="1600200"/>
                            <a:ext cx="56197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lang w:eastAsia="zh-CN"/>
                                </w:rPr>
                              </w:pPr>
                              <w:r>
                                <w:rPr>
                                  <w:rFonts w:hint="eastAsia" w:eastAsia="宋体"/>
                                  <w:b/>
                                  <w:bCs/>
                                  <w:lang w:eastAsia="zh-CN"/>
                                </w:rPr>
                                <w:t>产出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矩形 125"/>
                        <wps:cNvSpPr/>
                        <wps:spPr>
                          <a:xfrm>
                            <a:off x="799465" y="2472690"/>
                            <a:ext cx="1028065" cy="1076325"/>
                          </a:xfrm>
                          <a:prstGeom prst="rect">
                            <a:avLst/>
                          </a:prstGeom>
                          <a:noFill/>
                          <a:ln w="190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 name="矩形 127"/>
                        <wps:cNvSpPr/>
                        <wps:spPr>
                          <a:xfrm>
                            <a:off x="3095625" y="2158365"/>
                            <a:ext cx="2465705" cy="1703705"/>
                          </a:xfrm>
                          <a:prstGeom prst="rect">
                            <a:avLst/>
                          </a:prstGeom>
                          <a:noFill/>
                          <a:ln w="190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文本框 129"/>
                        <wps:cNvSpPr txBox="1"/>
                        <wps:spPr>
                          <a:xfrm>
                            <a:off x="789940" y="2505710"/>
                            <a:ext cx="304800" cy="666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②肉</w:t>
                              </w:r>
                            </w:p>
                            <w:p>
                              <w:pPr>
                                <w:rPr>
                                  <w:rFonts w:hint="eastAsia" w:eastAsia="宋体"/>
                                  <w:lang w:eastAsia="zh-CN"/>
                                </w:rPr>
                              </w:pPr>
                              <w:r>
                                <w:rPr>
                                  <w:rFonts w:hint="eastAsia" w:eastAsia="宋体"/>
                                  <w:lang w:eastAsia="zh-CN"/>
                                </w:rPr>
                                <w:t>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131"/>
                        <wps:cNvSpPr txBox="1"/>
                        <wps:spPr>
                          <a:xfrm>
                            <a:off x="1085850" y="2705100"/>
                            <a:ext cx="773430" cy="771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keepNext w:val="0"/>
                                <w:keepLines w:val="0"/>
                                <w:pageBreakBefore w:val="0"/>
                                <w:widowControl/>
                                <w:kinsoku w:val="0"/>
                                <w:wordWrap/>
                                <w:overflowPunct/>
                                <w:topLinePunct w:val="0"/>
                                <w:bidi w:val="0"/>
                                <w:adjustRightInd w:val="0"/>
                                <w:snapToGrid w:val="0"/>
                                <w:spacing w:line="480" w:lineRule="auto"/>
                                <w:ind w:left="0" w:leftChars="0" w:firstLine="0" w:firstLineChars="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7500t/a</w:t>
                              </w:r>
                            </w:p>
                            <w:p>
                              <w:pPr>
                                <w:keepNext w:val="0"/>
                                <w:keepLines w:val="0"/>
                                <w:pageBreakBefore w:val="0"/>
                                <w:widowControl/>
                                <w:kinsoku w:val="0"/>
                                <w:wordWrap/>
                                <w:overflowPunct/>
                                <w:topLinePunct w:val="0"/>
                                <w:bidi w:val="0"/>
                                <w:adjustRightInd w:val="0"/>
                                <w:snapToGrid w:val="0"/>
                                <w:spacing w:line="480" w:lineRule="auto"/>
                                <w:jc w:val="center"/>
                                <w:textAlignment w:val="baseline"/>
                                <w:rPr>
                                  <w:rFonts w:hint="default"/>
                                  <w:lang w:val="en-US" w:eastAsia="zh-CN"/>
                                </w:rPr>
                              </w:pPr>
                              <w:r>
                                <w:rPr>
                                  <w:rFonts w:hint="eastAsia" w:ascii="Times New Roman" w:hAnsi="Times New Roman" w:eastAsia="宋体" w:cs="Times New Roman"/>
                                  <w:lang w:val="en-US" w:eastAsia="zh-CN"/>
                                </w:rPr>
                                <w:t>150000只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文本框 133"/>
                        <wps:cNvSpPr txBox="1"/>
                        <wps:spPr>
                          <a:xfrm>
                            <a:off x="999490" y="3552825"/>
                            <a:ext cx="56197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lang w:eastAsia="zh-CN"/>
                                </w:rPr>
                              </w:pPr>
                              <w:r>
                                <w:rPr>
                                  <w:rFonts w:hint="eastAsia" w:eastAsia="宋体"/>
                                  <w:b/>
                                  <w:bCs/>
                                  <w:lang w:eastAsia="zh-CN"/>
                                </w:rPr>
                                <w:t>投入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3971290" y="3905250"/>
                            <a:ext cx="56197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lang w:eastAsia="zh-CN"/>
                                </w:rPr>
                              </w:pPr>
                              <w:r>
                                <w:rPr>
                                  <w:rFonts w:hint="eastAsia" w:eastAsia="宋体"/>
                                  <w:b/>
                                  <w:bCs/>
                                  <w:lang w:eastAsia="zh-CN"/>
                                </w:rPr>
                                <w:t>产出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148"/>
                        <wps:cNvSpPr txBox="1"/>
                        <wps:spPr>
                          <a:xfrm>
                            <a:off x="3143250" y="2181225"/>
                            <a:ext cx="2371090" cy="171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240" w:lineRule="auto"/>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分割羊肉    2463</w:t>
                              </w:r>
                            </w:p>
                            <w:p>
                              <w:pPr>
                                <w:pStyle w:val="13"/>
                                <w:keepNext w:val="0"/>
                                <w:keepLines w:val="0"/>
                                <w:pageBreakBefore w:val="0"/>
                                <w:widowControl/>
                                <w:kinsoku w:val="0"/>
                                <w:wordWrap/>
                                <w:overflowPunct/>
                                <w:topLinePunct w:val="0"/>
                                <w:bidi w:val="0"/>
                                <w:adjustRightInd w:val="0"/>
                                <w:snapToGrid w:val="0"/>
                                <w:spacing w:after="0" w:line="240" w:lineRule="auto"/>
                                <w:ind w:left="0" w:leftChars="0" w:firstLine="0" w:firstLineChars="0"/>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食用羊骨    2892</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羊皮    300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红白内脏    870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羊</w:t>
                              </w:r>
                              <w:r>
                                <w:rPr>
                                  <w:rFonts w:hint="default" w:ascii="Times New Roman" w:hAnsi="Times New Roman" w:eastAsia="宋体" w:cs="Times New Roman"/>
                                  <w:lang w:val="en-US" w:eastAsia="zh-CN"/>
                                </w:rPr>
                                <w:t>血</w:t>
                              </w:r>
                              <w:r>
                                <w:rPr>
                                  <w:rFonts w:hint="eastAsia" w:ascii="Times New Roman" w:hAnsi="Times New Roman" w:eastAsia="宋体" w:cs="Times New Roman"/>
                                  <w:lang w:val="en-US" w:eastAsia="zh-CN"/>
                                </w:rPr>
                                <w:t xml:space="preserve">    300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肠胃内容物    225</w:t>
                              </w:r>
                            </w:p>
                            <w:p>
                              <w:pPr>
                                <w:pStyle w:val="13"/>
                                <w:keepNext w:val="0"/>
                                <w:keepLines w:val="0"/>
                                <w:pageBreakBefore w:val="0"/>
                                <w:widowControl/>
                                <w:kinsoku w:val="0"/>
                                <w:wordWrap/>
                                <w:overflowPunct/>
                                <w:topLinePunct w:val="0"/>
                                <w:bidi w:val="0"/>
                                <w:adjustRightInd w:val="0"/>
                                <w:snapToGrid w:val="0"/>
                                <w:spacing w:after="0" w:line="240" w:lineRule="auto"/>
                                <w:ind w:left="0" w:leftChars="0" w:firstLine="0" w:firstLineChars="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粪便</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60.8</w:t>
                              </w:r>
                            </w:p>
                            <w:p>
                              <w:pP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病死羊及不合格屠宰品    15.75</w:t>
                              </w:r>
                            </w:p>
                            <w:p>
                              <w:pPr>
                                <w:pStyle w:val="13"/>
                                <w:ind w:left="0" w:leftChars="0" w:firstLine="0" w:firstLineChars="0"/>
                                <w:rPr>
                                  <w:rFonts w:hint="default"/>
                                  <w:lang w:val="en-US" w:eastAsia="zh-CN"/>
                                </w:rPr>
                              </w:pPr>
                              <w:r>
                                <w:rPr>
                                  <w:rFonts w:hint="eastAsia" w:ascii="Times New Roman" w:hAnsi="Times New Roman" w:cs="Times New Roman"/>
                                  <w:lang w:val="en-US" w:eastAsia="zh-CN"/>
                                </w:rPr>
                                <w:t>羊毛    150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直接箭头连接符 149"/>
                        <wps:cNvCnPr/>
                        <wps:spPr>
                          <a:xfrm>
                            <a:off x="1819275" y="993140"/>
                            <a:ext cx="1295400" cy="0"/>
                          </a:xfrm>
                          <a:prstGeom prst="straightConnector1">
                            <a:avLst/>
                          </a:prstGeom>
                          <a:ln w="19050">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50" name="直接箭头连接符 150"/>
                        <wps:cNvCnPr/>
                        <wps:spPr>
                          <a:xfrm>
                            <a:off x="1828800" y="3031490"/>
                            <a:ext cx="1295400" cy="0"/>
                          </a:xfrm>
                          <a:prstGeom prst="straightConnector1">
                            <a:avLst/>
                          </a:prstGeom>
                          <a:ln w="19050">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wps:wsp>
                        <wps:cNvPr id="151" name="文本框 151"/>
                        <wps:cNvSpPr txBox="1"/>
                        <wps:spPr>
                          <a:xfrm>
                            <a:off x="1352550" y="4223385"/>
                            <a:ext cx="2590800"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bidi w:val="0"/>
                                <w:adjustRightInd w:val="0"/>
                                <w:snapToGrid w:val="0"/>
                                <w:spacing w:line="480" w:lineRule="auto"/>
                                <w:jc w:val="center"/>
                                <w:textAlignment w:val="baseline"/>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图3-2    本项目厂区物料平衡图</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57.35pt;width:437.95pt;" coordsize="5561965,4538345" editas="canvas" o:gfxdata="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4UZtHdgAAAAFAQAADwAAAAAAAAABACAAAAAiAAAAZHJzL2Rvd25yZXYueG1s&#10;UEsBAhQAFAAAAAgAh07iQFuDkez6BQAA6C4AAA4AAAAAAAAAAQAgAAAAJwEAAGRycy9lMm9Eb2Mu&#10;eG1sUEsFBgAAAAAGAAYAWQEAAJMJAAAAAA==&#10;">
                <o:lock v:ext="edit" aspectratio="f"/>
                <v:shape id="_x0000_s1026" o:spid="_x0000_s1026" style="position:absolute;left:0;top:0;height:4538345;width:5561965;" filled="f" stroked="f" coordsize="21600,21600" o:gfxdata="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">
                  <v:fill on="f" focussize="0,0"/>
                  <v:stroke on="f"/>
                  <v:imagedata o:title=""/>
                  <o:lock v:ext="edit" aspectratio="f"/>
                </v:shape>
                <v:rect id="_x0000_s1026" o:spid="_x0000_s1026" o:spt="1" style="position:absolute;left:799465;top:434340;height:1076325;width:1028065;v-text-anchor:middle;" filled="f" stroked="t" coordsize="21600,21600" o:gfxdata="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ayEXdYAAAAFAQAADwAAAAAAAAAB&#10;ACAAAAAiAAAAZHJzL2Rvd25yZXYueG1sUEsBAhQAFAAAAAgAh07iQAL9Ma5LAgAAcwQAAA4AAAAA&#10;AAAAAQAgAAAAJQEAAGRycy9lMm9Eb2MueG1sUEsFBgAAAAAGAAYAWQEAAOIFAAAAAA==&#10;">
                  <v:fill on="f" focussize="0,0"/>
                  <v:stroke weight="1.5pt" color="#000000 [3213]" joinstyle="round"/>
                  <v:imagedata o:title=""/>
                  <o:lock v:ext="edit" aspectratio="f"/>
                </v:rect>
                <v:rect id="_x0000_s1026" o:spid="_x0000_s1026" o:spt="1" style="position:absolute;left:3095625;top:120015;height:1494790;width:2465705;v-text-anchor:middle;" filled="f" stroked="t" coordsize="21600,21600" o:gfxdata="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GshF3WAAAABQEAAA8AAAAA&#10;AAAAAQAgAAAAIgAAAGRycy9kb3ducmV2LnhtbFBLAQIUABQAAAAIAIdO4kDpyMj2TwIAAHQEAAAO&#10;AAAAAAAAAAEAIAAAACUBAABkcnMvZTJvRG9jLnhtbFBLBQYAAAAABgAGAFkBAADmBQAAAAA=&#10;">
                  <v:fill on="f" focussize="0,0"/>
                  <v:stroke weight="1.5pt" color="#000000 [3213]" joinstyle="round"/>
                  <v:imagedata o:title=""/>
                  <o:lock v:ext="edit" aspectratio="f"/>
                </v:rect>
                <v:shape id="_x0000_s1026" o:spid="_x0000_s1026" o:spt="202" type="#_x0000_t202" style="position:absolute;left:780415;top:476250;height:647700;width:304800;"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6KiT2AAAAAUBAAAPAAAAAAAAAAEAIAAAACIAAABkcnMvZG93bnJldi54bWxQSwECFAAUAAAA&#10;CACHTuJA9nvUsScCAAAjBAAADgAAAAAAAAABACAAAAAnAQAAZHJzL2Uyb0RvYy54bWxQSwUGAAAA&#10;AAYABgBZAQAAwAUAAAAA&#10;">
                  <v:fill on="f" focussize="0,0"/>
                  <v:stroke on="f" weight="0.5pt"/>
                  <v:imagedata o:title=""/>
                  <o:lock v:ext="edit" aspectratio="f"/>
                  <v:textbox>
                    <w:txbxContent>
                      <w:p>
                        <w:pPr>
                          <w:rPr>
                            <w:rFonts w:hint="eastAsia" w:eastAsia="宋体"/>
                            <w:lang w:eastAsia="zh-CN"/>
                          </w:rPr>
                        </w:pPr>
                        <w:r>
                          <w:rPr>
                            <w:rFonts w:hint="eastAsia" w:eastAsia="宋体"/>
                            <w:lang w:eastAsia="zh-CN"/>
                          </w:rPr>
                          <w:t>①肉</w:t>
                        </w:r>
                      </w:p>
                      <w:p>
                        <w:pPr>
                          <w:rPr>
                            <w:rFonts w:hint="eastAsia" w:eastAsia="宋体"/>
                            <w:lang w:eastAsia="zh-CN"/>
                          </w:rPr>
                        </w:pPr>
                        <w:r>
                          <w:rPr>
                            <w:rFonts w:hint="eastAsia" w:eastAsia="宋体"/>
                            <w:lang w:eastAsia="zh-CN"/>
                          </w:rPr>
                          <w:t>牛</w:t>
                        </w:r>
                      </w:p>
                    </w:txbxContent>
                  </v:textbox>
                </v:shape>
                <v:shape id="_x0000_s1026" o:spid="_x0000_s1026" o:spt="202" type="#_x0000_t202" style="position:absolute;left:3123565;top:152400;height:1524000;width:2371090;"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6KiT2AAAAAUBAAAPAAAAAAAAAAEAIAAAACIAAABkcnMvZG93bnJldi54bWxQSwECFAAUAAAA&#10;CACHTuJA60KESCcCAAAmBAAADgAAAAAAAAABACAAAAAnAQAAZHJzL2Uyb0RvYy54bWxQSwUGAAAA&#10;AAYABgBZAQAAwAU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auto"/>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分割牛肉    1160</w:t>
                        </w:r>
                      </w:p>
                      <w:p>
                        <w:pPr>
                          <w:pStyle w:val="13"/>
                          <w:keepNext w:val="0"/>
                          <w:keepLines w:val="0"/>
                          <w:pageBreakBefore w:val="0"/>
                          <w:widowControl/>
                          <w:kinsoku w:val="0"/>
                          <w:wordWrap/>
                          <w:overflowPunct/>
                          <w:topLinePunct w:val="0"/>
                          <w:bidi w:val="0"/>
                          <w:adjustRightInd w:val="0"/>
                          <w:snapToGrid w:val="0"/>
                          <w:spacing w:after="0" w:line="240" w:lineRule="auto"/>
                          <w:ind w:left="0" w:leftChars="0" w:firstLine="0" w:firstLineChars="0"/>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食用牛骨    1740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牛皮    250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红白内脏    1000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牛血</w:t>
                        </w:r>
                        <w:r>
                          <w:rPr>
                            <w:rFonts w:hint="eastAsia" w:ascii="Times New Roman" w:hAnsi="Times New Roman" w:eastAsia="宋体" w:cs="Times New Roman"/>
                            <w:lang w:val="en-US" w:eastAsia="zh-CN"/>
                          </w:rPr>
                          <w:t xml:space="preserve">    300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肠胃内容物    100</w:t>
                        </w:r>
                      </w:p>
                      <w:p>
                        <w:pPr>
                          <w:pStyle w:val="13"/>
                          <w:keepNext w:val="0"/>
                          <w:keepLines w:val="0"/>
                          <w:pageBreakBefore w:val="0"/>
                          <w:widowControl/>
                          <w:kinsoku w:val="0"/>
                          <w:wordWrap/>
                          <w:overflowPunct/>
                          <w:topLinePunct w:val="0"/>
                          <w:bidi w:val="0"/>
                          <w:adjustRightInd w:val="0"/>
                          <w:snapToGrid w:val="0"/>
                          <w:spacing w:after="0" w:line="240" w:lineRule="auto"/>
                          <w:ind w:left="0" w:leftChars="0" w:firstLine="0" w:firstLineChars="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粪便</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112</w:t>
                        </w:r>
                      </w:p>
                      <w:p>
                        <w:pPr>
                          <w:rPr>
                            <w:rFonts w:hint="default"/>
                            <w:highlight w:val="none"/>
                            <w:lang w:val="en-US" w:eastAsia="zh-CN"/>
                          </w:rPr>
                        </w:pPr>
                        <w:r>
                          <w:rPr>
                            <w:rFonts w:hint="eastAsia" w:ascii="Times New Roman" w:hAnsi="Times New Roman" w:cs="Times New Roman"/>
                            <w:highlight w:val="none"/>
                            <w:lang w:val="en-US" w:eastAsia="zh-CN"/>
                          </w:rPr>
                          <w:t>病死牛及不合格肉品    10.5</w:t>
                        </w:r>
                      </w:p>
                    </w:txbxContent>
                  </v:textbox>
                </v:shape>
                <v:shape id="_x0000_s1026" o:spid="_x0000_s1026" o:spt="202" type="#_x0000_t202" style="position:absolute;left:1037590;top:1552575;height:286385;width:561975;"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uiok9gAAAAFAQAADwAAAAAAAAABACAAAAAiAAAAZHJzL2Rvd25yZXYueG1sUEsBAhQA&#10;FAAAAAgAh07iQAhA58MrAgAAJwQAAA4AAAAAAAAAAQAgAAAAJwEAAGRycy9lMm9Eb2MueG1sUEsF&#10;BgAAAAAGAAYAWQEAAMQFAAAAAA==&#10;">
                  <v:fill on="f" focussize="0,0"/>
                  <v:stroke on="f" weight="0.5pt"/>
                  <v:imagedata o:title=""/>
                  <o:lock v:ext="edit" aspectratio="f"/>
                  <v:textbox>
                    <w:txbxContent>
                      <w:p>
                        <w:pPr>
                          <w:jc w:val="center"/>
                          <w:rPr>
                            <w:rFonts w:hint="eastAsia" w:eastAsia="宋体"/>
                            <w:b/>
                            <w:bCs/>
                            <w:lang w:eastAsia="zh-CN"/>
                          </w:rPr>
                        </w:pPr>
                        <w:r>
                          <w:rPr>
                            <w:rFonts w:hint="eastAsia" w:eastAsia="宋体"/>
                            <w:b/>
                            <w:bCs/>
                            <w:lang w:eastAsia="zh-CN"/>
                          </w:rPr>
                          <w:t>投入</w:t>
                        </w:r>
                      </w:p>
                    </w:txbxContent>
                  </v:textbox>
                </v:shape>
                <v:shape id="_x0000_s1026" o:spid="_x0000_s1026" o:spt="202" type="#_x0000_t202" style="position:absolute;left:1028700;top:667385;height:790575;width:744220;"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6KiT2AAAAAUBAAAPAAAAAAAAAAEAIAAAACIAAABkcnMvZG93bnJldi54bWxQSwECFAAU&#10;AAAACACHTuJALJ8MCyoCAAAmBAAADgAAAAAAAAABACAAAAAnAQAAZHJzL2Uyb0RvYy54bWxQSwUG&#10;AAAAAAYABgBZAQAAwwUAAAAA&#10;">
                  <v:fill on="f" focussize="0,0"/>
                  <v:stroke on="f" weight="0.5pt"/>
                  <v:imagedata o:title=""/>
                  <o:lock v:ext="edit" aspectratio="f"/>
                  <v:textbox>
                    <w:txbxContent>
                      <w:p>
                        <w:pPr>
                          <w:pStyle w:val="13"/>
                          <w:keepNext w:val="0"/>
                          <w:keepLines w:val="0"/>
                          <w:pageBreakBefore w:val="0"/>
                          <w:widowControl/>
                          <w:kinsoku w:val="0"/>
                          <w:wordWrap/>
                          <w:overflowPunct/>
                          <w:topLinePunct w:val="0"/>
                          <w:bidi w:val="0"/>
                          <w:adjustRightInd w:val="0"/>
                          <w:snapToGrid w:val="0"/>
                          <w:spacing w:line="480" w:lineRule="auto"/>
                          <w:ind w:left="0" w:leftChars="0" w:firstLine="0" w:firstLineChars="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5000t/a</w:t>
                        </w:r>
                      </w:p>
                      <w:p>
                        <w:pPr>
                          <w:keepNext w:val="0"/>
                          <w:keepLines w:val="0"/>
                          <w:pageBreakBefore w:val="0"/>
                          <w:widowControl/>
                          <w:kinsoku w:val="0"/>
                          <w:wordWrap/>
                          <w:overflowPunct/>
                          <w:topLinePunct w:val="0"/>
                          <w:bidi w:val="0"/>
                          <w:adjustRightInd w:val="0"/>
                          <w:snapToGrid w:val="0"/>
                          <w:spacing w:line="480" w:lineRule="auto"/>
                          <w:jc w:val="center"/>
                          <w:textAlignment w:val="baseline"/>
                          <w:rPr>
                            <w:rFonts w:hint="default"/>
                            <w:lang w:val="en-US" w:eastAsia="zh-CN"/>
                          </w:rPr>
                        </w:pPr>
                        <w:r>
                          <w:rPr>
                            <w:rFonts w:hint="eastAsia" w:ascii="Times New Roman" w:hAnsi="Times New Roman" w:eastAsia="宋体" w:cs="Times New Roman"/>
                            <w:lang w:val="en-US" w:eastAsia="zh-CN"/>
                          </w:rPr>
                          <w:t>10000头</w:t>
                        </w:r>
                      </w:p>
                    </w:txbxContent>
                  </v:textbox>
                </v:shape>
                <v:shape id="_x0000_s1026" o:spid="_x0000_s1026" o:spt="202" type="#_x0000_t202" style="position:absolute;left:4047490;top:1600200;height:286385;width:561975;"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uiok9gAAAAFAQAADwAAAAAAAAABACAAAAAiAAAAZHJzL2Rvd25yZXYueG1sUEsBAhQA&#10;FAAAAAgAh07iQIGoSuErAgAAJwQAAA4AAAAAAAAAAQAgAAAAJwEAAGRycy9lMm9Eb2MueG1sUEsF&#10;BgAAAAAGAAYAWQEAAMQFAAAAAA==&#10;">
                  <v:fill on="f" focussize="0,0"/>
                  <v:stroke on="f" weight="0.5pt"/>
                  <v:imagedata o:title=""/>
                  <o:lock v:ext="edit" aspectratio="f"/>
                  <v:textbox>
                    <w:txbxContent>
                      <w:p>
                        <w:pPr>
                          <w:jc w:val="center"/>
                          <w:rPr>
                            <w:rFonts w:hint="eastAsia" w:eastAsia="宋体"/>
                            <w:b/>
                            <w:bCs/>
                            <w:lang w:eastAsia="zh-CN"/>
                          </w:rPr>
                        </w:pPr>
                        <w:r>
                          <w:rPr>
                            <w:rFonts w:hint="eastAsia" w:eastAsia="宋体"/>
                            <w:b/>
                            <w:bCs/>
                            <w:lang w:eastAsia="zh-CN"/>
                          </w:rPr>
                          <w:t>产出</w:t>
                        </w:r>
                      </w:p>
                    </w:txbxContent>
                  </v:textbox>
                </v:shape>
                <v:rect id="_x0000_s1026" o:spid="_x0000_s1026" o:spt="1" style="position:absolute;left:799465;top:2472690;height:1076325;width:1028065;v-text-anchor:middle;" filled="f" stroked="t" coordsize="21600,21600" o:gfxdata="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ayEXdYAAAAFAQAADwAAAAAA&#10;AAABACAAAAAiAAAAZHJzL2Rvd25yZXYueG1sUEsBAhQAFAAAAAgAh07iQKSCiFFOAgAAdgQAAA4A&#10;AAAAAAAAAQAgAAAAJQEAAGRycy9lMm9Eb2MueG1sUEsFBgAAAAAGAAYAWQEAAOUFAAAAAA==&#10;">
                  <v:fill on="f" focussize="0,0"/>
                  <v:stroke weight="1.5pt" color="#000000 [3213]" joinstyle="round"/>
                  <v:imagedata o:title=""/>
                  <o:lock v:ext="edit" aspectratio="f"/>
                </v:rect>
                <v:rect id="_x0000_s1026" o:spid="_x0000_s1026" o:spt="1" style="position:absolute;left:3095625;top:2158365;height:1703705;width:2465705;v-text-anchor:middle;" filled="f" stroked="t" coordsize="21600,21600" o:gfxdata="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GshF3WAAAABQEAAA8AAAAA&#10;AAAAAQAgAAAAIgAAAGRycy9kb3ducmV2LnhtbFBLAQIUABQAAAAIAIdO4kCQcoLrTwIAAHcEAAAO&#10;AAAAAAAAAAEAIAAAACUBAABkcnMvZTJvRG9jLnhtbFBLBQYAAAAABgAGAFkBAADmBQAAAAA=&#10;">
                  <v:fill on="f" focussize="0,0"/>
                  <v:stroke weight="1.5pt" color="#000000 [3213]" joinstyle="round"/>
                  <v:imagedata o:title=""/>
                  <o:lock v:ext="edit" aspectratio="f"/>
                </v:rect>
                <v:shape id="_x0000_s1026" o:spid="_x0000_s1026" o:spt="202" type="#_x0000_t202" style="position:absolute;left:789940;top:2505710;height:666115;width:304800;"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6KiT2AAAAAUBAAAPAAAAAAAAAAEAIAAAACIAAABkcnMvZG93bnJldi54bWxQSwECFAAU&#10;AAAACACHTuJA4K073CoCAAAmBAAADgAAAAAAAAABACAAAAAnAQAAZHJzL2Uyb0RvYy54bWxQSwUG&#10;AAAAAAYABgBZAQAAwwUAAAAA&#10;">
                  <v:fill on="f" focussize="0,0"/>
                  <v:stroke on="f" weight="0.5pt"/>
                  <v:imagedata o:title=""/>
                  <o:lock v:ext="edit" aspectratio="f"/>
                  <v:textbox>
                    <w:txbxContent>
                      <w:p>
                        <w:pPr>
                          <w:rPr>
                            <w:rFonts w:hint="eastAsia" w:eastAsia="宋体"/>
                            <w:lang w:eastAsia="zh-CN"/>
                          </w:rPr>
                        </w:pPr>
                        <w:r>
                          <w:rPr>
                            <w:rFonts w:hint="eastAsia" w:eastAsia="宋体"/>
                            <w:lang w:eastAsia="zh-CN"/>
                          </w:rPr>
                          <w:t>②肉</w:t>
                        </w:r>
                      </w:p>
                      <w:p>
                        <w:pPr>
                          <w:rPr>
                            <w:rFonts w:hint="eastAsia" w:eastAsia="宋体"/>
                            <w:lang w:eastAsia="zh-CN"/>
                          </w:rPr>
                        </w:pPr>
                        <w:r>
                          <w:rPr>
                            <w:rFonts w:hint="eastAsia" w:eastAsia="宋体"/>
                            <w:lang w:eastAsia="zh-CN"/>
                          </w:rPr>
                          <w:t>羊</w:t>
                        </w:r>
                      </w:p>
                    </w:txbxContent>
                  </v:textbox>
                </v:shape>
                <v:shape id="_x0000_s1026" o:spid="_x0000_s1026" o:spt="202" type="#_x0000_t202" style="position:absolute;left:1085850;top:2705100;height:771525;width:773430;"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oqJPYAAAABQEAAA8AAAAAAAAAAQAgAAAAIgAAAGRycy9kb3ducmV2LnhtbFBLAQIUABQA&#10;AAAIAIdO4kAaEBWLKQIAACcEAAAOAAAAAAAAAAEAIAAAACcBAABkcnMvZTJvRG9jLnhtbFBLBQYA&#10;AAAABgAGAFkBAADCBQAAAAA=&#10;">
                  <v:fill on="f" focussize="0,0"/>
                  <v:stroke on="f" weight="0.5pt"/>
                  <v:imagedata o:title=""/>
                  <o:lock v:ext="edit" aspectratio="f"/>
                  <v:textbox>
                    <w:txbxContent>
                      <w:p>
                        <w:pPr>
                          <w:pStyle w:val="13"/>
                          <w:keepNext w:val="0"/>
                          <w:keepLines w:val="0"/>
                          <w:pageBreakBefore w:val="0"/>
                          <w:widowControl/>
                          <w:kinsoku w:val="0"/>
                          <w:wordWrap/>
                          <w:overflowPunct/>
                          <w:topLinePunct w:val="0"/>
                          <w:bidi w:val="0"/>
                          <w:adjustRightInd w:val="0"/>
                          <w:snapToGrid w:val="0"/>
                          <w:spacing w:line="480" w:lineRule="auto"/>
                          <w:ind w:left="0" w:leftChars="0" w:firstLine="0" w:firstLineChars="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7500t/a</w:t>
                        </w:r>
                      </w:p>
                      <w:p>
                        <w:pPr>
                          <w:keepNext w:val="0"/>
                          <w:keepLines w:val="0"/>
                          <w:pageBreakBefore w:val="0"/>
                          <w:widowControl/>
                          <w:kinsoku w:val="0"/>
                          <w:wordWrap/>
                          <w:overflowPunct/>
                          <w:topLinePunct w:val="0"/>
                          <w:bidi w:val="0"/>
                          <w:adjustRightInd w:val="0"/>
                          <w:snapToGrid w:val="0"/>
                          <w:spacing w:line="480" w:lineRule="auto"/>
                          <w:jc w:val="center"/>
                          <w:textAlignment w:val="baseline"/>
                          <w:rPr>
                            <w:rFonts w:hint="default"/>
                            <w:lang w:val="en-US" w:eastAsia="zh-CN"/>
                          </w:rPr>
                        </w:pPr>
                        <w:r>
                          <w:rPr>
                            <w:rFonts w:hint="eastAsia" w:ascii="Times New Roman" w:hAnsi="Times New Roman" w:eastAsia="宋体" w:cs="Times New Roman"/>
                            <w:lang w:val="en-US" w:eastAsia="zh-CN"/>
                          </w:rPr>
                          <w:t>150000只</w:t>
                        </w:r>
                      </w:p>
                    </w:txbxContent>
                  </v:textbox>
                </v:shape>
                <v:shape id="_x0000_s1026" o:spid="_x0000_s1026" o:spt="202" type="#_x0000_t202" style="position:absolute;left:999490;top:3552825;height:286385;width:561975;"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6KiT2AAAAAUBAAAPAAAAAAAAAAEAIAAAACIAAABkcnMvZG93bnJldi54bWxQSwEC&#10;FAAUAAAACACHTuJAXMa8sy0CAAAmBAAADgAAAAAAAAABACAAAAAnAQAAZHJzL2Uyb0RvYy54bWxQ&#10;SwUGAAAAAAYABgBZAQAAxgUAAAAA&#10;">
                  <v:fill on="f" focussize="0,0"/>
                  <v:stroke on="f" weight="0.5pt"/>
                  <v:imagedata o:title=""/>
                  <o:lock v:ext="edit" aspectratio="f"/>
                  <v:textbox>
                    <w:txbxContent>
                      <w:p>
                        <w:pPr>
                          <w:jc w:val="center"/>
                          <w:rPr>
                            <w:rFonts w:hint="eastAsia" w:eastAsia="宋体"/>
                            <w:b/>
                            <w:bCs/>
                            <w:lang w:eastAsia="zh-CN"/>
                          </w:rPr>
                        </w:pPr>
                        <w:r>
                          <w:rPr>
                            <w:rFonts w:hint="eastAsia" w:eastAsia="宋体"/>
                            <w:b/>
                            <w:bCs/>
                            <w:lang w:eastAsia="zh-CN"/>
                          </w:rPr>
                          <w:t>投入</w:t>
                        </w:r>
                      </w:p>
                    </w:txbxContent>
                  </v:textbox>
                </v:shape>
                <v:shape id="_x0000_s1026" o:spid="_x0000_s1026" o:spt="202" type="#_x0000_t202" style="position:absolute;left:3971290;top:3905250;height:286385;width:561975;"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oqJPYAAAABQEAAA8AAAAAAAAAAQAgAAAAIgAAAGRycy9kb3ducmV2LnhtbFBLAQIUABQA&#10;AAAIAIdO4kA4xvGsKQIAACcEAAAOAAAAAAAAAAEAIAAAACcBAABkcnMvZTJvRG9jLnhtbFBLBQYA&#10;AAAABgAGAFkBAADCBQAAAAA=&#10;">
                  <v:fill on="f" focussize="0,0"/>
                  <v:stroke on="f" weight="0.5pt"/>
                  <v:imagedata o:title=""/>
                  <o:lock v:ext="edit" aspectratio="f"/>
                  <v:textbox>
                    <w:txbxContent>
                      <w:p>
                        <w:pPr>
                          <w:jc w:val="center"/>
                          <w:rPr>
                            <w:rFonts w:hint="eastAsia" w:eastAsia="宋体"/>
                            <w:b/>
                            <w:bCs/>
                            <w:lang w:eastAsia="zh-CN"/>
                          </w:rPr>
                        </w:pPr>
                        <w:r>
                          <w:rPr>
                            <w:rFonts w:hint="eastAsia" w:eastAsia="宋体"/>
                            <w:b/>
                            <w:bCs/>
                            <w:lang w:eastAsia="zh-CN"/>
                          </w:rPr>
                          <w:t>产出</w:t>
                        </w:r>
                      </w:p>
                    </w:txbxContent>
                  </v:textbox>
                </v:shape>
                <v:shape id="_x0000_s1026" o:spid="_x0000_s1026" o:spt="202" type="#_x0000_t202" style="position:absolute;left:3143250;top:2181225;height:1714500;width:2371090;"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6KiT2AAAAAUBAAAPAAAAAAAAAAEAIAAAACIAAABkcnMvZG93bnJldi54bWxQSwEC&#10;FAAUAAAACACHTuJAEU/FfS0CAAApBAAADgAAAAAAAAABACAAAAAnAQAAZHJzL2Uyb0RvYy54bWxQ&#10;SwUGAAAAAAYABgBZAQAAxgU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240" w:lineRule="auto"/>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分割羊肉    2463</w:t>
                        </w:r>
                      </w:p>
                      <w:p>
                        <w:pPr>
                          <w:pStyle w:val="13"/>
                          <w:keepNext w:val="0"/>
                          <w:keepLines w:val="0"/>
                          <w:pageBreakBefore w:val="0"/>
                          <w:widowControl/>
                          <w:kinsoku w:val="0"/>
                          <w:wordWrap/>
                          <w:overflowPunct/>
                          <w:topLinePunct w:val="0"/>
                          <w:bidi w:val="0"/>
                          <w:adjustRightInd w:val="0"/>
                          <w:snapToGrid w:val="0"/>
                          <w:spacing w:after="0" w:line="240" w:lineRule="auto"/>
                          <w:ind w:left="0" w:leftChars="0" w:firstLine="0" w:firstLineChars="0"/>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食用羊骨    2892</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羊皮    300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红白内脏    870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羊</w:t>
                        </w:r>
                        <w:r>
                          <w:rPr>
                            <w:rFonts w:hint="default" w:ascii="Times New Roman" w:hAnsi="Times New Roman" w:eastAsia="宋体" w:cs="Times New Roman"/>
                            <w:lang w:val="en-US" w:eastAsia="zh-CN"/>
                          </w:rPr>
                          <w:t>血</w:t>
                        </w:r>
                        <w:r>
                          <w:rPr>
                            <w:rFonts w:hint="eastAsia" w:ascii="Times New Roman" w:hAnsi="Times New Roman" w:eastAsia="宋体" w:cs="Times New Roman"/>
                            <w:lang w:val="en-US" w:eastAsia="zh-CN"/>
                          </w:rPr>
                          <w:t xml:space="preserve">    300</w:t>
                        </w:r>
                      </w:p>
                      <w:p>
                        <w:pPr>
                          <w:keepNext w:val="0"/>
                          <w:keepLines w:val="0"/>
                          <w:pageBreakBefore w:val="0"/>
                          <w:widowControl/>
                          <w:kinsoku w:val="0"/>
                          <w:wordWrap/>
                          <w:overflowPunct/>
                          <w:topLinePunct w:val="0"/>
                          <w:bidi w:val="0"/>
                          <w:adjustRightInd w:val="0"/>
                          <w:snapToGrid w:val="0"/>
                          <w:spacing w:line="240" w:lineRule="auto"/>
                          <w:textAlignment w:val="baseline"/>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肠胃内容物    225</w:t>
                        </w:r>
                      </w:p>
                      <w:p>
                        <w:pPr>
                          <w:pStyle w:val="13"/>
                          <w:keepNext w:val="0"/>
                          <w:keepLines w:val="0"/>
                          <w:pageBreakBefore w:val="0"/>
                          <w:widowControl/>
                          <w:kinsoku w:val="0"/>
                          <w:wordWrap/>
                          <w:overflowPunct/>
                          <w:topLinePunct w:val="0"/>
                          <w:bidi w:val="0"/>
                          <w:adjustRightInd w:val="0"/>
                          <w:snapToGrid w:val="0"/>
                          <w:spacing w:after="0" w:line="240" w:lineRule="auto"/>
                          <w:ind w:left="0" w:leftChars="0" w:firstLine="0" w:firstLineChars="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粪便</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60.8</w:t>
                        </w:r>
                      </w:p>
                      <w:p>
                        <w:pP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病死羊及不合格屠宰品    15.75</w:t>
                        </w:r>
                      </w:p>
                      <w:p>
                        <w:pPr>
                          <w:pStyle w:val="13"/>
                          <w:ind w:left="0" w:leftChars="0" w:firstLine="0" w:firstLineChars="0"/>
                          <w:rPr>
                            <w:rFonts w:hint="default"/>
                            <w:lang w:val="en-US" w:eastAsia="zh-CN"/>
                          </w:rPr>
                        </w:pPr>
                        <w:r>
                          <w:rPr>
                            <w:rFonts w:hint="eastAsia" w:ascii="Times New Roman" w:hAnsi="Times New Roman" w:cs="Times New Roman"/>
                            <w:lang w:val="en-US" w:eastAsia="zh-CN"/>
                          </w:rPr>
                          <w:t>羊毛    150</w:t>
                        </w:r>
                      </w:p>
                    </w:txbxContent>
                  </v:textbox>
                </v:shape>
                <v:shape id="_x0000_s1026" o:spid="_x0000_s1026" o:spt="32" type="#_x0000_t32" style="position:absolute;left:1819275;top:993140;height:0;width:1295400;" filled="f" stroked="t" coordsize="21600,21600" o:gfxdata="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ir21gAAAAUBAAAPAAAAAAAAAAEAIAAAACIAAABkcnMvZG93bnJldi54bWxQSwEC&#10;FAAUAAAACACHTuJA5LJuCfYBAACcAwAADgAAAAAAAAABACAAAAAlAQAAZHJzL2Uyb0RvYy54bWxQ&#10;SwUGAAAAAAYABgBZAQAAjQUAAAAA&#10;">
                  <v:fill on="f" focussize="0,0"/>
                  <v:stroke weight="1.5pt" color="#000000 [3213]" joinstyle="round" endarrow="block" endarrowwidth="wide" endarrowlength="long"/>
                  <v:imagedata o:title=""/>
                  <o:lock v:ext="edit" aspectratio="f"/>
                </v:shape>
                <v:shape id="_x0000_s1026" o:spid="_x0000_s1026" o:spt="32" type="#_x0000_t32" style="position:absolute;left:1828800;top:3031490;height:0;width:1295400;" filled="f" stroked="t" coordsize="21600,21600" o:gfxdata="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rYq9tYAAAAFAQAADwAAAAAAAAABACAAAAAiAAAAZHJzL2Rvd25yZXYueG1sUEsBAhQA&#10;FAAAAAgAh07iQAed1bz0AQAAnQMAAA4AAAAAAAAAAQAgAAAAJQEAAGRycy9lMm9Eb2MueG1sUEsF&#10;BgAAAAAGAAYAWQEAAIsFAAAAAA==&#10;">
                  <v:fill on="f" focussize="0,0"/>
                  <v:stroke weight="1.5pt" color="#000000 [3213]" joinstyle="round" endarrow="block" endarrowwidth="wide" endarrowlength="long"/>
                  <v:imagedata o:title=""/>
                  <o:lock v:ext="edit" aspectratio="f"/>
                </v:shape>
                <v:shape id="_x0000_s1026" o:spid="_x0000_s1026" o:spt="202" type="#_x0000_t202" style="position:absolute;left:1352550;top:4223385;height:314960;width:2590800;" filled="f" stroked="f" coordsize="21600,21600" o:gfxdata="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uiok9gAAAAFAQAADwAAAAAAAAABACAAAAAiAAAAZHJzL2Rvd25yZXYueG1sUEsBAhQA&#10;FAAAAAgAh07iQAceMO4rAgAAKAQAAA4AAAAAAAAAAQAgAAAAJwEAAGRycy9lMm9Eb2MueG1sUEsF&#10;BgAAAAAGAAYAWQEAAMQFAAAAAA==&#10;">
                  <v:fill on="f" focussize="0,0"/>
                  <v:stroke on="f" weight="0.5pt"/>
                  <v:imagedata o:title=""/>
                  <o:lock v:ext="edit" aspectratio="f"/>
                  <v:textbox>
                    <w:txbxContent>
                      <w:p>
                        <w:pPr>
                          <w:keepNext w:val="0"/>
                          <w:keepLines w:val="0"/>
                          <w:pageBreakBefore w:val="0"/>
                          <w:widowControl/>
                          <w:kinsoku w:val="0"/>
                          <w:wordWrap/>
                          <w:overflowPunct/>
                          <w:topLinePunct w:val="0"/>
                          <w:bidi w:val="0"/>
                          <w:adjustRightInd w:val="0"/>
                          <w:snapToGrid w:val="0"/>
                          <w:spacing w:line="480" w:lineRule="auto"/>
                          <w:jc w:val="center"/>
                          <w:textAlignment w:val="baseline"/>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图3-2    本项目厂区物料平衡图</w:t>
                        </w:r>
                      </w:p>
                    </w:txbxContent>
                  </v:textbox>
                </v:shape>
                <w10:wrap type="none"/>
                <w10:anchorlock/>
              </v:group>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before="148" w:line="360" w:lineRule="auto"/>
        <w:textAlignment w:val="baseline"/>
        <w:outlineLvl w:val="3"/>
        <w:rPr>
          <w:rFonts w:ascii="楷体" w:hAnsi="楷体" w:eastAsia="楷体" w:cs="楷体"/>
          <w:sz w:val="28"/>
          <w:szCs w:val="28"/>
        </w:rPr>
      </w:pPr>
      <w:r>
        <w:rPr>
          <w:rFonts w:ascii="Times New Roman" w:hAnsi="Times New Roman" w:eastAsia="Times New Roman" w:cs="Times New Roman"/>
          <w:spacing w:val="-1"/>
          <w:sz w:val="28"/>
          <w:szCs w:val="28"/>
        </w:rPr>
        <w:t xml:space="preserve">3.2.4 </w:t>
      </w:r>
      <w:r>
        <w:rPr>
          <w:rFonts w:ascii="楷体" w:hAnsi="楷体" w:eastAsia="楷体" w:cs="楷体"/>
          <w:spacing w:val="-1"/>
          <w:sz w:val="28"/>
          <w:szCs w:val="28"/>
        </w:rPr>
        <w:t>全厂用水平衡分析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本项目运营期用水环节主要是：生产用水（待宰区冲洗用水、车辆冲洗用水、屠宰过程用水、检验用水）和职工生活用水等。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待宰</w:t>
      </w:r>
      <w:r>
        <w:rPr>
          <w:rFonts w:hint="eastAsia" w:ascii="Times New Roman" w:hAnsi="Times New Roman" w:eastAsia="宋体" w:cs="Times New Roman"/>
          <w:sz w:val="24"/>
          <w:szCs w:val="24"/>
          <w:lang w:eastAsia="zh-CN"/>
        </w:rPr>
        <w:t>间</w:t>
      </w:r>
      <w:r>
        <w:rPr>
          <w:rFonts w:hint="default" w:ascii="Times New Roman" w:hAnsi="Times New Roman" w:cs="Times New Roman"/>
          <w:sz w:val="24"/>
          <w:szCs w:val="24"/>
        </w:rPr>
        <w:t>地面冲洗水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rPr>
      </w:pPr>
      <w:r>
        <w:rPr>
          <w:rFonts w:hint="default" w:ascii="Times New Roman" w:hAnsi="Times New Roman" w:eastAsia="宋体" w:cs="Times New Roman"/>
          <w:b w:val="0"/>
          <w:bCs/>
          <w:sz w:val="24"/>
        </w:rPr>
        <w:t>本项目设置专门的肉羊、肉牛待宰间，面积</w:t>
      </w:r>
      <w:r>
        <w:rPr>
          <w:rFonts w:hint="eastAsia" w:ascii="Times New Roman" w:hAnsi="Times New Roman" w:eastAsia="宋体" w:cs="Times New Roman"/>
          <w:b w:val="0"/>
          <w:bCs/>
          <w:sz w:val="24"/>
          <w:lang w:val="en-US" w:eastAsia="zh-CN"/>
        </w:rPr>
        <w:t>共9</w:t>
      </w:r>
      <w:r>
        <w:rPr>
          <w:rFonts w:hint="default" w:ascii="Times New Roman" w:hAnsi="Times New Roman" w:eastAsia="宋体" w:cs="Times New Roman"/>
          <w:b w:val="0"/>
          <w:bCs/>
          <w:sz w:val="24"/>
          <w:lang w:val="en-US" w:eastAsia="zh-CN"/>
        </w:rPr>
        <w:t>00</w:t>
      </w:r>
      <w:r>
        <w:rPr>
          <w:rFonts w:hint="default" w:ascii="Times New Roman" w:hAnsi="Times New Roman" w:eastAsia="宋体" w:cs="Times New Roman"/>
          <w:b w:val="0"/>
          <w:bCs/>
          <w:sz w:val="24"/>
        </w:rPr>
        <w:t>m</w:t>
      </w:r>
      <w:r>
        <w:rPr>
          <w:rFonts w:hint="default" w:ascii="Times New Roman" w:hAnsi="Times New Roman" w:eastAsia="宋体" w:cs="Times New Roman"/>
          <w:b w:val="0"/>
          <w:bCs/>
          <w:sz w:val="24"/>
          <w:vertAlign w:val="superscript"/>
        </w:rPr>
        <w:t>2</w:t>
      </w:r>
      <w:r>
        <w:rPr>
          <w:rFonts w:hint="default" w:ascii="Times New Roman" w:hAnsi="Times New Roman" w:eastAsia="宋体" w:cs="Times New Roman"/>
          <w:b w:val="0"/>
          <w:bCs/>
          <w:sz w:val="24"/>
          <w:lang w:eastAsia="zh-CN"/>
        </w:rPr>
        <w:t>。</w:t>
      </w:r>
      <w:r>
        <w:rPr>
          <w:rFonts w:hint="default" w:ascii="Times New Roman" w:hAnsi="Times New Roman" w:eastAsia="宋体" w:cs="Times New Roman"/>
          <w:b w:val="0"/>
          <w:bCs/>
          <w:sz w:val="24"/>
        </w:rPr>
        <w:t>为保证待宰间的卫生条件，及时清理粪尿，每天需对待宰间进行</w:t>
      </w:r>
      <w:r>
        <w:rPr>
          <w:rFonts w:hint="default" w:ascii="Times New Roman" w:hAnsi="Times New Roman" w:eastAsia="宋体" w:cs="Times New Roman"/>
          <w:b w:val="0"/>
          <w:bCs/>
          <w:sz w:val="24"/>
          <w:lang w:eastAsia="zh-CN"/>
        </w:rPr>
        <w:t>地面</w:t>
      </w:r>
      <w:r>
        <w:rPr>
          <w:rFonts w:hint="default" w:ascii="Times New Roman" w:hAnsi="Times New Roman" w:eastAsia="宋体" w:cs="Times New Roman"/>
          <w:b w:val="0"/>
          <w:bCs/>
          <w:sz w:val="24"/>
        </w:rPr>
        <w:t>冲洗，清洁用水量约为</w:t>
      </w:r>
      <w:r>
        <w:rPr>
          <w:rFonts w:hint="default" w:ascii="Times New Roman" w:hAnsi="Times New Roman" w:eastAsia="宋体" w:cs="Times New Roman"/>
          <w:b w:val="0"/>
          <w:bCs/>
          <w:sz w:val="24"/>
          <w:lang w:val="en-US" w:eastAsia="zh-CN"/>
        </w:rPr>
        <w:t>5</w:t>
      </w:r>
      <w:r>
        <w:rPr>
          <w:rFonts w:hint="default" w:ascii="Times New Roman" w:hAnsi="Times New Roman" w:eastAsia="宋体" w:cs="Times New Roman"/>
          <w:b w:val="0"/>
          <w:bCs/>
          <w:sz w:val="24"/>
        </w:rPr>
        <w:t>L/m</w:t>
      </w:r>
      <w:r>
        <w:rPr>
          <w:rFonts w:hint="default" w:ascii="Times New Roman" w:hAnsi="Times New Roman" w:eastAsia="宋体" w:cs="Times New Roman"/>
          <w:b w:val="0"/>
          <w:bCs/>
          <w:sz w:val="24"/>
          <w:vertAlign w:val="superscript"/>
        </w:rPr>
        <w:t>2</w:t>
      </w:r>
      <w:r>
        <w:rPr>
          <w:rFonts w:hint="default" w:ascii="Times New Roman" w:hAnsi="Times New Roman" w:eastAsia="宋体" w:cs="Times New Roman"/>
          <w:b w:val="0"/>
          <w:bCs/>
          <w:sz w:val="24"/>
        </w:rPr>
        <w:t>次，则用水量为</w:t>
      </w:r>
      <w:r>
        <w:rPr>
          <w:rFonts w:hint="default" w:ascii="Times New Roman" w:hAnsi="Times New Roman" w:eastAsia="宋体" w:cs="Times New Roman"/>
          <w:b w:val="0"/>
          <w:bCs/>
          <w:sz w:val="24"/>
          <w:lang w:val="en-US" w:eastAsia="zh-CN"/>
        </w:rPr>
        <w:t>4</w:t>
      </w:r>
      <w:r>
        <w:rPr>
          <w:rFonts w:hint="eastAsia" w:ascii="Times New Roman" w:hAnsi="Times New Roman" w:eastAsia="宋体" w:cs="Times New Roman"/>
          <w:b w:val="0"/>
          <w:bCs/>
          <w:sz w:val="24"/>
          <w:lang w:val="en-US" w:eastAsia="zh-CN"/>
        </w:rPr>
        <w:t>.5</w:t>
      </w:r>
      <w:r>
        <w:rPr>
          <w:rFonts w:hint="default" w:ascii="Times New Roman" w:hAnsi="Times New Roman" w:eastAsia="宋体" w:cs="Times New Roman"/>
          <w:b w:val="0"/>
          <w:bCs/>
          <w:sz w:val="24"/>
        </w:rPr>
        <w:t>m</w:t>
      </w:r>
      <w:r>
        <w:rPr>
          <w:rFonts w:hint="default" w:ascii="Times New Roman" w:hAnsi="Times New Roman" w:eastAsia="宋体" w:cs="Times New Roman"/>
          <w:b w:val="0"/>
          <w:bCs/>
          <w:sz w:val="24"/>
          <w:vertAlign w:val="superscript"/>
        </w:rPr>
        <w:t>3</w:t>
      </w:r>
      <w:r>
        <w:rPr>
          <w:rFonts w:hint="default" w:ascii="Times New Roman" w:hAnsi="Times New Roman" w:eastAsia="宋体" w:cs="Times New Roman"/>
          <w:b w:val="0"/>
          <w:bCs/>
          <w:sz w:val="24"/>
        </w:rPr>
        <w:t>/d</w:t>
      </w:r>
      <w:r>
        <w:rPr>
          <w:rFonts w:hint="default" w:ascii="Times New Roman" w:hAnsi="Times New Roman" w:cs="Times New Roman"/>
          <w:b w:val="0"/>
          <w:bCs/>
          <w:sz w:val="24"/>
          <w:lang w:eastAsia="zh-CN"/>
        </w:rPr>
        <w:t>，</w:t>
      </w:r>
      <w:r>
        <w:rPr>
          <w:rFonts w:hint="default" w:ascii="Times New Roman" w:hAnsi="Times New Roman" w:eastAsia="宋体" w:cs="Times New Roman"/>
          <w:b w:val="0"/>
          <w:bCs/>
          <w:sz w:val="24"/>
        </w:rPr>
        <w:t>1</w:t>
      </w:r>
      <w:r>
        <w:rPr>
          <w:rFonts w:hint="eastAsia" w:ascii="Times New Roman" w:hAnsi="Times New Roman" w:eastAsia="宋体" w:cs="Times New Roman"/>
          <w:b w:val="0"/>
          <w:bCs/>
          <w:sz w:val="24"/>
          <w:lang w:val="en-US" w:eastAsia="zh-CN"/>
        </w:rPr>
        <w:t>44</w:t>
      </w:r>
      <w:r>
        <w:rPr>
          <w:rFonts w:hint="default" w:ascii="Times New Roman" w:hAnsi="Times New Roman" w:eastAsia="宋体" w:cs="Times New Roman"/>
          <w:b w:val="0"/>
          <w:bCs/>
          <w:sz w:val="24"/>
          <w:lang w:val="en-US" w:eastAsia="zh-CN"/>
        </w:rPr>
        <w:t>0</w:t>
      </w:r>
      <w:r>
        <w:rPr>
          <w:rFonts w:hint="default" w:ascii="Times New Roman" w:hAnsi="Times New Roman" w:eastAsia="宋体" w:cs="Times New Roman"/>
          <w:b w:val="0"/>
          <w:bCs/>
          <w:sz w:val="24"/>
        </w:rPr>
        <w:t>m</w:t>
      </w:r>
      <w:r>
        <w:rPr>
          <w:rFonts w:hint="default" w:ascii="Times New Roman" w:hAnsi="Times New Roman" w:eastAsia="宋体" w:cs="Times New Roman"/>
          <w:b w:val="0"/>
          <w:bCs/>
          <w:sz w:val="24"/>
          <w:vertAlign w:val="superscript"/>
        </w:rPr>
        <w:t>3</w:t>
      </w:r>
      <w:r>
        <w:rPr>
          <w:rFonts w:hint="default" w:ascii="Times New Roman" w:hAnsi="Times New Roman" w:eastAsia="宋体" w:cs="Times New Roman"/>
          <w:b w:val="0"/>
          <w:bCs/>
          <w:sz w:val="24"/>
        </w:rPr>
        <w:t>/a。</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eastAsia="宋体" w:cs="Times New Roman"/>
          <w:b w:val="0"/>
          <w:bCs/>
          <w:sz w:val="24"/>
          <w:lang w:eastAsia="zh-CN"/>
        </w:rPr>
        <w:t>待宰间</w:t>
      </w:r>
      <w:r>
        <w:rPr>
          <w:rFonts w:hint="default" w:ascii="Times New Roman" w:hAnsi="Times New Roman" w:cs="Times New Roman"/>
          <w:b w:val="0"/>
          <w:bCs/>
          <w:sz w:val="24"/>
          <w:lang w:eastAsia="zh-CN"/>
        </w:rPr>
        <w:t>冲洗</w:t>
      </w:r>
      <w:r>
        <w:rPr>
          <w:rFonts w:hint="default" w:ascii="Times New Roman" w:hAnsi="Times New Roman" w:eastAsia="宋体" w:cs="Times New Roman"/>
          <w:b w:val="0"/>
          <w:bCs/>
          <w:sz w:val="24"/>
          <w:lang w:eastAsia="zh-CN"/>
        </w:rPr>
        <w:t>废水</w:t>
      </w:r>
      <w:r>
        <w:rPr>
          <w:rFonts w:hint="default" w:ascii="Times New Roman" w:hAnsi="Times New Roman" w:cs="Times New Roman"/>
          <w:b w:val="0"/>
          <w:bCs/>
          <w:sz w:val="24"/>
          <w:lang w:eastAsia="zh-CN"/>
        </w:rPr>
        <w:t>产生</w:t>
      </w:r>
      <w:r>
        <w:rPr>
          <w:rFonts w:hint="default" w:ascii="Times New Roman" w:hAnsi="Times New Roman" w:cs="Times New Roman"/>
          <w:b w:val="0"/>
          <w:bCs/>
          <w:sz w:val="24"/>
          <w:lang w:val="en-US" w:eastAsia="zh-CN"/>
        </w:rPr>
        <w:t>系数</w:t>
      </w:r>
      <w:r>
        <w:rPr>
          <w:rFonts w:hint="default" w:ascii="Times New Roman" w:hAnsi="Times New Roman" w:cs="Times New Roman"/>
          <w:b w:val="0"/>
          <w:bCs/>
          <w:sz w:val="24"/>
          <w:lang w:eastAsia="zh-CN"/>
        </w:rPr>
        <w:t>按</w:t>
      </w:r>
      <w:r>
        <w:rPr>
          <w:rFonts w:hint="eastAsia" w:ascii="Times New Roman" w:hAnsi="Times New Roman" w:cs="Times New Roman"/>
          <w:b w:val="0"/>
          <w:bCs/>
          <w:sz w:val="24"/>
          <w:lang w:val="en-US" w:eastAsia="zh-CN"/>
        </w:rPr>
        <w:t>9</w:t>
      </w:r>
      <w:r>
        <w:rPr>
          <w:rFonts w:hint="default" w:ascii="Times New Roman" w:hAnsi="Times New Roman" w:cs="Times New Roman"/>
          <w:b w:val="0"/>
          <w:bCs/>
          <w:sz w:val="24"/>
          <w:lang w:val="en-US" w:eastAsia="zh-CN"/>
        </w:rPr>
        <w:t>0%进行考虑，则废水产生量为</w:t>
      </w:r>
      <w:r>
        <w:rPr>
          <w:rFonts w:hint="eastAsia" w:ascii="Times New Roman" w:hAnsi="Times New Roman" w:cs="Times New Roman"/>
          <w:b w:val="0"/>
          <w:bCs/>
          <w:sz w:val="24"/>
          <w:lang w:val="en-US" w:eastAsia="zh-CN"/>
        </w:rPr>
        <w:t>4.05</w:t>
      </w:r>
      <w:r>
        <w:rPr>
          <w:rFonts w:hint="default" w:ascii="Times New Roman" w:hAnsi="Times New Roman" w:eastAsia="宋体" w:cs="Times New Roman"/>
          <w:b w:val="0"/>
          <w:bCs/>
          <w:sz w:val="24"/>
        </w:rPr>
        <w:t>m</w:t>
      </w:r>
      <w:r>
        <w:rPr>
          <w:rFonts w:hint="default" w:ascii="Times New Roman" w:hAnsi="Times New Roman" w:eastAsia="宋体" w:cs="Times New Roman"/>
          <w:b w:val="0"/>
          <w:bCs/>
          <w:sz w:val="24"/>
          <w:vertAlign w:val="superscript"/>
        </w:rPr>
        <w:t>3</w:t>
      </w:r>
      <w:r>
        <w:rPr>
          <w:rFonts w:hint="default" w:ascii="Times New Roman" w:hAnsi="Times New Roman" w:eastAsia="宋体" w:cs="Times New Roman"/>
          <w:b w:val="0"/>
          <w:bCs/>
          <w:sz w:val="24"/>
        </w:rPr>
        <w:t>/d</w:t>
      </w:r>
      <w:r>
        <w:rPr>
          <w:rFonts w:hint="default" w:ascii="Times New Roman" w:hAnsi="Times New Roman" w:cs="Times New Roman"/>
          <w:b w:val="0"/>
          <w:bCs/>
          <w:sz w:val="24"/>
          <w:lang w:eastAsia="zh-CN"/>
        </w:rPr>
        <w:t>，</w:t>
      </w:r>
      <w:r>
        <w:rPr>
          <w:rFonts w:hint="eastAsia" w:ascii="Times New Roman" w:hAnsi="Times New Roman" w:cs="Times New Roman"/>
          <w:b w:val="0"/>
          <w:bCs/>
          <w:sz w:val="24"/>
          <w:lang w:val="en-US" w:eastAsia="zh-CN"/>
        </w:rPr>
        <w:t>1296</w:t>
      </w:r>
      <w:r>
        <w:rPr>
          <w:rFonts w:hint="default" w:ascii="Times New Roman" w:hAnsi="Times New Roman" w:eastAsia="宋体" w:cs="Times New Roman"/>
          <w:b w:val="0"/>
          <w:bCs/>
          <w:sz w:val="24"/>
        </w:rPr>
        <w:t>m</w:t>
      </w:r>
      <w:r>
        <w:rPr>
          <w:rFonts w:hint="default" w:ascii="Times New Roman" w:hAnsi="Times New Roman" w:eastAsia="宋体" w:cs="Times New Roman"/>
          <w:b w:val="0"/>
          <w:bCs/>
          <w:sz w:val="24"/>
          <w:vertAlign w:val="superscript"/>
        </w:rPr>
        <w:t>3</w:t>
      </w:r>
      <w:r>
        <w:rPr>
          <w:rFonts w:hint="default" w:ascii="Times New Roman" w:hAnsi="Times New Roman" w:eastAsia="宋体" w:cs="Times New Roman"/>
          <w:b w:val="0"/>
          <w:bCs/>
          <w:sz w:val="24"/>
        </w:rPr>
        <w:t>/a</w:t>
      </w:r>
      <w:r>
        <w:rPr>
          <w:rFonts w:hint="default" w:ascii="Times New Roman" w:hAnsi="Times New Roman" w:cs="Times New Roman"/>
          <w:b w:val="0"/>
          <w:bCs/>
          <w:sz w:val="24"/>
          <w:lang w:eastAsia="zh-CN"/>
        </w:rPr>
        <w:t>。废水中的污染物主要有</w:t>
      </w:r>
      <w:r>
        <w:rPr>
          <w:rFonts w:hint="default" w:ascii="Times New Roman" w:hAnsi="Times New Roman" w:cs="Times New Roman"/>
          <w:b w:val="0"/>
          <w:bCs/>
          <w:sz w:val="24"/>
          <w:lang w:val="en-US" w:eastAsia="zh-CN"/>
        </w:rPr>
        <w:t>COD、BOD、SS、NH</w:t>
      </w:r>
      <w:r>
        <w:rPr>
          <w:rFonts w:hint="default" w:ascii="Times New Roman" w:hAnsi="Times New Roman" w:cs="Times New Roman"/>
          <w:b w:val="0"/>
          <w:bCs/>
          <w:sz w:val="24"/>
          <w:vertAlign w:val="subscript"/>
          <w:lang w:val="en-US" w:eastAsia="zh-CN"/>
        </w:rPr>
        <w:t>3</w:t>
      </w:r>
      <w:r>
        <w:rPr>
          <w:rFonts w:hint="default" w:ascii="Times New Roman" w:hAnsi="Times New Roman" w:cs="Times New Roman"/>
          <w:b w:val="0"/>
          <w:bCs/>
          <w:sz w:val="24"/>
          <w:lang w:val="en-US" w:eastAsia="zh-CN"/>
        </w:rPr>
        <w:t>-N</w:t>
      </w:r>
      <w:r>
        <w:rPr>
          <w:rFonts w:hint="default" w:ascii="Times New Roman" w:hAnsi="Times New Roman" w:cs="Times New Roman"/>
          <w:b w:val="0"/>
          <w:bCs/>
          <w:sz w:val="24"/>
          <w:lang w:eastAsia="zh-CN"/>
        </w:rPr>
        <w:t>等</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屠宰用水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snapToGrid/>
          <w:kern w:val="2"/>
          <w:sz w:val="24"/>
          <w:szCs w:val="24"/>
          <w:lang w:eastAsia="zh-CN"/>
        </w:rPr>
      </w:pPr>
      <w:r>
        <w:rPr>
          <w:rFonts w:hint="default" w:ascii="Times New Roman" w:hAnsi="Times New Roman" w:eastAsia="宋体" w:cs="Times New Roman"/>
          <w:b w:val="0"/>
          <w:bCs/>
          <w:snapToGrid/>
          <w:kern w:val="2"/>
          <w:sz w:val="24"/>
          <w:szCs w:val="24"/>
          <w:lang w:eastAsia="zh-CN"/>
        </w:rPr>
        <w:t>屠宰线废水主要</w:t>
      </w:r>
      <w:r>
        <w:rPr>
          <w:rFonts w:hint="eastAsia" w:ascii="Times New Roman" w:hAnsi="Times New Roman" w:eastAsia="宋体" w:cs="Times New Roman"/>
          <w:b w:val="0"/>
          <w:bCs/>
          <w:snapToGrid/>
          <w:kern w:val="2"/>
          <w:sz w:val="24"/>
          <w:szCs w:val="24"/>
          <w:lang w:eastAsia="zh-CN"/>
        </w:rPr>
        <w:t>来源</w:t>
      </w:r>
      <w:r>
        <w:rPr>
          <w:rFonts w:hint="default" w:ascii="Times New Roman" w:hAnsi="Times New Roman" w:eastAsia="宋体" w:cs="Times New Roman"/>
          <w:b w:val="0"/>
          <w:bCs/>
          <w:snapToGrid/>
          <w:kern w:val="2"/>
          <w:sz w:val="24"/>
          <w:szCs w:val="24"/>
          <w:lang w:eastAsia="zh-CN"/>
        </w:rPr>
        <w:t>为</w:t>
      </w:r>
      <w:r>
        <w:rPr>
          <w:rFonts w:hint="eastAsia" w:ascii="Times New Roman" w:hAnsi="Times New Roman" w:eastAsia="宋体" w:cs="Times New Roman"/>
          <w:b w:val="0"/>
          <w:bCs/>
          <w:snapToGrid/>
          <w:kern w:val="2"/>
          <w:sz w:val="24"/>
          <w:szCs w:val="24"/>
          <w:lang w:eastAsia="zh-CN"/>
        </w:rPr>
        <w:t>胴体（内腔）冲洗水、</w:t>
      </w:r>
      <w:r>
        <w:rPr>
          <w:rFonts w:hint="default" w:ascii="Times New Roman" w:hAnsi="Times New Roman" w:eastAsia="宋体" w:cs="Times New Roman"/>
          <w:b w:val="0"/>
          <w:bCs/>
          <w:snapToGrid/>
          <w:kern w:val="2"/>
          <w:sz w:val="24"/>
          <w:szCs w:val="24"/>
          <w:lang w:eastAsia="zh-CN"/>
        </w:rPr>
        <w:t>内脏清洗废水、设备清洁废水以及车间地面冲洗水</w:t>
      </w:r>
      <w:r>
        <w:rPr>
          <w:rFonts w:hint="default" w:ascii="Times New Roman" w:hAnsi="Times New Roman" w:eastAsia="宋体" w:cs="Times New Roman"/>
          <w:b/>
          <w:snapToGrid/>
          <w:kern w:val="2"/>
          <w:sz w:val="24"/>
          <w:szCs w:val="24"/>
          <w:lang w:eastAsia="zh-CN"/>
        </w:rPr>
        <w:t>，</w:t>
      </w:r>
      <w:r>
        <w:rPr>
          <w:rFonts w:hint="default" w:ascii="Times New Roman" w:hAnsi="Times New Roman" w:eastAsia="宋体" w:cs="Times New Roman"/>
          <w:snapToGrid/>
          <w:kern w:val="2"/>
          <w:sz w:val="24"/>
          <w:szCs w:val="24"/>
          <w:lang w:eastAsia="zh-CN"/>
        </w:rPr>
        <w:t>废水中</w:t>
      </w:r>
      <w:r>
        <w:rPr>
          <w:rFonts w:hint="eastAsia" w:ascii="Times New Roman" w:hAnsi="Times New Roman" w:eastAsia="宋体" w:cs="Times New Roman"/>
          <w:snapToGrid/>
          <w:kern w:val="2"/>
          <w:sz w:val="24"/>
          <w:szCs w:val="24"/>
          <w:lang w:eastAsia="zh-CN"/>
        </w:rPr>
        <w:t>主要</w:t>
      </w:r>
      <w:r>
        <w:rPr>
          <w:rFonts w:hint="default" w:ascii="Times New Roman" w:hAnsi="Times New Roman" w:eastAsia="宋体" w:cs="Times New Roman"/>
          <w:snapToGrid/>
          <w:kern w:val="2"/>
          <w:sz w:val="24"/>
          <w:szCs w:val="24"/>
          <w:lang w:eastAsia="zh-CN"/>
        </w:rPr>
        <w:t>含有</w:t>
      </w:r>
      <w:r>
        <w:rPr>
          <w:rFonts w:hint="eastAsia" w:ascii="Times New Roman" w:hAnsi="Times New Roman" w:eastAsia="宋体" w:cs="Times New Roman"/>
          <w:snapToGrid/>
          <w:kern w:val="2"/>
          <w:sz w:val="24"/>
          <w:szCs w:val="24"/>
          <w:lang w:eastAsia="zh-CN"/>
        </w:rPr>
        <w:t>血污、油脂</w:t>
      </w:r>
      <w:r>
        <w:rPr>
          <w:rFonts w:hint="default"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eastAsia="zh-CN"/>
        </w:rPr>
        <w:t>碎肉、畜毛</w:t>
      </w:r>
      <w:r>
        <w:rPr>
          <w:rFonts w:hint="default" w:ascii="Times New Roman" w:hAnsi="Times New Roman" w:eastAsia="宋体" w:cs="Times New Roman"/>
          <w:snapToGrid/>
          <w:kern w:val="2"/>
          <w:sz w:val="24"/>
          <w:szCs w:val="24"/>
          <w:lang w:eastAsia="zh-CN"/>
        </w:rPr>
        <w:t>、未消化的</w:t>
      </w:r>
      <w:r>
        <w:rPr>
          <w:rFonts w:hint="eastAsia" w:ascii="Times New Roman" w:hAnsi="Times New Roman" w:eastAsia="宋体" w:cs="Times New Roman"/>
          <w:snapToGrid/>
          <w:kern w:val="2"/>
          <w:sz w:val="24"/>
          <w:szCs w:val="24"/>
          <w:lang w:eastAsia="zh-CN"/>
        </w:rPr>
        <w:t>食物及</w:t>
      </w:r>
      <w:r>
        <w:rPr>
          <w:rFonts w:hint="default" w:ascii="Times New Roman" w:hAnsi="Times New Roman" w:eastAsia="宋体" w:cs="Times New Roman"/>
          <w:snapToGrid/>
          <w:kern w:val="2"/>
          <w:sz w:val="24"/>
          <w:szCs w:val="24"/>
          <w:lang w:eastAsia="zh-CN"/>
        </w:rPr>
        <w:t>粪便</w:t>
      </w:r>
      <w:r>
        <w:rPr>
          <w:rFonts w:hint="eastAsia" w:ascii="Times New Roman" w:hAnsi="Times New Roman" w:eastAsia="宋体" w:cs="Times New Roman"/>
          <w:snapToGrid/>
          <w:kern w:val="2"/>
          <w:sz w:val="24"/>
          <w:szCs w:val="24"/>
          <w:lang w:eastAsia="zh-CN"/>
        </w:rPr>
        <w:t>、尿液</w:t>
      </w:r>
      <w:r>
        <w:rPr>
          <w:rFonts w:hint="default" w:ascii="Times New Roman" w:hAnsi="Times New Roman" w:eastAsia="宋体" w:cs="Times New Roman"/>
          <w:snapToGrid/>
          <w:kern w:val="2"/>
          <w:sz w:val="24"/>
          <w:szCs w:val="24"/>
          <w:lang w:eastAsia="zh-CN"/>
        </w:rPr>
        <w:t>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highlight w:val="none"/>
          <w:u w:val="single"/>
          <w:lang w:val="en-US" w:eastAsia="zh-CN"/>
        </w:rPr>
      </w:pPr>
      <w:r>
        <w:rPr>
          <w:rFonts w:hint="default" w:ascii="Times New Roman" w:hAnsi="Times New Roman" w:eastAsia="宋体" w:cs="Times New Roman"/>
          <w:snapToGrid/>
          <w:kern w:val="2"/>
          <w:sz w:val="24"/>
          <w:szCs w:val="24"/>
          <w:highlight w:val="none"/>
          <w:u w:val="single"/>
          <w:lang w:eastAsia="zh-CN"/>
        </w:rPr>
        <w:t>根据《</w:t>
      </w:r>
      <w:r>
        <w:rPr>
          <w:rFonts w:hint="eastAsia" w:ascii="Times New Roman" w:hAnsi="Times New Roman" w:eastAsia="宋体" w:cs="Times New Roman"/>
          <w:snapToGrid/>
          <w:kern w:val="2"/>
          <w:sz w:val="24"/>
          <w:szCs w:val="24"/>
          <w:highlight w:val="none"/>
          <w:u w:val="single"/>
          <w:lang w:eastAsia="zh-CN"/>
        </w:rPr>
        <w:t>排污许可证申请与核发技术规范</w:t>
      </w:r>
      <w:r>
        <w:rPr>
          <w:rFonts w:hint="eastAsia" w:ascii="Times New Roman" w:hAnsi="Times New Roman" w:eastAsia="宋体" w:cs="Times New Roman"/>
          <w:snapToGrid/>
          <w:kern w:val="2"/>
          <w:sz w:val="24"/>
          <w:szCs w:val="24"/>
          <w:highlight w:val="none"/>
          <w:u w:val="single"/>
          <w:lang w:val="en-US" w:eastAsia="zh-CN"/>
        </w:rPr>
        <w:t xml:space="preserve">  农副食品加工工业--屠宰及肉类加工工业</w:t>
      </w:r>
      <w:r>
        <w:rPr>
          <w:rFonts w:hint="default" w:ascii="Times New Roman" w:hAnsi="Times New Roman" w:eastAsia="宋体" w:cs="Times New Roman"/>
          <w:snapToGrid/>
          <w:kern w:val="2"/>
          <w:sz w:val="24"/>
          <w:szCs w:val="24"/>
          <w:highlight w:val="none"/>
          <w:u w:val="single"/>
          <w:lang w:eastAsia="zh-CN"/>
        </w:rPr>
        <w:t>》（HJ</w:t>
      </w:r>
      <w:r>
        <w:rPr>
          <w:rFonts w:hint="eastAsia" w:ascii="Times New Roman" w:hAnsi="Times New Roman" w:eastAsia="宋体" w:cs="Times New Roman"/>
          <w:snapToGrid/>
          <w:kern w:val="2"/>
          <w:sz w:val="24"/>
          <w:szCs w:val="24"/>
          <w:highlight w:val="none"/>
          <w:u w:val="single"/>
          <w:lang w:val="en-US" w:eastAsia="zh-CN"/>
        </w:rPr>
        <w:t>860.3</w:t>
      </w:r>
      <w:r>
        <w:rPr>
          <w:rFonts w:hint="default" w:ascii="Times New Roman" w:hAnsi="Times New Roman" w:eastAsia="宋体" w:cs="Times New Roman"/>
          <w:snapToGrid/>
          <w:kern w:val="2"/>
          <w:sz w:val="24"/>
          <w:szCs w:val="24"/>
          <w:highlight w:val="none"/>
          <w:u w:val="single"/>
          <w:lang w:eastAsia="zh-CN"/>
        </w:rPr>
        <w:t>-201</w:t>
      </w:r>
      <w:r>
        <w:rPr>
          <w:rFonts w:hint="eastAsia" w:ascii="Times New Roman" w:hAnsi="Times New Roman" w:eastAsia="宋体" w:cs="Times New Roman"/>
          <w:snapToGrid/>
          <w:kern w:val="2"/>
          <w:sz w:val="24"/>
          <w:szCs w:val="24"/>
          <w:highlight w:val="none"/>
          <w:u w:val="single"/>
          <w:lang w:val="en-US" w:eastAsia="zh-CN"/>
        </w:rPr>
        <w:t>8</w:t>
      </w:r>
      <w:r>
        <w:rPr>
          <w:rFonts w:hint="default" w:ascii="Times New Roman" w:hAnsi="Times New Roman" w:eastAsia="宋体" w:cs="Times New Roman"/>
          <w:snapToGrid/>
          <w:kern w:val="2"/>
          <w:sz w:val="24"/>
          <w:szCs w:val="24"/>
          <w:highlight w:val="none"/>
          <w:u w:val="single"/>
          <w:lang w:eastAsia="zh-CN"/>
        </w:rPr>
        <w:t>）</w:t>
      </w:r>
      <w:r>
        <w:rPr>
          <w:rFonts w:hint="eastAsia" w:ascii="Times New Roman" w:hAnsi="Times New Roman" w:eastAsia="宋体" w:cs="Times New Roman"/>
          <w:snapToGrid/>
          <w:kern w:val="2"/>
          <w:sz w:val="24"/>
          <w:szCs w:val="24"/>
          <w:highlight w:val="none"/>
          <w:u w:val="single"/>
          <w:lang w:eastAsia="zh-CN"/>
        </w:rPr>
        <w:t>附录</w:t>
      </w:r>
      <w:r>
        <w:rPr>
          <w:rFonts w:hint="eastAsia" w:ascii="Times New Roman" w:hAnsi="Times New Roman" w:eastAsia="宋体" w:cs="Times New Roman"/>
          <w:snapToGrid/>
          <w:kern w:val="2"/>
          <w:sz w:val="24"/>
          <w:szCs w:val="24"/>
          <w:highlight w:val="none"/>
          <w:u w:val="single"/>
          <w:lang w:val="en-US" w:eastAsia="zh-CN"/>
        </w:rPr>
        <w:t>C</w:t>
      </w:r>
      <w:r>
        <w:rPr>
          <w:rFonts w:hint="eastAsia" w:ascii="Times New Roman" w:hAnsi="Times New Roman" w:eastAsia="宋体" w:cs="Times New Roman"/>
          <w:snapToGrid/>
          <w:kern w:val="2"/>
          <w:sz w:val="24"/>
          <w:szCs w:val="24"/>
          <w:highlight w:val="none"/>
          <w:u w:val="single"/>
          <w:lang w:eastAsia="zh-CN"/>
        </w:rPr>
        <w:t>，并结合</w:t>
      </w:r>
      <w:r>
        <w:rPr>
          <w:rFonts w:hint="default" w:ascii="Times New Roman" w:hAnsi="Times New Roman" w:eastAsia="宋体" w:cs="Times New Roman"/>
          <w:snapToGrid/>
          <w:kern w:val="2"/>
          <w:sz w:val="24"/>
          <w:szCs w:val="24"/>
          <w:highlight w:val="none"/>
          <w:u w:val="single"/>
          <w:lang w:eastAsia="zh-CN"/>
        </w:rPr>
        <w:t>《屠宰与肉类加工废水治理工程技术规范》（HJ2004-2010），</w:t>
      </w:r>
      <w:r>
        <w:rPr>
          <w:rFonts w:hint="eastAsia" w:ascii="Times New Roman" w:hAnsi="Times New Roman" w:eastAsia="宋体" w:cs="Times New Roman"/>
          <w:snapToGrid/>
          <w:kern w:val="2"/>
          <w:sz w:val="24"/>
          <w:szCs w:val="24"/>
          <w:highlight w:val="none"/>
          <w:u w:val="single"/>
          <w:lang w:eastAsia="zh-CN"/>
        </w:rPr>
        <w:t>羊在屠宰、分割过程中的废水产生系数（包括胴体内腔冲洗、内脏清洗、设备清洁以及车间地面冲洗等全部环节）为</w:t>
      </w:r>
      <w:r>
        <w:rPr>
          <w:rFonts w:hint="eastAsia" w:ascii="Times New Roman" w:hAnsi="Times New Roman" w:eastAsia="宋体" w:cs="Times New Roman"/>
          <w:snapToGrid/>
          <w:kern w:val="2"/>
          <w:sz w:val="24"/>
          <w:szCs w:val="24"/>
          <w:highlight w:val="none"/>
          <w:u w:val="single"/>
          <w:lang w:val="en-US" w:eastAsia="zh-CN"/>
        </w:rPr>
        <w:t>7.166吨工业废水/吨-活屠重（规模等级：469只/d＜1500只/d），猪（以0.7的调整系数折算为牛）在</w:t>
      </w:r>
      <w:r>
        <w:rPr>
          <w:rFonts w:hint="eastAsia" w:ascii="Times New Roman" w:hAnsi="Times New Roman" w:eastAsia="宋体" w:cs="Times New Roman"/>
          <w:snapToGrid/>
          <w:kern w:val="2"/>
          <w:sz w:val="24"/>
          <w:szCs w:val="24"/>
          <w:highlight w:val="none"/>
          <w:u w:val="single"/>
          <w:lang w:eastAsia="zh-CN"/>
        </w:rPr>
        <w:t>屠宰、分割过程中的废水产生系数为</w:t>
      </w:r>
      <w:r>
        <w:rPr>
          <w:rFonts w:hint="eastAsia" w:ascii="Times New Roman" w:hAnsi="Times New Roman" w:eastAsia="宋体" w:cs="Times New Roman"/>
          <w:snapToGrid/>
          <w:kern w:val="2"/>
          <w:sz w:val="24"/>
          <w:szCs w:val="24"/>
          <w:highlight w:val="none"/>
          <w:u w:val="single"/>
          <w:lang w:val="en-US" w:eastAsia="zh-CN"/>
        </w:rPr>
        <w:t>7.219吨工业废水/吨-活屠重。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highlight w:val="none"/>
          <w:u w:val="single"/>
          <w:lang w:val="en-US" w:eastAsia="zh-CN"/>
        </w:rPr>
      </w:pPr>
      <w:r>
        <w:rPr>
          <w:rFonts w:hint="eastAsia" w:ascii="Times New Roman" w:hAnsi="Times New Roman" w:eastAsia="宋体" w:cs="Times New Roman"/>
          <w:snapToGrid/>
          <w:kern w:val="2"/>
          <w:sz w:val="24"/>
          <w:szCs w:val="24"/>
          <w:highlight w:val="none"/>
          <w:u w:val="single"/>
          <w:lang w:eastAsia="zh-CN"/>
        </w:rPr>
        <w:t>本项目年屠宰肉羊</w:t>
      </w:r>
      <w:r>
        <w:rPr>
          <w:rFonts w:hint="eastAsia" w:ascii="Times New Roman" w:hAnsi="Times New Roman" w:eastAsia="宋体" w:cs="Times New Roman"/>
          <w:snapToGrid/>
          <w:kern w:val="2"/>
          <w:sz w:val="24"/>
          <w:szCs w:val="24"/>
          <w:highlight w:val="none"/>
          <w:u w:val="single"/>
          <w:lang w:val="en-US" w:eastAsia="zh-CN"/>
        </w:rPr>
        <w:t>7500吨（活屠重）、肉牛5000吨（活屠重），则肉羊、肉牛屠宰过程中废水产生量依次为53745t/a、25266.5t/a。整个屠宰车间废水产生量为79011.5t/a，平均246.9t/d。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u w:val="single"/>
          <w:lang w:eastAsia="zh-CN"/>
        </w:rPr>
      </w:pPr>
      <w:r>
        <w:rPr>
          <w:rFonts w:hint="eastAsia" w:ascii="Times New Roman" w:hAnsi="Times New Roman" w:eastAsia="宋体" w:cs="Times New Roman"/>
          <w:snapToGrid/>
          <w:kern w:val="2"/>
          <w:sz w:val="24"/>
          <w:szCs w:val="24"/>
          <w:highlight w:val="none"/>
          <w:u w:val="single"/>
          <w:lang w:eastAsia="zh-CN"/>
        </w:rPr>
        <w:t>屠宰废水产生量按用水量的</w:t>
      </w:r>
      <w:r>
        <w:rPr>
          <w:rFonts w:hint="eastAsia" w:ascii="Times New Roman" w:hAnsi="Times New Roman" w:eastAsia="宋体" w:cs="Times New Roman"/>
          <w:snapToGrid/>
          <w:kern w:val="2"/>
          <w:sz w:val="24"/>
          <w:szCs w:val="24"/>
          <w:highlight w:val="none"/>
          <w:u w:val="single"/>
          <w:lang w:val="en-US" w:eastAsia="zh-CN"/>
        </w:rPr>
        <w:t>90%考虑，则</w:t>
      </w:r>
      <w:r>
        <w:rPr>
          <w:rFonts w:hint="eastAsia" w:ascii="Times New Roman" w:hAnsi="Times New Roman" w:eastAsia="宋体" w:cs="Times New Roman"/>
          <w:snapToGrid/>
          <w:kern w:val="2"/>
          <w:sz w:val="24"/>
          <w:szCs w:val="24"/>
          <w:highlight w:val="none"/>
          <w:u w:val="single"/>
          <w:lang w:eastAsia="zh-CN"/>
        </w:rPr>
        <w:t>整个厂区屠宰用水</w:t>
      </w:r>
      <w:r>
        <w:rPr>
          <w:rFonts w:hint="default" w:ascii="Times New Roman" w:hAnsi="Times New Roman" w:eastAsia="宋体" w:cs="Times New Roman"/>
          <w:snapToGrid/>
          <w:kern w:val="2"/>
          <w:sz w:val="24"/>
          <w:szCs w:val="24"/>
          <w:highlight w:val="none"/>
          <w:u w:val="single"/>
          <w:lang w:eastAsia="zh-CN"/>
        </w:rPr>
        <w:t>量为</w:t>
      </w:r>
      <w:r>
        <w:rPr>
          <w:rFonts w:hint="eastAsia" w:ascii="Times New Roman" w:hAnsi="Times New Roman" w:eastAsia="宋体" w:cs="Times New Roman"/>
          <w:snapToGrid/>
          <w:kern w:val="2"/>
          <w:sz w:val="24"/>
          <w:szCs w:val="24"/>
          <w:highlight w:val="none"/>
          <w:u w:val="single"/>
          <w:lang w:val="en-US" w:eastAsia="zh-CN"/>
        </w:rPr>
        <w:t>87790.6m</w:t>
      </w:r>
      <w:r>
        <w:rPr>
          <w:rFonts w:hint="eastAsia" w:ascii="Times New Roman" w:hAnsi="Times New Roman" w:eastAsia="宋体" w:cs="Times New Roman"/>
          <w:snapToGrid/>
          <w:kern w:val="2"/>
          <w:sz w:val="24"/>
          <w:szCs w:val="24"/>
          <w:highlight w:val="none"/>
          <w:u w:val="single"/>
          <w:vertAlign w:val="superscript"/>
          <w:lang w:val="en-US" w:eastAsia="zh-CN"/>
        </w:rPr>
        <w:t>3</w:t>
      </w:r>
      <w:r>
        <w:rPr>
          <w:rFonts w:hint="default" w:ascii="Times New Roman" w:hAnsi="Times New Roman" w:eastAsia="宋体" w:cs="Times New Roman"/>
          <w:snapToGrid/>
          <w:kern w:val="2"/>
          <w:sz w:val="24"/>
          <w:szCs w:val="24"/>
          <w:highlight w:val="none"/>
          <w:u w:val="single"/>
          <w:lang w:eastAsia="zh-CN"/>
        </w:rPr>
        <w:t>/a，平均</w:t>
      </w:r>
      <w:r>
        <w:rPr>
          <w:rFonts w:hint="eastAsia" w:ascii="Times New Roman" w:hAnsi="Times New Roman" w:eastAsia="宋体" w:cs="Times New Roman"/>
          <w:snapToGrid/>
          <w:kern w:val="2"/>
          <w:sz w:val="24"/>
          <w:szCs w:val="24"/>
          <w:highlight w:val="none"/>
          <w:u w:val="single"/>
          <w:lang w:val="en-US" w:eastAsia="zh-CN"/>
        </w:rPr>
        <w:t>274.3m</w:t>
      </w:r>
      <w:r>
        <w:rPr>
          <w:rFonts w:hint="eastAsia" w:ascii="Times New Roman" w:hAnsi="Times New Roman" w:eastAsia="宋体" w:cs="Times New Roman"/>
          <w:snapToGrid/>
          <w:kern w:val="2"/>
          <w:sz w:val="24"/>
          <w:szCs w:val="24"/>
          <w:highlight w:val="none"/>
          <w:u w:val="single"/>
          <w:vertAlign w:val="superscript"/>
          <w:lang w:val="en-US" w:eastAsia="zh-CN"/>
        </w:rPr>
        <w:t>3</w:t>
      </w:r>
      <w:r>
        <w:rPr>
          <w:rFonts w:hint="default" w:ascii="Times New Roman" w:hAnsi="Times New Roman" w:eastAsia="宋体" w:cs="Times New Roman"/>
          <w:snapToGrid/>
          <w:kern w:val="2"/>
          <w:sz w:val="24"/>
          <w:szCs w:val="24"/>
          <w:highlight w:val="none"/>
          <w:u w:val="single"/>
          <w:lang w:eastAsia="zh-CN"/>
        </w:rPr>
        <w:t>/d。</w:t>
      </w:r>
      <w:r>
        <w:rPr>
          <w:rFonts w:hint="eastAsia" w:ascii="Times New Roman" w:hAnsi="Times New Roman" w:eastAsia="宋体" w:cs="Times New Roman"/>
          <w:b w:val="0"/>
          <w:bCs/>
          <w:snapToGrid/>
          <w:kern w:val="2"/>
          <w:sz w:val="24"/>
          <w:szCs w:val="24"/>
          <w:u w:val="single"/>
          <w:lang w:eastAsia="zh-CN"/>
        </w:rPr>
        <w:t>废水中的污染物主要有</w:t>
      </w:r>
      <w:r>
        <w:rPr>
          <w:rFonts w:hint="eastAsia" w:ascii="Times New Roman" w:hAnsi="Times New Roman" w:eastAsia="宋体" w:cs="Times New Roman"/>
          <w:b w:val="0"/>
          <w:bCs/>
          <w:snapToGrid/>
          <w:kern w:val="2"/>
          <w:sz w:val="24"/>
          <w:szCs w:val="24"/>
          <w:u w:val="single"/>
          <w:lang w:val="en-US" w:eastAsia="zh-CN"/>
        </w:rPr>
        <w:t>COD、BOD、SS、NH</w:t>
      </w:r>
      <w:r>
        <w:rPr>
          <w:rFonts w:hint="eastAsia" w:ascii="Times New Roman" w:hAnsi="Times New Roman" w:eastAsia="宋体" w:cs="Times New Roman"/>
          <w:b w:val="0"/>
          <w:bCs/>
          <w:snapToGrid/>
          <w:kern w:val="2"/>
          <w:sz w:val="24"/>
          <w:szCs w:val="24"/>
          <w:u w:val="single"/>
          <w:vertAlign w:val="subscript"/>
          <w:lang w:val="en-US" w:eastAsia="zh-CN"/>
        </w:rPr>
        <w:t>3</w:t>
      </w:r>
      <w:r>
        <w:rPr>
          <w:rFonts w:hint="eastAsia" w:ascii="Times New Roman" w:hAnsi="Times New Roman" w:eastAsia="宋体" w:cs="Times New Roman"/>
          <w:b w:val="0"/>
          <w:bCs/>
          <w:snapToGrid/>
          <w:kern w:val="2"/>
          <w:sz w:val="24"/>
          <w:szCs w:val="24"/>
          <w:u w:val="single"/>
          <w:lang w:val="en-US" w:eastAsia="zh-CN"/>
        </w:rPr>
        <w:t>-N、总氮、总磷、动植物油和粪大肠菌群</w:t>
      </w:r>
      <w:r>
        <w:rPr>
          <w:rFonts w:hint="eastAsia" w:ascii="Times New Roman" w:hAnsi="Times New Roman" w:eastAsia="宋体" w:cs="Times New Roman"/>
          <w:b w:val="0"/>
          <w:bCs/>
          <w:snapToGrid/>
          <w:kern w:val="2"/>
          <w:sz w:val="24"/>
          <w:szCs w:val="24"/>
          <w:u w:val="single"/>
          <w:lang w:eastAsia="zh-CN"/>
        </w:rPr>
        <w:t>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检验用水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项目对肉类产品进行微生物检验，在细菌培养、检测中会涉及一定的器皿清洁用水，约为0.1m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/d，产污系数按90%计，则废水量为0.09m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eastAsia="宋体" w:cs="Times New Roman"/>
          <w:sz w:val="24"/>
          <w:szCs w:val="24"/>
          <w:lang w:val="en-US" w:eastAsia="zh-CN"/>
        </w:rPr>
        <w:t>28.8</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/a，在微生物检验完成后需先对器皿采用高压蒸气灭菌器进行灭活消毒后，再进行洗刷。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车辆冲洗用水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羊运输车辆运载能力为</w:t>
      </w:r>
      <w:r>
        <w:rPr>
          <w:rFonts w:hint="eastAsia" w:ascii="Times New Roman" w:hAnsi="Times New Roman" w:eastAsia="宋体" w:cs="Times New Roman"/>
          <w:sz w:val="24"/>
          <w:szCs w:val="24"/>
          <w:lang w:val="en-US" w:eastAsia="zh-CN"/>
        </w:rPr>
        <w:t>20头牛</w:t>
      </w:r>
      <w:r>
        <w:rPr>
          <w:rFonts w:hint="default" w:ascii="Times New Roman" w:hAnsi="Times New Roman" w:cs="Times New Roman"/>
          <w:sz w:val="24"/>
          <w:szCs w:val="24"/>
        </w:rPr>
        <w:t>/车次</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0</w:t>
      </w:r>
      <w:r>
        <w:rPr>
          <w:rFonts w:hint="eastAsia" w:ascii="Times New Roman" w:hAnsi="Times New Roman" w:eastAsia="宋体" w:cs="Times New Roman"/>
          <w:sz w:val="24"/>
          <w:szCs w:val="24"/>
          <w:lang w:eastAsia="zh-CN"/>
        </w:rPr>
        <w:t>只羊</w:t>
      </w:r>
      <w:r>
        <w:rPr>
          <w:rFonts w:hint="default" w:ascii="Times New Roman" w:hAnsi="Times New Roman" w:cs="Times New Roman"/>
          <w:sz w:val="24"/>
          <w:szCs w:val="24"/>
        </w:rPr>
        <w:t>/车次</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项目建成后</w:t>
      </w:r>
      <w:r>
        <w:rPr>
          <w:rFonts w:hint="eastAsia" w:ascii="Times New Roman" w:hAnsi="Times New Roman" w:eastAsia="宋体" w:cs="Times New Roman"/>
          <w:sz w:val="24"/>
          <w:szCs w:val="24"/>
          <w:lang w:eastAsia="zh-CN"/>
        </w:rPr>
        <w:t>牛羊</w:t>
      </w:r>
      <w:r>
        <w:rPr>
          <w:rFonts w:hint="default" w:ascii="Times New Roman" w:hAnsi="Times New Roman" w:cs="Times New Roman"/>
          <w:sz w:val="24"/>
          <w:szCs w:val="24"/>
        </w:rPr>
        <w:t>需运输</w:t>
      </w:r>
      <w:r>
        <w:rPr>
          <w:rFonts w:hint="eastAsia" w:ascii="Times New Roman" w:hAnsi="Times New Roman" w:eastAsia="宋体" w:cs="Times New Roman"/>
          <w:sz w:val="24"/>
          <w:szCs w:val="24"/>
          <w:lang w:val="en-US" w:eastAsia="zh-CN"/>
        </w:rPr>
        <w:t>3500</w:t>
      </w:r>
      <w:r>
        <w:rPr>
          <w:rFonts w:hint="default" w:ascii="Times New Roman" w:hAnsi="Times New Roman" w:cs="Times New Roman"/>
          <w:sz w:val="24"/>
          <w:szCs w:val="24"/>
        </w:rPr>
        <w:t>车次/年，平均约1</w:t>
      </w:r>
      <w:r>
        <w:rPr>
          <w:rFonts w:hint="eastAsia" w:ascii="Times New Roman" w:hAnsi="Times New Roman" w:eastAsia="宋体" w:cs="Times New Roman"/>
          <w:sz w:val="24"/>
          <w:szCs w:val="24"/>
          <w:lang w:val="en-US" w:eastAsia="zh-CN"/>
        </w:rPr>
        <w:t>1</w:t>
      </w:r>
      <w:r>
        <w:rPr>
          <w:rFonts w:hint="default" w:ascii="Times New Roman" w:hAnsi="Times New Roman" w:cs="Times New Roman"/>
          <w:sz w:val="24"/>
          <w:szCs w:val="24"/>
        </w:rPr>
        <w:t>车次/天。</w:t>
      </w:r>
      <w:r>
        <w:rPr>
          <w:rFonts w:hint="eastAsia" w:ascii="Times New Roman" w:hAnsi="Times New Roman" w:eastAsia="宋体" w:cs="Times New Roman"/>
          <w:sz w:val="24"/>
          <w:szCs w:val="24"/>
          <w:lang w:eastAsia="zh-CN"/>
        </w:rPr>
        <w:t>牛羊</w:t>
      </w:r>
      <w:r>
        <w:rPr>
          <w:rFonts w:hint="default" w:ascii="Times New Roman" w:hAnsi="Times New Roman" w:cs="Times New Roman"/>
          <w:sz w:val="24"/>
          <w:szCs w:val="24"/>
        </w:rPr>
        <w:t>卸下后</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空车到洗车台进行整车清洗，洗车台底部设有污水管，洗车废水直接进入污水站处理。项目平均每天运输1</w:t>
      </w:r>
      <w:r>
        <w:rPr>
          <w:rFonts w:hint="eastAsia" w:ascii="Times New Roman" w:hAnsi="Times New Roman" w:eastAsia="宋体" w:cs="Times New Roman"/>
          <w:sz w:val="24"/>
          <w:szCs w:val="24"/>
          <w:lang w:val="en-US" w:eastAsia="zh-CN"/>
        </w:rPr>
        <w:t>1车</w:t>
      </w:r>
      <w:r>
        <w:rPr>
          <w:rFonts w:hint="default" w:ascii="Times New Roman" w:hAnsi="Times New Roman" w:cs="Times New Roman"/>
          <w:sz w:val="24"/>
          <w:szCs w:val="24"/>
        </w:rPr>
        <w:t>次，根据《工业与城镇生活用水定额》（DB41/T385-2020），结合项目实际计算，本项目车辆冲洗系数50L/车，洗车用水量为0.</w:t>
      </w:r>
      <w:r>
        <w:rPr>
          <w:rFonts w:hint="eastAsia" w:ascii="Times New Roman" w:hAnsi="Times New Roman" w:eastAsia="宋体" w:cs="Times New Roman"/>
          <w:sz w:val="24"/>
          <w:szCs w:val="24"/>
          <w:lang w:val="en-US" w:eastAsia="zh-CN"/>
        </w:rPr>
        <w:t>55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 ，排放系数按照</w:t>
      </w:r>
      <w:r>
        <w:rPr>
          <w:rFonts w:hint="eastAsia" w:ascii="Times New Roman" w:hAnsi="Times New Roman" w:eastAsia="宋体" w:cs="Times New Roman"/>
          <w:sz w:val="24"/>
          <w:szCs w:val="24"/>
          <w:lang w:val="en-US" w:eastAsia="zh-CN"/>
        </w:rPr>
        <w:t>0.9</w:t>
      </w:r>
      <w:r>
        <w:rPr>
          <w:rFonts w:hint="default" w:ascii="Times New Roman" w:hAnsi="Times New Roman" w:cs="Times New Roman"/>
          <w:sz w:val="24"/>
          <w:szCs w:val="24"/>
        </w:rPr>
        <w:t>计算，废水产生量为0.</w:t>
      </w:r>
      <w:r>
        <w:rPr>
          <w:rFonts w:hint="eastAsia" w:ascii="Times New Roman" w:hAnsi="Times New Roman" w:eastAsia="宋体" w:cs="Times New Roman"/>
          <w:sz w:val="24"/>
          <w:szCs w:val="24"/>
          <w:lang w:val="en-US" w:eastAsia="zh-CN"/>
        </w:rPr>
        <w:t>495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/d，主要污染因子浓度为pH</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6.5-7.5、COD</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1200mg/L 、BOD</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550mg/L、SS</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550mg/L 、氨氮 55mg/L 、动植物油 15mg/L 、总磷 20mg/L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生活用水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本项目职工</w:t>
      </w:r>
      <w:r>
        <w:rPr>
          <w:rFonts w:hint="eastAsia" w:ascii="Times New Roman" w:hAnsi="Times New Roman" w:eastAsia="宋体" w:cs="Times New Roman"/>
          <w:sz w:val="24"/>
          <w:szCs w:val="24"/>
          <w:lang w:eastAsia="zh-CN"/>
        </w:rPr>
        <w:t>定员</w:t>
      </w:r>
      <w:r>
        <w:rPr>
          <w:rFonts w:hint="eastAsia" w:ascii="Times New Roman" w:hAnsi="Times New Roman" w:eastAsia="宋体" w:cs="Times New Roman"/>
          <w:sz w:val="24"/>
          <w:szCs w:val="24"/>
          <w:lang w:val="en-US" w:eastAsia="zh-CN"/>
        </w:rPr>
        <w:t>50</w:t>
      </w:r>
      <w:r>
        <w:rPr>
          <w:rFonts w:hint="default" w:ascii="Times New Roman" w:hAnsi="Times New Roman" w:cs="Times New Roman"/>
          <w:sz w:val="24"/>
          <w:szCs w:val="24"/>
        </w:rPr>
        <w:t>人，厂区设有食堂，提供部分员工食宿，根据河南省用水定额，评价对项目员工用水量取100L/人.d，则本项目职工生活用水量约为</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eastAsia="宋体" w:cs="Times New Roman"/>
          <w:sz w:val="24"/>
          <w:szCs w:val="24"/>
          <w:lang w:val="en-US" w:eastAsia="zh-CN"/>
        </w:rPr>
        <w:t>1600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/a。废水产生量按用水量的80%计，则本项目生活废水产生量为</w:t>
      </w:r>
      <w:r>
        <w:rPr>
          <w:rFonts w:hint="eastAsia" w:ascii="Times New Roman" w:hAnsi="Times New Roman" w:eastAsia="宋体" w:cs="Times New Roman"/>
          <w:sz w:val="24"/>
          <w:szCs w:val="24"/>
          <w:lang w:val="en-US" w:eastAsia="zh-CN"/>
        </w:rPr>
        <w:t>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eastAsia="宋体" w:cs="Times New Roman"/>
          <w:sz w:val="24"/>
          <w:szCs w:val="24"/>
          <w:lang w:val="en-US" w:eastAsia="zh-CN"/>
        </w:rPr>
        <w:t>1280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highlight w:val="yellow"/>
          <w:u w:val="single"/>
          <w:lang w:eastAsia="zh-CN"/>
        </w:rPr>
      </w:pPr>
      <w:r>
        <w:rPr>
          <w:rFonts w:hint="eastAsia" w:ascii="Times New Roman" w:hAnsi="Times New Roman" w:eastAsia="宋体" w:cs="Times New Roman"/>
          <w:sz w:val="24"/>
          <w:szCs w:val="24"/>
          <w:highlight w:val="none"/>
          <w:u w:val="single"/>
          <w:lang w:eastAsia="zh-CN"/>
        </w:rPr>
        <w:t>（</w:t>
      </w:r>
      <w:r>
        <w:rPr>
          <w:rFonts w:hint="eastAsia" w:ascii="Times New Roman" w:hAnsi="Times New Roman" w:eastAsia="宋体" w:cs="Times New Roman"/>
          <w:sz w:val="24"/>
          <w:szCs w:val="24"/>
          <w:highlight w:val="none"/>
          <w:u w:val="single"/>
          <w:lang w:val="en-US" w:eastAsia="zh-CN"/>
        </w:rPr>
        <w:t>6</w:t>
      </w:r>
      <w:r>
        <w:rPr>
          <w:rFonts w:hint="eastAsia" w:ascii="Times New Roman" w:hAnsi="Times New Roman" w:eastAsia="宋体" w:cs="Times New Roman"/>
          <w:sz w:val="24"/>
          <w:szCs w:val="24"/>
          <w:highlight w:val="none"/>
          <w:u w:val="single"/>
          <w:lang w:eastAsia="zh-CN"/>
        </w:rPr>
        <w:t>）生物除臭塔用水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本项目设置1</w:t>
      </w:r>
      <w:r>
        <w:rPr>
          <w:rFonts w:hint="eastAsia" w:ascii="Times New Roman" w:hAnsi="Times New Roman" w:cs="Times New Roman"/>
          <w:sz w:val="24"/>
          <w:szCs w:val="24"/>
          <w:u w:val="single"/>
          <w:lang w:val="en-US" w:eastAsia="zh-CN"/>
        </w:rPr>
        <w:t>个</w:t>
      </w:r>
      <w:r>
        <w:rPr>
          <w:rFonts w:hint="eastAsia" w:ascii="Times New Roman" w:hAnsi="Times New Roman" w:eastAsia="宋体" w:cs="Times New Roman"/>
          <w:sz w:val="24"/>
          <w:szCs w:val="24"/>
          <w:u w:val="single"/>
          <w:lang w:eastAsia="zh-CN"/>
        </w:rPr>
        <w:t>生物除臭塔</w:t>
      </w:r>
      <w:r>
        <w:rPr>
          <w:rFonts w:hint="default" w:ascii="Times New Roman" w:hAnsi="Times New Roman" w:cs="Times New Roman"/>
          <w:sz w:val="24"/>
          <w:szCs w:val="24"/>
          <w:u w:val="single"/>
          <w:lang w:val="en-US" w:eastAsia="zh-CN"/>
        </w:rPr>
        <w:t>（喷淋塔）处理</w:t>
      </w:r>
      <w:r>
        <w:rPr>
          <w:rFonts w:hint="eastAsia" w:ascii="Times New Roman" w:hAnsi="Times New Roman" w:cs="Times New Roman"/>
          <w:sz w:val="24"/>
          <w:szCs w:val="24"/>
          <w:u w:val="single"/>
          <w:lang w:val="en-US" w:eastAsia="zh-CN"/>
        </w:rPr>
        <w:t>待宰间、</w:t>
      </w:r>
      <w:r>
        <w:rPr>
          <w:rFonts w:hint="default" w:ascii="Times New Roman" w:hAnsi="Times New Roman" w:cs="Times New Roman"/>
          <w:sz w:val="24"/>
          <w:szCs w:val="24"/>
          <w:u w:val="single"/>
          <w:lang w:val="en-US" w:eastAsia="zh-CN"/>
        </w:rPr>
        <w:t>屠宰车间</w:t>
      </w:r>
      <w:r>
        <w:rPr>
          <w:rFonts w:hint="eastAsia" w:ascii="Times New Roman" w:hAnsi="Times New Roman" w:cs="Times New Roman"/>
          <w:sz w:val="24"/>
          <w:szCs w:val="24"/>
          <w:u w:val="single"/>
          <w:lang w:val="en-US" w:eastAsia="zh-CN"/>
        </w:rPr>
        <w:t>、一般固废暂存间</w:t>
      </w:r>
      <w:r>
        <w:rPr>
          <w:rFonts w:hint="default" w:ascii="Times New Roman" w:hAnsi="Times New Roman" w:cs="Times New Roman"/>
          <w:sz w:val="24"/>
          <w:szCs w:val="24"/>
          <w:u w:val="single"/>
          <w:lang w:val="en-US" w:eastAsia="zh-CN"/>
        </w:rPr>
        <w:t>及污水处理站恶臭气体。</w:t>
      </w:r>
      <w:r>
        <w:rPr>
          <w:rFonts w:hint="eastAsia" w:ascii="Times New Roman" w:hAnsi="Times New Roman" w:cs="Times New Roman"/>
          <w:sz w:val="24"/>
          <w:szCs w:val="24"/>
          <w:u w:val="single"/>
          <w:lang w:val="en-US" w:eastAsia="zh-CN"/>
        </w:rPr>
        <w:t>除臭</w:t>
      </w:r>
      <w:r>
        <w:rPr>
          <w:rFonts w:hint="default" w:ascii="Times New Roman" w:hAnsi="Times New Roman" w:cs="Times New Roman"/>
          <w:sz w:val="24"/>
          <w:szCs w:val="24"/>
          <w:u w:val="single"/>
          <w:lang w:val="en-US" w:eastAsia="zh-CN"/>
        </w:rPr>
        <w:t>塔设计处理风量共计为</w:t>
      </w:r>
      <w:r>
        <w:rPr>
          <w:rFonts w:hint="eastAsia" w:ascii="Times New Roman" w:hAnsi="Times New Roman" w:cs="Times New Roman"/>
          <w:sz w:val="24"/>
          <w:szCs w:val="24"/>
          <w:u w:val="single"/>
          <w:lang w:val="en-US" w:eastAsia="zh-CN"/>
        </w:rPr>
        <w:t>50</w:t>
      </w:r>
      <w:r>
        <w:rPr>
          <w:rFonts w:hint="default" w:ascii="Times New Roman" w:hAnsi="Times New Roman" w:cs="Times New Roman"/>
          <w:sz w:val="24"/>
          <w:szCs w:val="24"/>
          <w:u w:val="single"/>
          <w:lang w:val="en-US" w:eastAsia="zh-CN"/>
        </w:rPr>
        <w:t>000m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/h</w:t>
      </w:r>
      <w:r>
        <w:rPr>
          <w:rFonts w:hint="eastAsia" w:ascii="Times New Roman" w:hAnsi="Times New Roman" w:cs="Times New Roman"/>
          <w:sz w:val="24"/>
          <w:szCs w:val="24"/>
          <w:u w:val="single"/>
          <w:lang w:val="en-US" w:eastAsia="zh-CN"/>
        </w:rPr>
        <w:t>（待宰车间10000</w:t>
      </w:r>
      <w:r>
        <w:rPr>
          <w:rFonts w:hint="default" w:ascii="Times New Roman" w:hAnsi="Times New Roman" w:cs="Times New Roman"/>
          <w:sz w:val="24"/>
          <w:szCs w:val="24"/>
          <w:u w:val="single"/>
          <w:lang w:val="en-US" w:eastAsia="zh-CN"/>
        </w:rPr>
        <w:t>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/h</w:t>
      </w:r>
      <w:r>
        <w:rPr>
          <w:rFonts w:hint="eastAsia" w:ascii="Times New Roman" w:hAnsi="Times New Roman" w:cs="Times New Roman"/>
          <w:sz w:val="24"/>
          <w:szCs w:val="24"/>
          <w:u w:val="single"/>
          <w:lang w:val="en-US" w:eastAsia="zh-CN"/>
        </w:rPr>
        <w:t>、屠宰车间风量25000m</w:t>
      </w:r>
      <w:r>
        <w:rPr>
          <w:rFonts w:hint="eastAsia" w:ascii="Times New Roman" w:hAnsi="Times New Roman" w:cs="Times New Roman"/>
          <w:sz w:val="24"/>
          <w:szCs w:val="24"/>
          <w:u w:val="single"/>
          <w:vertAlign w:val="superscript"/>
          <w:lang w:val="en-US" w:eastAsia="zh-CN"/>
        </w:rPr>
        <w:t>3</w:t>
      </w:r>
      <w:r>
        <w:rPr>
          <w:rFonts w:hint="eastAsia" w:ascii="Times New Roman" w:hAnsi="Times New Roman" w:cs="Times New Roman"/>
          <w:sz w:val="24"/>
          <w:szCs w:val="24"/>
          <w:u w:val="single"/>
          <w:lang w:val="en-US" w:eastAsia="zh-CN"/>
        </w:rPr>
        <w:t>/h、污水处理站风量10000m</w:t>
      </w:r>
      <w:r>
        <w:rPr>
          <w:rFonts w:hint="eastAsia" w:ascii="Times New Roman" w:hAnsi="Times New Roman" w:cs="Times New Roman"/>
          <w:sz w:val="24"/>
          <w:szCs w:val="24"/>
          <w:u w:val="single"/>
          <w:vertAlign w:val="superscript"/>
          <w:lang w:val="en-US" w:eastAsia="zh-CN"/>
        </w:rPr>
        <w:t>3</w:t>
      </w:r>
      <w:r>
        <w:rPr>
          <w:rFonts w:hint="eastAsia" w:ascii="Times New Roman" w:hAnsi="Times New Roman" w:cs="Times New Roman"/>
          <w:sz w:val="24"/>
          <w:szCs w:val="24"/>
          <w:u w:val="single"/>
          <w:lang w:val="en-US" w:eastAsia="zh-CN"/>
        </w:rPr>
        <w:t>/h、一般固废暂存间风量5000m</w:t>
      </w:r>
      <w:r>
        <w:rPr>
          <w:rFonts w:hint="eastAsia" w:ascii="Times New Roman" w:hAnsi="Times New Roman" w:cs="Times New Roman"/>
          <w:sz w:val="24"/>
          <w:szCs w:val="24"/>
          <w:u w:val="single"/>
          <w:vertAlign w:val="superscript"/>
          <w:lang w:val="en-US" w:eastAsia="zh-CN"/>
        </w:rPr>
        <w:t>3</w:t>
      </w:r>
      <w:r>
        <w:rPr>
          <w:rFonts w:hint="eastAsia" w:ascii="Times New Roman" w:hAnsi="Times New Roman" w:cs="Times New Roman"/>
          <w:sz w:val="24"/>
          <w:szCs w:val="24"/>
          <w:u w:val="single"/>
          <w:lang w:val="en-US" w:eastAsia="zh-CN"/>
        </w:rPr>
        <w:t>/h）</w:t>
      </w:r>
      <w:r>
        <w:rPr>
          <w:rFonts w:hint="default" w:ascii="Times New Roman" w:hAnsi="Times New Roman" w:cs="Times New Roman"/>
          <w:sz w:val="24"/>
          <w:szCs w:val="24"/>
          <w:u w:val="singl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喷淋塔液气比按1L/m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计，喷淋塔用水循环使用，喷淋塔循环水量为</w:t>
      </w:r>
      <w:r>
        <w:rPr>
          <w:rFonts w:hint="eastAsia" w:ascii="Times New Roman" w:hAnsi="Times New Roman" w:cs="Times New Roman"/>
          <w:sz w:val="24"/>
          <w:szCs w:val="24"/>
          <w:u w:val="single"/>
          <w:lang w:val="en-US" w:eastAsia="zh-CN"/>
        </w:rPr>
        <w:t>50</w:t>
      </w:r>
      <w:r>
        <w:rPr>
          <w:rFonts w:hint="default" w:ascii="Times New Roman" w:hAnsi="Times New Roman" w:cs="Times New Roman"/>
          <w:sz w:val="24"/>
          <w:szCs w:val="24"/>
          <w:u w:val="single"/>
          <w:lang w:val="en-US" w:eastAsia="zh-CN"/>
        </w:rPr>
        <w:t>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/h、</w:t>
      </w:r>
      <w:r>
        <w:rPr>
          <w:rFonts w:hint="eastAsia" w:ascii="Times New Roman" w:hAnsi="Times New Roman" w:cs="Times New Roman"/>
          <w:sz w:val="24"/>
          <w:szCs w:val="24"/>
          <w:u w:val="single"/>
          <w:lang w:val="en-US" w:eastAsia="zh-CN"/>
        </w:rPr>
        <w:t>800</w:t>
      </w:r>
      <w:r>
        <w:rPr>
          <w:rFonts w:hint="default" w:ascii="Times New Roman" w:hAnsi="Times New Roman" w:cs="Times New Roman"/>
          <w:sz w:val="24"/>
          <w:szCs w:val="24"/>
          <w:u w:val="single"/>
          <w:lang w:val="en-US" w:eastAsia="zh-CN"/>
        </w:rPr>
        <w:t>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/d。喷淋塔蒸发损耗按循环水量的1%计，则喷淋塔蒸发耗损量为</w:t>
      </w:r>
      <w:r>
        <w:rPr>
          <w:rFonts w:hint="eastAsia" w:ascii="Times New Roman" w:hAnsi="Times New Roman" w:cs="Times New Roman"/>
          <w:sz w:val="24"/>
          <w:szCs w:val="24"/>
          <w:u w:val="single"/>
          <w:lang w:val="en-US" w:eastAsia="zh-CN"/>
        </w:rPr>
        <w:t>8</w:t>
      </w:r>
      <w:r>
        <w:rPr>
          <w:rFonts w:hint="default" w:ascii="Times New Roman" w:hAnsi="Times New Roman" w:cs="Times New Roman"/>
          <w:sz w:val="24"/>
          <w:szCs w:val="24"/>
          <w:u w:val="single"/>
          <w:lang w:val="en-US" w:eastAsia="zh-CN"/>
        </w:rPr>
        <w:t>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/d（</w:t>
      </w:r>
      <w:r>
        <w:rPr>
          <w:rFonts w:hint="eastAsia" w:ascii="Times New Roman" w:hAnsi="Times New Roman" w:cs="Times New Roman"/>
          <w:sz w:val="24"/>
          <w:szCs w:val="24"/>
          <w:u w:val="single"/>
          <w:lang w:val="en-US" w:eastAsia="zh-CN"/>
        </w:rPr>
        <w:t>2560</w:t>
      </w:r>
      <w:r>
        <w:rPr>
          <w:rFonts w:hint="default" w:ascii="Times New Roman" w:hAnsi="Times New Roman" w:cs="Times New Roman"/>
          <w:sz w:val="24"/>
          <w:szCs w:val="24"/>
          <w:u w:val="single"/>
          <w:lang w:val="en-US" w:eastAsia="zh-CN"/>
        </w:rPr>
        <w:t>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/a），</w:t>
      </w:r>
      <w:r>
        <w:rPr>
          <w:rFonts w:hint="eastAsia" w:ascii="Times New Roman" w:hAnsi="Times New Roman" w:cs="Times New Roman"/>
          <w:sz w:val="24"/>
          <w:szCs w:val="24"/>
          <w:u w:val="single"/>
          <w:lang w:val="en-US" w:eastAsia="zh-CN"/>
        </w:rPr>
        <w:t>即</w:t>
      </w:r>
      <w:r>
        <w:rPr>
          <w:rFonts w:hint="default" w:ascii="Times New Roman" w:hAnsi="Times New Roman" w:cs="Times New Roman"/>
          <w:sz w:val="24"/>
          <w:szCs w:val="24"/>
          <w:u w:val="single"/>
          <w:lang w:val="en-US" w:eastAsia="zh-CN"/>
        </w:rPr>
        <w:t>喷淋塔需补充水量为</w:t>
      </w:r>
      <w:r>
        <w:rPr>
          <w:rFonts w:hint="eastAsia" w:ascii="Times New Roman" w:hAnsi="Times New Roman" w:cs="Times New Roman"/>
          <w:sz w:val="24"/>
          <w:szCs w:val="24"/>
          <w:u w:val="single"/>
          <w:lang w:val="en-US" w:eastAsia="zh-CN"/>
        </w:rPr>
        <w:t>8</w:t>
      </w:r>
      <w:r>
        <w:rPr>
          <w:rFonts w:hint="default" w:ascii="Times New Roman" w:hAnsi="Times New Roman" w:cs="Times New Roman"/>
          <w:sz w:val="24"/>
          <w:szCs w:val="24"/>
          <w:u w:val="single"/>
          <w:lang w:val="en-US" w:eastAsia="zh-CN"/>
        </w:rPr>
        <w:t>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/d（</w:t>
      </w:r>
      <w:r>
        <w:rPr>
          <w:rFonts w:hint="eastAsia" w:ascii="Times New Roman" w:hAnsi="Times New Roman" w:cs="Times New Roman"/>
          <w:sz w:val="24"/>
          <w:szCs w:val="24"/>
          <w:u w:val="single"/>
          <w:lang w:val="en-US" w:eastAsia="zh-CN"/>
        </w:rPr>
        <w:t>2560</w:t>
      </w:r>
      <w:r>
        <w:rPr>
          <w:rFonts w:hint="default" w:ascii="Times New Roman" w:hAnsi="Times New Roman" w:cs="Times New Roman"/>
          <w:sz w:val="24"/>
          <w:szCs w:val="24"/>
          <w:u w:val="single"/>
          <w:lang w:val="en-US" w:eastAsia="zh-CN"/>
        </w:rPr>
        <w:t>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lang w:val="en-US" w:eastAsia="zh-CN"/>
        </w:rPr>
        <w:t>/a）。根据建设单位提供资料，</w:t>
      </w:r>
      <w:r>
        <w:rPr>
          <w:rFonts w:hint="eastAsia" w:ascii="Times New Roman" w:hAnsi="Times New Roman" w:cs="Times New Roman"/>
          <w:sz w:val="24"/>
          <w:szCs w:val="24"/>
          <w:u w:val="single"/>
          <w:lang w:val="en-US" w:eastAsia="zh-CN"/>
        </w:rPr>
        <w:t>生物除臭塔喷淋</w:t>
      </w:r>
      <w:r>
        <w:rPr>
          <w:rFonts w:hint="default" w:ascii="Times New Roman" w:hAnsi="Times New Roman" w:cs="Times New Roman"/>
          <w:sz w:val="24"/>
          <w:szCs w:val="24"/>
          <w:u w:val="single"/>
          <w:lang w:val="en-US" w:eastAsia="zh-CN"/>
        </w:rPr>
        <w:t>用水循环使用，不外排。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eastAsia="zh-CN"/>
        </w:rPr>
        <w:t>）厂区全部用水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w:t>
      </w:r>
      <w:r>
        <w:rPr>
          <w:rFonts w:hint="eastAsia" w:ascii="Times New Roman" w:hAnsi="Times New Roman" w:eastAsia="宋体" w:cs="Times New Roman"/>
          <w:sz w:val="24"/>
          <w:szCs w:val="24"/>
          <w:lang w:eastAsia="zh-CN"/>
        </w:rPr>
        <w:t>本项目厂区全部新鲜水用量为</w:t>
      </w:r>
      <w:r>
        <w:rPr>
          <w:rFonts w:hint="eastAsia" w:ascii="Times New Roman" w:hAnsi="Times New Roman" w:eastAsia="宋体" w:cs="Times New Roman"/>
          <w:sz w:val="24"/>
          <w:szCs w:val="24"/>
          <w:lang w:val="en-US" w:eastAsia="zh-CN"/>
        </w:rPr>
        <w:t>292.45t/d，93584t/a，废水产生量为255.54t/d，81772.8t</w:t>
      </w:r>
      <w:r>
        <w:rPr>
          <w:rFonts w:hint="default" w:ascii="Times New Roman" w:hAnsi="Times New Roman" w:cs="Times New Roman"/>
          <w:sz w:val="24"/>
          <w:szCs w:val="24"/>
        </w:rPr>
        <w:t>/a。</w:t>
      </w:r>
    </w:p>
    <w:p>
      <w:pPr>
        <w:spacing w:before="104" w:line="217" w:lineRule="auto"/>
        <w:ind w:firstLine="472" w:firstLineChars="200"/>
        <w:rPr>
          <w:rFonts w:ascii="宋体" w:hAnsi="宋体" w:eastAsia="宋体" w:cs="宋体"/>
          <w:sz w:val="24"/>
          <w:szCs w:val="24"/>
        </w:rPr>
      </w:pPr>
      <w:r>
        <w:rPr>
          <w:rFonts w:ascii="宋体" w:hAnsi="宋体" w:eastAsia="宋体" w:cs="宋体"/>
          <w:spacing w:val="-2"/>
          <w:sz w:val="24"/>
          <w:szCs w:val="24"/>
        </w:rPr>
        <w:t>本项目给排水情况具体见表</w:t>
      </w:r>
      <w:r>
        <w:rPr>
          <w:rFonts w:ascii="Times New Roman" w:hAnsi="Times New Roman" w:eastAsia="Times New Roman" w:cs="Times New Roman"/>
          <w:spacing w:val="-2"/>
          <w:sz w:val="24"/>
          <w:szCs w:val="24"/>
        </w:rPr>
        <w:t>3-9</w:t>
      </w:r>
      <w:r>
        <w:rPr>
          <w:rFonts w:ascii="宋体" w:hAnsi="宋体" w:eastAsia="宋体" w:cs="宋体"/>
          <w:spacing w:val="-2"/>
          <w:sz w:val="24"/>
          <w:szCs w:val="24"/>
        </w:rPr>
        <w:t>，本项目运营期水平衡图见图</w:t>
      </w:r>
      <w:r>
        <w:rPr>
          <w:rFonts w:ascii="Times New Roman" w:hAnsi="Times New Roman" w:eastAsia="Times New Roman" w:cs="Times New Roman"/>
          <w:spacing w:val="-2"/>
          <w:sz w:val="24"/>
          <w:szCs w:val="24"/>
        </w:rPr>
        <w:t>3-3</w:t>
      </w:r>
      <w:r>
        <w:rPr>
          <w:rFonts w:ascii="宋体" w:hAnsi="宋体" w:eastAsia="宋体" w:cs="宋体"/>
          <w:spacing w:val="-2"/>
          <w:sz w:val="24"/>
          <w:szCs w:val="24"/>
        </w:rPr>
        <w:t>。</w:t>
      </w: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黑体" w:eastAsia="黑体"/>
          <w:sz w:val="24"/>
        </w:rPr>
      </w:pPr>
      <w:r>
        <w:rPr>
          <w:rFonts w:ascii="黑体" w:eastAsia="黑体"/>
          <w:sz w:val="24"/>
        </w:rPr>
        <mc:AlternateContent>
          <mc:Choice Requires="wpc">
            <w:drawing>
              <wp:inline distT="0" distB="0" distL="114300" distR="114300">
                <wp:extent cx="5692140" cy="5640705"/>
                <wp:effectExtent l="0" t="0" r="0" b="0"/>
                <wp:docPr id="71" name="画布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矩形 3"/>
                        <wps:cNvSpPr/>
                        <wps:spPr>
                          <a:xfrm>
                            <a:off x="1466850" y="2308860"/>
                            <a:ext cx="933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szCs w:val="21"/>
                                </w:rPr>
                              </w:pPr>
                              <w:r>
                                <w:rPr>
                                  <w:rFonts w:hint="eastAsia" w:eastAsia="宋体"/>
                                  <w:szCs w:val="21"/>
                                  <w:lang w:eastAsia="zh-CN"/>
                                </w:rPr>
                                <w:t>检验</w:t>
                              </w:r>
                              <w:r>
                                <w:rPr>
                                  <w:rFonts w:hint="eastAsia"/>
                                  <w:szCs w:val="21"/>
                                </w:rPr>
                                <w:t>用水</w:t>
                              </w:r>
                            </w:p>
                          </w:txbxContent>
                        </wps:txbx>
                        <wps:bodyPr lIns="54000" tIns="45720" rIns="54000" bIns="45720" upright="1"/>
                      </wps:wsp>
                      <wps:wsp>
                        <wps:cNvPr id="24" name="直接连接符 18"/>
                        <wps:cNvCnPr/>
                        <wps:spPr>
                          <a:xfrm>
                            <a:off x="638175" y="506730"/>
                            <a:ext cx="6350" cy="4380865"/>
                          </a:xfrm>
                          <a:prstGeom prst="line">
                            <a:avLst/>
                          </a:prstGeom>
                          <a:ln w="9525" cap="flat" cmpd="sng">
                            <a:solidFill>
                              <a:srgbClr val="000000"/>
                            </a:solidFill>
                            <a:prstDash val="solid"/>
                            <a:headEnd type="none" w="med" len="med"/>
                            <a:tailEnd type="none" w="med" len="med"/>
                          </a:ln>
                        </wps:spPr>
                        <wps:bodyPr upright="1"/>
                      </wps:wsp>
                      <wps:wsp>
                        <wps:cNvPr id="25" name="矩形 20"/>
                        <wps:cNvSpPr/>
                        <wps:spPr>
                          <a:xfrm>
                            <a:off x="324485" y="285750"/>
                            <a:ext cx="561975" cy="188595"/>
                          </a:xfrm>
                          <a:prstGeom prst="rect">
                            <a:avLst/>
                          </a:prstGeom>
                          <a:noFill/>
                          <a:ln>
                            <a:noFill/>
                          </a:ln>
                        </wps:spPr>
                        <wps:txbx>
                          <w:txbxContent>
                            <w:p>
                              <w:pPr>
                                <w:jc w:val="center"/>
                                <w:rPr>
                                  <w:rFonts w:hint="default" w:ascii="Times New Roman" w:hAnsi="Times New Roman" w:eastAsia="黑体" w:cs="Times New Roman"/>
                                  <w:b/>
                                  <w:bCs w:val="0"/>
                                  <w:sz w:val="24"/>
                                  <w:szCs w:val="24"/>
                                  <w:highlight w:val="none"/>
                                  <w:lang w:val="en-US" w:eastAsia="zh-CN"/>
                                </w:rPr>
                              </w:pPr>
                              <w:r>
                                <w:rPr>
                                  <w:rFonts w:hint="eastAsia" w:eastAsia="黑体" w:cs="Times New Roman"/>
                                  <w:b/>
                                  <w:bCs w:val="0"/>
                                  <w:sz w:val="24"/>
                                  <w:szCs w:val="24"/>
                                  <w:highlight w:val="none"/>
                                  <w:lang w:val="en-US" w:eastAsia="zh-CN"/>
                                </w:rPr>
                                <w:t>292.45</w:t>
                              </w:r>
                            </w:p>
                          </w:txbxContent>
                        </wps:txbx>
                        <wps:bodyPr lIns="18000" tIns="0" rIns="18000" bIns="0" upright="1"/>
                      </wps:wsp>
                      <wps:wsp>
                        <wps:cNvPr id="35" name="直接连接符 22"/>
                        <wps:cNvCnPr/>
                        <wps:spPr>
                          <a:xfrm>
                            <a:off x="3307080" y="812800"/>
                            <a:ext cx="0" cy="1504950"/>
                          </a:xfrm>
                          <a:prstGeom prst="line">
                            <a:avLst/>
                          </a:prstGeom>
                          <a:ln w="9525" cap="flat" cmpd="sng">
                            <a:solidFill>
                              <a:srgbClr val="000000"/>
                            </a:solidFill>
                            <a:prstDash val="solid"/>
                            <a:headEnd type="none" w="med" len="med"/>
                            <a:tailEnd type="stealth" w="med" len="med"/>
                          </a:ln>
                        </wps:spPr>
                        <wps:bodyPr upright="1"/>
                      </wps:wsp>
                      <wps:wsp>
                        <wps:cNvPr id="38" name="矩形 23"/>
                        <wps:cNvSpPr/>
                        <wps:spPr>
                          <a:xfrm>
                            <a:off x="2533650" y="2270760"/>
                            <a:ext cx="333375" cy="198120"/>
                          </a:xfrm>
                          <a:prstGeom prst="rect">
                            <a:avLst/>
                          </a:prstGeom>
                          <a:noFill/>
                          <a:ln>
                            <a:noFill/>
                          </a:ln>
                        </wps:spPr>
                        <wps:txbx>
                          <w:txbxContent>
                            <w:p>
                              <w:pPr>
                                <w:jc w:val="center"/>
                                <w:rPr>
                                  <w:rFonts w:hint="default" w:eastAsia="宋体"/>
                                  <w:szCs w:val="21"/>
                                  <w:lang w:val="en-US" w:eastAsia="zh-CN"/>
                                </w:rPr>
                              </w:pPr>
                              <w:r>
                                <w:rPr>
                                  <w:rFonts w:hint="eastAsia" w:eastAsia="宋体"/>
                                  <w:szCs w:val="21"/>
                                  <w:lang w:val="en-US" w:eastAsia="zh-CN"/>
                                </w:rPr>
                                <w:t>0.09</w:t>
                              </w:r>
                            </w:p>
                          </w:txbxContent>
                        </wps:txbx>
                        <wps:bodyPr lIns="18000" tIns="0" rIns="18000" bIns="0" upright="1"/>
                      </wps:wsp>
                      <wps:wsp>
                        <wps:cNvPr id="39" name="直接连接符 29"/>
                        <wps:cNvCnPr/>
                        <wps:spPr>
                          <a:xfrm>
                            <a:off x="4485640" y="2697480"/>
                            <a:ext cx="635" cy="272415"/>
                          </a:xfrm>
                          <a:prstGeom prst="line">
                            <a:avLst/>
                          </a:prstGeom>
                          <a:ln w="9525" cap="flat" cmpd="sng">
                            <a:solidFill>
                              <a:srgbClr val="000000"/>
                            </a:solidFill>
                            <a:prstDash val="solid"/>
                            <a:headEnd type="none" w="med" len="med"/>
                            <a:tailEnd type="triangle" w="med" len="med"/>
                          </a:ln>
                        </wps:spPr>
                        <wps:bodyPr upright="1"/>
                      </wps:wsp>
                      <wps:wsp>
                        <wps:cNvPr id="45" name="矩形 33"/>
                        <wps:cNvSpPr/>
                        <wps:spPr>
                          <a:xfrm>
                            <a:off x="669925" y="5220970"/>
                            <a:ext cx="3258185" cy="226060"/>
                          </a:xfrm>
                          <a:prstGeom prst="rect">
                            <a:avLst/>
                          </a:prstGeom>
                          <a:noFill/>
                          <a:ln>
                            <a:noFill/>
                          </a:ln>
                        </wps:spPr>
                        <wps:txbx>
                          <w:txbxContent>
                            <w:p>
                              <w:pPr>
                                <w:jc w:val="center"/>
                                <w:rPr>
                                  <w:rFonts w:ascii="黑体" w:hAnsi="黑体" w:eastAsia="黑体"/>
                                  <w:szCs w:val="21"/>
                                  <w:highlight w:val="yellow"/>
                                </w:rPr>
                              </w:pPr>
                              <w:r>
                                <w:rPr>
                                  <w:rFonts w:hint="eastAsia" w:ascii="黑体" w:hAnsi="黑体" w:eastAsia="黑体"/>
                                  <w:sz w:val="24"/>
                                </w:rPr>
                                <w:t>图</w:t>
                              </w:r>
                              <w:r>
                                <w:rPr>
                                  <w:rFonts w:hint="eastAsia" w:ascii="黑体" w:hAnsi="黑体" w:eastAsia="黑体"/>
                                  <w:sz w:val="24"/>
                                  <w:lang w:val="en-US" w:eastAsia="zh-CN"/>
                                </w:rPr>
                                <w:t>3-3</w:t>
                              </w:r>
                              <w:r>
                                <w:rPr>
                                  <w:rFonts w:hint="eastAsia" w:ascii="黑体" w:hAnsi="黑体" w:eastAsia="黑体"/>
                                  <w:sz w:val="24"/>
                                </w:rPr>
                                <w:t xml:space="preserve">    </w:t>
                              </w:r>
                              <w:r>
                                <w:rPr>
                                  <w:rFonts w:hint="eastAsia" w:ascii="黑体" w:hAnsi="黑体" w:eastAsia="黑体"/>
                                  <w:sz w:val="24"/>
                                  <w:highlight w:val="none"/>
                                  <w:lang w:eastAsia="zh-CN"/>
                                </w:rPr>
                                <w:t>项目用排水</w:t>
                              </w:r>
                              <w:r>
                                <w:rPr>
                                  <w:rFonts w:ascii="黑体" w:hAnsi="黑体" w:eastAsia="黑体"/>
                                  <w:sz w:val="24"/>
                                  <w:highlight w:val="none"/>
                                </w:rPr>
                                <w:t>平衡图</w:t>
                              </w:r>
                              <w:r>
                                <w:rPr>
                                  <w:rFonts w:hint="eastAsia" w:ascii="黑体" w:hAnsi="黑体" w:eastAsia="黑体"/>
                                  <w:sz w:val="24"/>
                                  <w:highlight w:val="none"/>
                                </w:rPr>
                                <w:t xml:space="preserve">    </w:t>
                              </w:r>
                              <w:r>
                                <w:rPr>
                                  <w:rFonts w:hint="eastAsia" w:ascii="黑体" w:hAnsi="黑体" w:eastAsia="黑体"/>
                                  <w:szCs w:val="21"/>
                                  <w:highlight w:val="none"/>
                                </w:rPr>
                                <w:t>单位：</w:t>
                              </w:r>
                              <w:r>
                                <w:rPr>
                                  <w:rFonts w:hint="eastAsia" w:ascii="Calibri" w:hAnsi="Calibri"/>
                                  <w:szCs w:val="21"/>
                                  <w:highlight w:val="none"/>
                                </w:rPr>
                                <w:t>t</w:t>
                              </w:r>
                              <w:r>
                                <w:rPr>
                                  <w:rFonts w:ascii="Calibri" w:hAnsi="Calibri"/>
                                  <w:szCs w:val="21"/>
                                  <w:highlight w:val="none"/>
                                </w:rPr>
                                <w:t>/d</w:t>
                              </w:r>
                            </w:p>
                          </w:txbxContent>
                        </wps:txbx>
                        <wps:bodyPr lIns="18000" tIns="0" rIns="18000" bIns="0" upright="1"/>
                      </wps:wsp>
                      <wps:wsp>
                        <wps:cNvPr id="46" name="直接连接符 35"/>
                        <wps:cNvCnPr/>
                        <wps:spPr>
                          <a:xfrm flipV="1">
                            <a:off x="647700" y="2461895"/>
                            <a:ext cx="807720" cy="3175"/>
                          </a:xfrm>
                          <a:prstGeom prst="line">
                            <a:avLst/>
                          </a:prstGeom>
                          <a:ln w="9525" cap="flat" cmpd="sng">
                            <a:solidFill>
                              <a:srgbClr val="000000"/>
                            </a:solidFill>
                            <a:prstDash val="solid"/>
                            <a:headEnd type="none" w="med" len="med"/>
                            <a:tailEnd type="triangle" w="med" len="med"/>
                          </a:ln>
                        </wps:spPr>
                        <wps:bodyPr upright="1"/>
                      </wps:wsp>
                      <wps:wsp>
                        <wps:cNvPr id="47" name="矩形 36"/>
                        <wps:cNvSpPr/>
                        <wps:spPr>
                          <a:xfrm>
                            <a:off x="1476375" y="1464945"/>
                            <a:ext cx="933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屠宰用水</w:t>
                              </w:r>
                            </w:p>
                          </w:txbxContent>
                        </wps:txbx>
                        <wps:bodyPr lIns="54000" tIns="45720" rIns="54000" bIns="45720" upright="1"/>
                      </wps:wsp>
                      <wps:wsp>
                        <wps:cNvPr id="48" name="矩形 37"/>
                        <wps:cNvSpPr/>
                        <wps:spPr>
                          <a:xfrm>
                            <a:off x="838200" y="2257425"/>
                            <a:ext cx="419100" cy="198120"/>
                          </a:xfrm>
                          <a:prstGeom prst="rect">
                            <a:avLst/>
                          </a:prstGeom>
                          <a:noFill/>
                          <a:ln>
                            <a:noFill/>
                          </a:ln>
                        </wps:spPr>
                        <wps:txbx>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0.1</w:t>
                              </w:r>
                            </w:p>
                          </w:txbxContent>
                        </wps:txbx>
                        <wps:bodyPr lIns="18000" tIns="0" rIns="18000" bIns="0" upright="1"/>
                      </wps:wsp>
                      <wps:wsp>
                        <wps:cNvPr id="49" name="矩形 38"/>
                        <wps:cNvSpPr/>
                        <wps:spPr>
                          <a:xfrm>
                            <a:off x="4095750" y="2255520"/>
                            <a:ext cx="81026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lang w:eastAsia="zh-CN"/>
                                </w:rPr>
                                <w:t>厂区</w:t>
                              </w:r>
                              <w:r>
                                <w:rPr>
                                  <w:rFonts w:hint="eastAsia"/>
                                  <w:szCs w:val="21"/>
                                </w:rPr>
                                <w:t>废水</w:t>
                              </w:r>
                            </w:p>
                            <w:p>
                              <w:pPr>
                                <w:jc w:val="center"/>
                                <w:rPr>
                                  <w:rFonts w:hint="eastAsia" w:eastAsia="宋体"/>
                                  <w:szCs w:val="21"/>
                                  <w:lang w:eastAsia="zh-CN"/>
                                </w:rPr>
                              </w:pPr>
                              <w:r>
                                <w:rPr>
                                  <w:rFonts w:hint="eastAsia"/>
                                  <w:szCs w:val="21"/>
                                </w:rPr>
                                <w:t>处理</w:t>
                              </w:r>
                              <w:r>
                                <w:rPr>
                                  <w:rFonts w:hint="eastAsia"/>
                                  <w:szCs w:val="21"/>
                                  <w:lang w:eastAsia="zh-CN"/>
                                </w:rPr>
                                <w:t>站</w:t>
                              </w:r>
                            </w:p>
                          </w:txbxContent>
                        </wps:txbx>
                        <wps:bodyPr lIns="0" tIns="45720" rIns="0" bIns="45720" upright="1"/>
                      </wps:wsp>
                      <wps:wsp>
                        <wps:cNvPr id="50" name="矩形 40"/>
                        <wps:cNvSpPr/>
                        <wps:spPr>
                          <a:xfrm>
                            <a:off x="3028950" y="2322195"/>
                            <a:ext cx="561975"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lang w:eastAsia="zh-CN"/>
                                </w:rPr>
                                <w:t>调节池</w:t>
                              </w:r>
                            </w:p>
                          </w:txbxContent>
                        </wps:txbx>
                        <wps:bodyPr lIns="54000" tIns="45720" rIns="54000" bIns="45720" upright="1"/>
                      </wps:wsp>
                      <wps:wsp>
                        <wps:cNvPr id="51" name="直接连接符 42"/>
                        <wps:cNvCnPr/>
                        <wps:spPr>
                          <a:xfrm>
                            <a:off x="1771650" y="809625"/>
                            <a:ext cx="504825" cy="635"/>
                          </a:xfrm>
                          <a:prstGeom prst="line">
                            <a:avLst/>
                          </a:prstGeom>
                          <a:ln w="9525" cap="flat" cmpd="sng">
                            <a:solidFill>
                              <a:srgbClr val="000000"/>
                            </a:solidFill>
                            <a:prstDash val="dash"/>
                            <a:headEnd type="none" w="med" len="med"/>
                            <a:tailEnd type="stealth" w="med" len="med"/>
                          </a:ln>
                        </wps:spPr>
                        <wps:bodyPr upright="1"/>
                      </wps:wsp>
                      <wps:wsp>
                        <wps:cNvPr id="54" name="矩形 45"/>
                        <wps:cNvSpPr/>
                        <wps:spPr>
                          <a:xfrm>
                            <a:off x="838200" y="590550"/>
                            <a:ext cx="419100" cy="198120"/>
                          </a:xfrm>
                          <a:prstGeom prst="rect">
                            <a:avLst/>
                          </a:prstGeom>
                          <a:noFill/>
                          <a:ln>
                            <a:noFill/>
                          </a:ln>
                        </wps:spPr>
                        <wps:txbx>
                          <w:txbxContent>
                            <w:p>
                              <w:pPr>
                                <w:jc w:val="center"/>
                                <w:rPr>
                                  <w:rFonts w:hint="default" w:ascii="Times New Roman" w:hAnsi="Times New Roman" w:eastAsia="黑体" w:cs="Times New Roman"/>
                                  <w:b w:val="0"/>
                                  <w:bCs/>
                                  <w:szCs w:val="21"/>
                                  <w:lang w:val="en-US" w:eastAsia="zh-CN"/>
                                </w:rPr>
                              </w:pPr>
                              <w:r>
                                <w:rPr>
                                  <w:rFonts w:hint="default" w:ascii="Times New Roman" w:hAnsi="Times New Roman" w:eastAsia="黑体" w:cs="Times New Roman"/>
                                  <w:b w:val="0"/>
                                  <w:bCs/>
                                  <w:szCs w:val="21"/>
                                </w:rPr>
                                <w:t>4</w:t>
                              </w:r>
                              <w:r>
                                <w:rPr>
                                  <w:rFonts w:hint="eastAsia" w:ascii="Times New Roman" w:hAnsi="Times New Roman" w:eastAsia="黑体" w:cs="Times New Roman"/>
                                  <w:b w:val="0"/>
                                  <w:bCs/>
                                  <w:szCs w:val="21"/>
                                  <w:lang w:val="en-US" w:eastAsia="zh-CN"/>
                                </w:rPr>
                                <w:t>.5</w:t>
                              </w:r>
                            </w:p>
                          </w:txbxContent>
                        </wps:txbx>
                        <wps:bodyPr lIns="18000" tIns="0" rIns="18000" bIns="0" upright="1"/>
                      </wps:wsp>
                      <wps:wsp>
                        <wps:cNvPr id="55" name="直接连接符 46"/>
                        <wps:cNvCnPr/>
                        <wps:spPr>
                          <a:xfrm>
                            <a:off x="638175" y="798195"/>
                            <a:ext cx="838200" cy="635"/>
                          </a:xfrm>
                          <a:prstGeom prst="line">
                            <a:avLst/>
                          </a:prstGeom>
                          <a:ln w="9525" cap="flat" cmpd="sng">
                            <a:solidFill>
                              <a:srgbClr val="000000"/>
                            </a:solidFill>
                            <a:prstDash val="solid"/>
                            <a:headEnd type="none" w="med" len="med"/>
                            <a:tailEnd type="triangle" w="med" len="med"/>
                          </a:ln>
                        </wps:spPr>
                        <wps:bodyPr upright="1"/>
                      </wps:wsp>
                      <wps:wsp>
                        <wps:cNvPr id="56" name="矩形 47"/>
                        <wps:cNvSpPr/>
                        <wps:spPr>
                          <a:xfrm>
                            <a:off x="1504950" y="645795"/>
                            <a:ext cx="933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待宰间用水</w:t>
                              </w:r>
                            </w:p>
                          </w:txbxContent>
                        </wps:txbx>
                        <wps:bodyPr lIns="54000" tIns="45720" rIns="54000" bIns="45720" upright="1"/>
                      </wps:wsp>
                      <wps:wsp>
                        <wps:cNvPr id="57" name="直接连接符 49"/>
                        <wps:cNvCnPr/>
                        <wps:spPr>
                          <a:xfrm>
                            <a:off x="628650" y="1617345"/>
                            <a:ext cx="847725" cy="635"/>
                          </a:xfrm>
                          <a:prstGeom prst="line">
                            <a:avLst/>
                          </a:prstGeom>
                          <a:ln w="9525" cap="flat" cmpd="sng">
                            <a:solidFill>
                              <a:srgbClr val="000000"/>
                            </a:solidFill>
                            <a:prstDash val="solid"/>
                            <a:headEnd type="none" w="med" len="med"/>
                            <a:tailEnd type="triangle" w="med" len="med"/>
                          </a:ln>
                        </wps:spPr>
                        <wps:bodyPr upright="1"/>
                      </wps:wsp>
                      <wps:wsp>
                        <wps:cNvPr id="59" name="直接连接符 54"/>
                        <wps:cNvCnPr/>
                        <wps:spPr>
                          <a:xfrm flipV="1">
                            <a:off x="1961515" y="463550"/>
                            <a:ext cx="316865" cy="176530"/>
                          </a:xfrm>
                          <a:prstGeom prst="line">
                            <a:avLst/>
                          </a:prstGeom>
                          <a:ln w="9525" cap="flat" cmpd="sng">
                            <a:solidFill>
                              <a:srgbClr val="000000"/>
                            </a:solidFill>
                            <a:prstDash val="dash"/>
                            <a:headEnd type="none" w="med" len="med"/>
                            <a:tailEnd type="stealth" w="med" len="med"/>
                          </a:ln>
                        </wps:spPr>
                        <wps:bodyPr upright="1"/>
                      </wps:wsp>
                      <wps:wsp>
                        <wps:cNvPr id="60" name="矩形 56"/>
                        <wps:cNvSpPr/>
                        <wps:spPr>
                          <a:xfrm>
                            <a:off x="1781175" y="224790"/>
                            <a:ext cx="847090" cy="245745"/>
                          </a:xfrm>
                          <a:prstGeom prst="rect">
                            <a:avLst/>
                          </a:prstGeom>
                          <a:noFill/>
                          <a:ln>
                            <a:noFill/>
                          </a:ln>
                        </wps:spPr>
                        <wps:txbx>
                          <w:txbxContent>
                            <w:p>
                              <w:pPr>
                                <w:jc w:val="center"/>
                                <w:rPr>
                                  <w:rFonts w:hint="default" w:eastAsia="宋体"/>
                                  <w:szCs w:val="21"/>
                                  <w:lang w:val="en-US" w:eastAsia="zh-CN"/>
                                </w:rPr>
                              </w:pPr>
                              <w:r>
                                <w:rPr>
                                  <w:rFonts w:hint="eastAsia"/>
                                  <w:szCs w:val="21"/>
                                </w:rPr>
                                <w:t>蒸发损耗</w:t>
                              </w:r>
                              <w:r>
                                <w:rPr>
                                  <w:rFonts w:hint="eastAsia"/>
                                  <w:szCs w:val="21"/>
                                  <w:lang w:val="en-US" w:eastAsia="zh-CN"/>
                                </w:rPr>
                                <w:t>0.45</w:t>
                              </w:r>
                            </w:p>
                          </w:txbxContent>
                        </wps:txbx>
                        <wps:bodyPr lIns="18000" tIns="36000" rIns="18000" bIns="0" upright="1"/>
                      </wps:wsp>
                      <wps:wsp>
                        <wps:cNvPr id="61" name="矩形 68"/>
                        <wps:cNvSpPr/>
                        <wps:spPr>
                          <a:xfrm>
                            <a:off x="742315" y="1430655"/>
                            <a:ext cx="542290" cy="188595"/>
                          </a:xfrm>
                          <a:prstGeom prst="rect">
                            <a:avLst/>
                          </a:prstGeom>
                          <a:noFill/>
                          <a:ln>
                            <a:noFill/>
                          </a:ln>
                        </wps:spPr>
                        <wps:txbx>
                          <w:txbxContent>
                            <w:p>
                              <w:pPr>
                                <w:jc w:val="center"/>
                                <w:rPr>
                                  <w:rFonts w:hint="default" w:eastAsia="宋体"/>
                                  <w:szCs w:val="21"/>
                                  <w:lang w:val="en-US" w:eastAsia="zh-CN"/>
                                </w:rPr>
                              </w:pPr>
                              <w:r>
                                <w:rPr>
                                  <w:rFonts w:hint="eastAsia"/>
                                  <w:szCs w:val="21"/>
                                  <w:lang w:val="en-US" w:eastAsia="zh-CN"/>
                                </w:rPr>
                                <w:t>274.3</w:t>
                              </w:r>
                            </w:p>
                          </w:txbxContent>
                        </wps:txbx>
                        <wps:bodyPr lIns="18000" tIns="0" rIns="18000" bIns="0" upright="1"/>
                      </wps:wsp>
                      <wps:wsp>
                        <wps:cNvPr id="62" name="矩形 69"/>
                        <wps:cNvSpPr/>
                        <wps:spPr>
                          <a:xfrm>
                            <a:off x="3609340" y="2231390"/>
                            <a:ext cx="476250" cy="235585"/>
                          </a:xfrm>
                          <a:prstGeom prst="rect">
                            <a:avLst/>
                          </a:prstGeom>
                          <a:noFill/>
                          <a:ln>
                            <a:noFill/>
                          </a:ln>
                        </wps:spPr>
                        <wps:txbx>
                          <w:txbxContent>
                            <w:p>
                              <w:pPr>
                                <w:keepNext w:val="0"/>
                                <w:keepLines w:val="0"/>
                                <w:pageBreakBefore w:val="0"/>
                                <w:widowControl w:val="0"/>
                                <w:kinsoku w:val="0"/>
                                <w:wordWrap/>
                                <w:overflowPunct/>
                                <w:topLinePunct w:val="0"/>
                                <w:bidi w:val="0"/>
                                <w:adjustRightInd w:val="0"/>
                                <w:snapToGrid w:val="0"/>
                                <w:ind w:left="-105" w:leftChars="-50" w:right="-105" w:rightChars="-50"/>
                                <w:jc w:val="center"/>
                                <w:textAlignment w:val="baseline"/>
                                <w:rPr>
                                  <w:rFonts w:hint="default" w:eastAsia="宋体"/>
                                  <w:b/>
                                  <w:bCs/>
                                  <w:szCs w:val="21"/>
                                  <w:lang w:val="en-US" w:eastAsia="zh-CN"/>
                                </w:rPr>
                              </w:pPr>
                              <w:r>
                                <w:rPr>
                                  <w:rFonts w:hint="eastAsia"/>
                                  <w:b/>
                                  <w:bCs/>
                                  <w:szCs w:val="21"/>
                                  <w:lang w:val="en-US" w:eastAsia="zh-CN"/>
                                </w:rPr>
                                <w:t>255.54</w:t>
                              </w:r>
                            </w:p>
                          </w:txbxContent>
                        </wps:txbx>
                        <wps:bodyPr lIns="18000" tIns="0" rIns="18000" bIns="0" upright="1"/>
                      </wps:wsp>
                      <wps:wsp>
                        <wps:cNvPr id="63" name="矩形 59"/>
                        <wps:cNvSpPr/>
                        <wps:spPr>
                          <a:xfrm>
                            <a:off x="4143375" y="2967990"/>
                            <a:ext cx="647700" cy="464820"/>
                          </a:xfrm>
                          <a:prstGeom prst="rect">
                            <a:avLst/>
                          </a:prstGeom>
                          <a:noFill/>
                          <a:ln>
                            <a:noFill/>
                          </a:ln>
                        </wps:spPr>
                        <wps:txbx>
                          <w:txbxContent>
                            <w:p>
                              <w:pPr>
                                <w:jc w:val="center"/>
                                <w:rPr>
                                  <w:rFonts w:hint="eastAsia" w:eastAsia="宋体"/>
                                  <w:szCs w:val="21"/>
                                  <w:lang w:eastAsia="zh-CN"/>
                                </w:rPr>
                              </w:pPr>
                              <w:r>
                                <w:rPr>
                                  <w:rFonts w:hint="eastAsia"/>
                                  <w:szCs w:val="21"/>
                                  <w:lang w:eastAsia="zh-CN"/>
                                </w:rPr>
                                <w:t>市政污水管网</w:t>
                              </w:r>
                            </w:p>
                          </w:txbxContent>
                        </wps:txbx>
                        <wps:bodyPr lIns="18000" tIns="36000" rIns="18000" bIns="0" upright="1"/>
                      </wps:wsp>
                      <wps:wsp>
                        <wps:cNvPr id="64" name="直接连接符 35"/>
                        <wps:cNvCnPr/>
                        <wps:spPr>
                          <a:xfrm flipV="1">
                            <a:off x="2447925" y="787400"/>
                            <a:ext cx="812800" cy="1270"/>
                          </a:xfrm>
                          <a:prstGeom prst="line">
                            <a:avLst/>
                          </a:prstGeom>
                          <a:ln w="9525" cap="flat" cmpd="sng">
                            <a:solidFill>
                              <a:srgbClr val="000000"/>
                            </a:solidFill>
                            <a:prstDash val="solid"/>
                            <a:headEnd type="none" w="med" len="med"/>
                            <a:tailEnd type="triangle" w="med" len="med"/>
                          </a:ln>
                        </wps:spPr>
                        <wps:bodyPr upright="1"/>
                      </wps:wsp>
                      <wps:wsp>
                        <wps:cNvPr id="65" name="直接连接符 18"/>
                        <wps:cNvCnPr/>
                        <wps:spPr>
                          <a:xfrm flipH="1">
                            <a:off x="549275" y="506730"/>
                            <a:ext cx="3175" cy="4409440"/>
                          </a:xfrm>
                          <a:prstGeom prst="line">
                            <a:avLst/>
                          </a:prstGeom>
                          <a:ln w="38100" cap="flat" cmpd="sng">
                            <a:solidFill>
                              <a:srgbClr val="000000"/>
                            </a:solidFill>
                            <a:prstDash val="solid"/>
                            <a:headEnd type="none" w="med" len="med"/>
                            <a:tailEnd type="none" w="med" len="med"/>
                          </a:ln>
                        </wps:spPr>
                        <wps:bodyPr upright="1"/>
                      </wps:wsp>
                      <wps:wsp>
                        <wps:cNvPr id="68" name="矩形 55"/>
                        <wps:cNvSpPr/>
                        <wps:spPr>
                          <a:xfrm>
                            <a:off x="2618740" y="563880"/>
                            <a:ext cx="466725" cy="198120"/>
                          </a:xfrm>
                          <a:prstGeom prst="rect">
                            <a:avLst/>
                          </a:prstGeom>
                          <a:noFill/>
                          <a:ln>
                            <a:noFill/>
                          </a:ln>
                        </wps:spPr>
                        <wps:txbx>
                          <w:txbxContent>
                            <w:p>
                              <w:pPr>
                                <w:jc w:val="center"/>
                                <w:rPr>
                                  <w:rFonts w:hint="default" w:eastAsia="宋体"/>
                                  <w:szCs w:val="21"/>
                                  <w:lang w:val="en-US" w:eastAsia="zh-CN"/>
                                </w:rPr>
                              </w:pPr>
                              <w:r>
                                <w:rPr>
                                  <w:rFonts w:hint="eastAsia"/>
                                  <w:szCs w:val="21"/>
                                  <w:lang w:val="en-US" w:eastAsia="zh-CN"/>
                                </w:rPr>
                                <w:t>4.05</w:t>
                              </w:r>
                            </w:p>
                          </w:txbxContent>
                        </wps:txbx>
                        <wps:bodyPr lIns="18000" tIns="0" rIns="18000" bIns="0" upright="1"/>
                      </wps:wsp>
                      <wps:wsp>
                        <wps:cNvPr id="69" name="直接连接符 35"/>
                        <wps:cNvCnPr/>
                        <wps:spPr>
                          <a:xfrm flipV="1">
                            <a:off x="2428875" y="1625600"/>
                            <a:ext cx="812800" cy="1270"/>
                          </a:xfrm>
                          <a:prstGeom prst="line">
                            <a:avLst/>
                          </a:prstGeom>
                          <a:ln w="9525" cap="flat" cmpd="sng">
                            <a:solidFill>
                              <a:srgbClr val="000000"/>
                            </a:solidFill>
                            <a:prstDash val="solid"/>
                            <a:headEnd type="none" w="med" len="med"/>
                            <a:tailEnd type="triangle" w="med" len="med"/>
                          </a:ln>
                        </wps:spPr>
                        <wps:bodyPr upright="1"/>
                      </wps:wsp>
                      <wps:wsp>
                        <wps:cNvPr id="73" name="矩形 55"/>
                        <wps:cNvSpPr/>
                        <wps:spPr>
                          <a:xfrm>
                            <a:off x="2515870" y="1402080"/>
                            <a:ext cx="624840" cy="198120"/>
                          </a:xfrm>
                          <a:prstGeom prst="rect">
                            <a:avLst/>
                          </a:prstGeom>
                          <a:noFill/>
                          <a:ln>
                            <a:noFill/>
                          </a:ln>
                        </wps:spPr>
                        <wps:txbx>
                          <w:txbxContent>
                            <w:p>
                              <w:pPr>
                                <w:jc w:val="center"/>
                                <w:rPr>
                                  <w:rFonts w:hint="default" w:eastAsia="宋体"/>
                                  <w:szCs w:val="21"/>
                                  <w:lang w:val="en-US" w:eastAsia="zh-CN"/>
                                </w:rPr>
                              </w:pPr>
                              <w:r>
                                <w:rPr>
                                  <w:rFonts w:hint="eastAsia" w:eastAsia="宋体"/>
                                  <w:szCs w:val="21"/>
                                  <w:lang w:val="en-US" w:eastAsia="zh-CN"/>
                                </w:rPr>
                                <w:t>246.9</w:t>
                              </w:r>
                            </w:p>
                          </w:txbxContent>
                        </wps:txbx>
                        <wps:bodyPr lIns="18000" tIns="0" rIns="18000" bIns="0" upright="1"/>
                      </wps:wsp>
                      <wps:wsp>
                        <wps:cNvPr id="80" name="直接连接符 54"/>
                        <wps:cNvCnPr/>
                        <wps:spPr>
                          <a:xfrm flipV="1">
                            <a:off x="1932940" y="1273175"/>
                            <a:ext cx="316865" cy="176530"/>
                          </a:xfrm>
                          <a:prstGeom prst="line">
                            <a:avLst/>
                          </a:prstGeom>
                          <a:ln w="9525" cap="flat" cmpd="sng">
                            <a:solidFill>
                              <a:srgbClr val="000000"/>
                            </a:solidFill>
                            <a:prstDash val="dash"/>
                            <a:headEnd type="none" w="med" len="med"/>
                            <a:tailEnd type="stealth" w="med" len="med"/>
                          </a:ln>
                        </wps:spPr>
                        <wps:bodyPr upright="1"/>
                      </wps:wsp>
                      <wps:wsp>
                        <wps:cNvPr id="81" name="矩形 56"/>
                        <wps:cNvSpPr/>
                        <wps:spPr>
                          <a:xfrm>
                            <a:off x="1828800" y="1015365"/>
                            <a:ext cx="1123315" cy="245745"/>
                          </a:xfrm>
                          <a:prstGeom prst="rect">
                            <a:avLst/>
                          </a:prstGeom>
                          <a:noFill/>
                          <a:ln>
                            <a:noFill/>
                          </a:ln>
                        </wps:spPr>
                        <wps:txbx>
                          <w:txbxContent>
                            <w:p>
                              <w:pPr>
                                <w:jc w:val="center"/>
                                <w:rPr>
                                  <w:rFonts w:hint="default" w:eastAsia="宋体"/>
                                  <w:szCs w:val="21"/>
                                  <w:lang w:val="en-US" w:eastAsia="zh-CN"/>
                                </w:rPr>
                              </w:pPr>
                              <w:r>
                                <w:rPr>
                                  <w:rFonts w:hint="eastAsia"/>
                                  <w:szCs w:val="21"/>
                                </w:rPr>
                                <w:t>蒸发损耗</w:t>
                              </w:r>
                              <w:r>
                                <w:rPr>
                                  <w:rFonts w:hint="eastAsia"/>
                                  <w:szCs w:val="21"/>
                                  <w:lang w:val="en-US" w:eastAsia="zh-CN"/>
                                </w:rPr>
                                <w:t>27.4</w:t>
                              </w:r>
                            </w:p>
                          </w:txbxContent>
                        </wps:txbx>
                        <wps:bodyPr lIns="18000" tIns="36000" rIns="18000" bIns="0" upright="1"/>
                      </wps:wsp>
                      <wps:wsp>
                        <wps:cNvPr id="83" name="直接连接符 54"/>
                        <wps:cNvCnPr/>
                        <wps:spPr>
                          <a:xfrm flipV="1">
                            <a:off x="1866265" y="2130425"/>
                            <a:ext cx="316865" cy="176530"/>
                          </a:xfrm>
                          <a:prstGeom prst="line">
                            <a:avLst/>
                          </a:prstGeom>
                          <a:ln w="9525" cap="flat" cmpd="sng">
                            <a:solidFill>
                              <a:srgbClr val="000000"/>
                            </a:solidFill>
                            <a:prstDash val="dash"/>
                            <a:headEnd type="none" w="med" len="med"/>
                            <a:tailEnd type="stealth" w="med" len="med"/>
                          </a:ln>
                        </wps:spPr>
                        <wps:bodyPr upright="1"/>
                      </wps:wsp>
                      <wps:wsp>
                        <wps:cNvPr id="84" name="矩形 56"/>
                        <wps:cNvSpPr/>
                        <wps:spPr>
                          <a:xfrm>
                            <a:off x="1809750" y="1863090"/>
                            <a:ext cx="1123315" cy="245745"/>
                          </a:xfrm>
                          <a:prstGeom prst="rect">
                            <a:avLst/>
                          </a:prstGeom>
                          <a:noFill/>
                          <a:ln>
                            <a:noFill/>
                          </a:ln>
                        </wps:spPr>
                        <wps:txbx>
                          <w:txbxContent>
                            <w:p>
                              <w:pPr>
                                <w:jc w:val="center"/>
                                <w:rPr>
                                  <w:rFonts w:hint="default" w:eastAsia="宋体"/>
                                  <w:szCs w:val="21"/>
                                  <w:lang w:val="en-US" w:eastAsia="zh-CN"/>
                                </w:rPr>
                              </w:pPr>
                              <w:r>
                                <w:rPr>
                                  <w:rFonts w:hint="eastAsia"/>
                                  <w:szCs w:val="21"/>
                                </w:rPr>
                                <w:t>蒸发损耗</w:t>
                              </w:r>
                              <w:r>
                                <w:rPr>
                                  <w:rFonts w:hint="eastAsia"/>
                                  <w:szCs w:val="21"/>
                                  <w:lang w:val="en-US" w:eastAsia="zh-CN"/>
                                </w:rPr>
                                <w:t>0.01</w:t>
                              </w:r>
                            </w:p>
                          </w:txbxContent>
                        </wps:txbx>
                        <wps:bodyPr lIns="18000" tIns="36000" rIns="18000" bIns="0" upright="1"/>
                      </wps:wsp>
                      <wps:wsp>
                        <wps:cNvPr id="86" name="直接连接符 35"/>
                        <wps:cNvCnPr/>
                        <wps:spPr>
                          <a:xfrm flipV="1">
                            <a:off x="2419350" y="2490470"/>
                            <a:ext cx="621030" cy="3175"/>
                          </a:xfrm>
                          <a:prstGeom prst="line">
                            <a:avLst/>
                          </a:prstGeom>
                          <a:ln w="9525" cap="flat" cmpd="sng">
                            <a:solidFill>
                              <a:srgbClr val="000000"/>
                            </a:solidFill>
                            <a:prstDash val="solid"/>
                            <a:headEnd type="none" w="med" len="med"/>
                            <a:tailEnd type="triangle" w="med" len="med"/>
                          </a:ln>
                        </wps:spPr>
                        <wps:bodyPr upright="1"/>
                      </wps:wsp>
                      <wps:wsp>
                        <wps:cNvPr id="89" name="直接连接符 35"/>
                        <wps:cNvCnPr/>
                        <wps:spPr>
                          <a:xfrm>
                            <a:off x="3602355" y="2505710"/>
                            <a:ext cx="504825" cy="3810"/>
                          </a:xfrm>
                          <a:prstGeom prst="line">
                            <a:avLst/>
                          </a:prstGeom>
                          <a:ln w="9525" cap="flat" cmpd="sng">
                            <a:solidFill>
                              <a:srgbClr val="000000"/>
                            </a:solidFill>
                            <a:prstDash val="solid"/>
                            <a:headEnd type="none" w="med" len="med"/>
                            <a:tailEnd type="triangle" w="med" len="med"/>
                          </a:ln>
                        </wps:spPr>
                        <wps:bodyPr upright="1"/>
                      </wps:wsp>
                      <wps:wsp>
                        <wps:cNvPr id="3" name="矩形 3"/>
                        <wps:cNvSpPr/>
                        <wps:spPr>
                          <a:xfrm>
                            <a:off x="1485900" y="3232785"/>
                            <a:ext cx="933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eastAsia="宋体"/>
                                  <w:szCs w:val="21"/>
                                  <w:lang w:eastAsia="zh-CN"/>
                                </w:rPr>
                                <w:t>车辆冲洗</w:t>
                              </w:r>
                              <w:r>
                                <w:rPr>
                                  <w:rFonts w:hint="eastAsia"/>
                                  <w:szCs w:val="21"/>
                                </w:rPr>
                                <w:t>用水</w:t>
                              </w:r>
                            </w:p>
                          </w:txbxContent>
                        </wps:txbx>
                        <wps:bodyPr lIns="54000" tIns="45720" rIns="54000" bIns="45720" upright="1"/>
                      </wps:wsp>
                      <wps:wsp>
                        <wps:cNvPr id="4" name="直接连接符 35"/>
                        <wps:cNvCnPr/>
                        <wps:spPr>
                          <a:xfrm flipV="1">
                            <a:off x="666750" y="3385820"/>
                            <a:ext cx="807720" cy="3175"/>
                          </a:xfrm>
                          <a:prstGeom prst="line">
                            <a:avLst/>
                          </a:prstGeom>
                          <a:ln w="9525" cap="flat" cmpd="sng">
                            <a:solidFill>
                              <a:srgbClr val="000000"/>
                            </a:solidFill>
                            <a:prstDash val="solid"/>
                            <a:headEnd type="none" w="med" len="med"/>
                            <a:tailEnd type="triangle" w="med" len="med"/>
                          </a:ln>
                        </wps:spPr>
                        <wps:bodyPr upright="1"/>
                      </wps:wsp>
                      <wps:wsp>
                        <wps:cNvPr id="5" name="矩形 37"/>
                        <wps:cNvSpPr/>
                        <wps:spPr>
                          <a:xfrm>
                            <a:off x="857250" y="3181350"/>
                            <a:ext cx="419100" cy="198120"/>
                          </a:xfrm>
                          <a:prstGeom prst="rect">
                            <a:avLst/>
                          </a:prstGeom>
                          <a:noFill/>
                          <a:ln>
                            <a:noFill/>
                          </a:ln>
                        </wps:spPr>
                        <wps:txbx>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0.55</w:t>
                              </w:r>
                            </w:p>
                          </w:txbxContent>
                        </wps:txbx>
                        <wps:bodyPr lIns="18000" tIns="0" rIns="18000" bIns="0" upright="1"/>
                      </wps:wsp>
                      <wps:wsp>
                        <wps:cNvPr id="6" name="直接连接符 54"/>
                        <wps:cNvCnPr/>
                        <wps:spPr>
                          <a:xfrm flipV="1">
                            <a:off x="1885315" y="3054350"/>
                            <a:ext cx="316865" cy="176530"/>
                          </a:xfrm>
                          <a:prstGeom prst="line">
                            <a:avLst/>
                          </a:prstGeom>
                          <a:ln w="9525" cap="flat" cmpd="sng">
                            <a:solidFill>
                              <a:srgbClr val="000000"/>
                            </a:solidFill>
                            <a:prstDash val="dash"/>
                            <a:headEnd type="none" w="med" len="med"/>
                            <a:tailEnd type="stealth" w="med" len="med"/>
                          </a:ln>
                        </wps:spPr>
                        <wps:bodyPr upright="1"/>
                      </wps:wsp>
                      <wps:wsp>
                        <wps:cNvPr id="7" name="矩形 56"/>
                        <wps:cNvSpPr/>
                        <wps:spPr>
                          <a:xfrm>
                            <a:off x="1828800" y="2787015"/>
                            <a:ext cx="1123315" cy="245745"/>
                          </a:xfrm>
                          <a:prstGeom prst="rect">
                            <a:avLst/>
                          </a:prstGeom>
                          <a:noFill/>
                          <a:ln>
                            <a:noFill/>
                          </a:ln>
                        </wps:spPr>
                        <wps:txbx>
                          <w:txbxContent>
                            <w:p>
                              <w:pPr>
                                <w:jc w:val="center"/>
                                <w:rPr>
                                  <w:rFonts w:hint="default" w:eastAsia="宋体"/>
                                  <w:szCs w:val="21"/>
                                  <w:lang w:val="en-US" w:eastAsia="zh-CN"/>
                                </w:rPr>
                              </w:pPr>
                              <w:r>
                                <w:rPr>
                                  <w:rFonts w:hint="eastAsia"/>
                                  <w:szCs w:val="21"/>
                                </w:rPr>
                                <w:t>蒸发损耗</w:t>
                              </w:r>
                              <w:r>
                                <w:rPr>
                                  <w:rFonts w:hint="eastAsia"/>
                                  <w:szCs w:val="21"/>
                                  <w:lang w:val="en-US" w:eastAsia="zh-CN"/>
                                </w:rPr>
                                <w:t>0.055</w:t>
                              </w:r>
                            </w:p>
                          </w:txbxContent>
                        </wps:txbx>
                        <wps:bodyPr lIns="18000" tIns="36000" rIns="18000" bIns="0" upright="1"/>
                      </wps:wsp>
                      <wps:wsp>
                        <wps:cNvPr id="9" name="直接连接符 35"/>
                        <wps:cNvCnPr/>
                        <wps:spPr>
                          <a:xfrm flipV="1">
                            <a:off x="2438400" y="3409315"/>
                            <a:ext cx="896620" cy="8255"/>
                          </a:xfrm>
                          <a:prstGeom prst="line">
                            <a:avLst/>
                          </a:prstGeom>
                          <a:ln w="9525" cap="flat" cmpd="sng">
                            <a:solidFill>
                              <a:srgbClr val="000000"/>
                            </a:solidFill>
                            <a:prstDash val="solid"/>
                            <a:headEnd type="none" w="med" len="med"/>
                            <a:tailEnd type="triangle" w="med" len="med"/>
                          </a:ln>
                        </wps:spPr>
                        <wps:bodyPr upright="1"/>
                      </wps:wsp>
                      <wps:wsp>
                        <wps:cNvPr id="10" name="直接连接符 22"/>
                        <wps:cNvCnPr/>
                        <wps:spPr>
                          <a:xfrm flipV="1">
                            <a:off x="3322955" y="2641600"/>
                            <a:ext cx="3175" cy="1652905"/>
                          </a:xfrm>
                          <a:prstGeom prst="line">
                            <a:avLst/>
                          </a:prstGeom>
                          <a:ln w="9525" cap="flat" cmpd="sng">
                            <a:solidFill>
                              <a:srgbClr val="000000"/>
                            </a:solidFill>
                            <a:prstDash val="solid"/>
                            <a:headEnd type="none" w="med" len="med"/>
                            <a:tailEnd type="stealth" w="med" len="med"/>
                          </a:ln>
                        </wps:spPr>
                        <wps:bodyPr upright="1"/>
                      </wps:wsp>
                      <wps:wsp>
                        <wps:cNvPr id="11" name="矩形 23"/>
                        <wps:cNvSpPr/>
                        <wps:spPr>
                          <a:xfrm>
                            <a:off x="2533650" y="3204210"/>
                            <a:ext cx="452120" cy="198120"/>
                          </a:xfrm>
                          <a:prstGeom prst="rect">
                            <a:avLst/>
                          </a:prstGeom>
                          <a:noFill/>
                          <a:ln>
                            <a:noFill/>
                          </a:ln>
                        </wps:spPr>
                        <wps:txbx>
                          <w:txbxContent>
                            <w:p>
                              <w:pPr>
                                <w:jc w:val="center"/>
                                <w:rPr>
                                  <w:rFonts w:hint="default" w:eastAsia="宋体"/>
                                  <w:szCs w:val="21"/>
                                  <w:lang w:val="en-US" w:eastAsia="zh-CN"/>
                                </w:rPr>
                              </w:pPr>
                              <w:r>
                                <w:rPr>
                                  <w:rFonts w:hint="eastAsia" w:eastAsia="宋体"/>
                                  <w:szCs w:val="21"/>
                                  <w:lang w:val="en-US" w:eastAsia="zh-CN"/>
                                </w:rPr>
                                <w:t>0.495</w:t>
                              </w:r>
                            </w:p>
                          </w:txbxContent>
                        </wps:txbx>
                        <wps:bodyPr lIns="18000" tIns="0" rIns="18000" bIns="0" upright="1"/>
                      </wps:wsp>
                      <wps:wsp>
                        <wps:cNvPr id="12" name="矩形 12"/>
                        <wps:cNvSpPr/>
                        <wps:spPr>
                          <a:xfrm>
                            <a:off x="1476375" y="4099560"/>
                            <a:ext cx="933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eastAsia="宋体"/>
                                  <w:szCs w:val="21"/>
                                  <w:lang w:eastAsia="zh-CN"/>
                                </w:rPr>
                                <w:t>职工生活</w:t>
                              </w:r>
                              <w:r>
                                <w:rPr>
                                  <w:rFonts w:hint="eastAsia"/>
                                  <w:szCs w:val="21"/>
                                </w:rPr>
                                <w:t>用水</w:t>
                              </w:r>
                            </w:p>
                          </w:txbxContent>
                        </wps:txbx>
                        <wps:bodyPr lIns="54000" tIns="45720" rIns="54000" bIns="45720" upright="1"/>
                      </wps:wsp>
                      <wps:wsp>
                        <wps:cNvPr id="14" name="直接连接符 35"/>
                        <wps:cNvCnPr/>
                        <wps:spPr>
                          <a:xfrm flipV="1">
                            <a:off x="657225" y="4252595"/>
                            <a:ext cx="807720" cy="3175"/>
                          </a:xfrm>
                          <a:prstGeom prst="line">
                            <a:avLst/>
                          </a:prstGeom>
                          <a:ln w="9525" cap="flat" cmpd="sng">
                            <a:solidFill>
                              <a:srgbClr val="000000"/>
                            </a:solidFill>
                            <a:prstDash val="solid"/>
                            <a:headEnd type="none" w="med" len="med"/>
                            <a:tailEnd type="triangle" w="med" len="med"/>
                          </a:ln>
                        </wps:spPr>
                        <wps:bodyPr upright="1"/>
                      </wps:wsp>
                      <wps:wsp>
                        <wps:cNvPr id="15" name="矩形 37"/>
                        <wps:cNvSpPr/>
                        <wps:spPr>
                          <a:xfrm>
                            <a:off x="847725" y="4048125"/>
                            <a:ext cx="419100" cy="198120"/>
                          </a:xfrm>
                          <a:prstGeom prst="rect">
                            <a:avLst/>
                          </a:prstGeom>
                          <a:noFill/>
                          <a:ln>
                            <a:noFill/>
                          </a:ln>
                        </wps:spPr>
                        <wps:txbx>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5</w:t>
                              </w:r>
                            </w:p>
                          </w:txbxContent>
                        </wps:txbx>
                        <wps:bodyPr lIns="18000" tIns="0" rIns="18000" bIns="0" upright="1"/>
                      </wps:wsp>
                      <wps:wsp>
                        <wps:cNvPr id="16" name="直接连接符 54"/>
                        <wps:cNvCnPr/>
                        <wps:spPr>
                          <a:xfrm flipV="1">
                            <a:off x="1875790" y="3921125"/>
                            <a:ext cx="316865" cy="176530"/>
                          </a:xfrm>
                          <a:prstGeom prst="line">
                            <a:avLst/>
                          </a:prstGeom>
                          <a:ln w="9525" cap="flat" cmpd="sng">
                            <a:solidFill>
                              <a:srgbClr val="000000"/>
                            </a:solidFill>
                            <a:prstDash val="dash"/>
                            <a:headEnd type="none" w="med" len="med"/>
                            <a:tailEnd type="stealth" w="med" len="med"/>
                          </a:ln>
                        </wps:spPr>
                        <wps:bodyPr upright="1"/>
                      </wps:wsp>
                      <wps:wsp>
                        <wps:cNvPr id="17" name="矩形 56"/>
                        <wps:cNvSpPr/>
                        <wps:spPr>
                          <a:xfrm>
                            <a:off x="1819275" y="3653790"/>
                            <a:ext cx="1123315" cy="245745"/>
                          </a:xfrm>
                          <a:prstGeom prst="rect">
                            <a:avLst/>
                          </a:prstGeom>
                          <a:noFill/>
                          <a:ln>
                            <a:noFill/>
                          </a:ln>
                        </wps:spPr>
                        <wps:txbx>
                          <w:txbxContent>
                            <w:p>
                              <w:pPr>
                                <w:jc w:val="center"/>
                                <w:rPr>
                                  <w:rFonts w:hint="default" w:eastAsia="宋体"/>
                                  <w:szCs w:val="21"/>
                                  <w:lang w:val="en-US" w:eastAsia="zh-CN"/>
                                </w:rPr>
                              </w:pPr>
                              <w:r>
                                <w:rPr>
                                  <w:rFonts w:hint="eastAsia"/>
                                  <w:szCs w:val="21"/>
                                </w:rPr>
                                <w:t>蒸发损耗</w:t>
                              </w:r>
                              <w:r>
                                <w:rPr>
                                  <w:rFonts w:hint="eastAsia"/>
                                  <w:szCs w:val="21"/>
                                  <w:lang w:val="en-US" w:eastAsia="zh-CN"/>
                                </w:rPr>
                                <w:t>1</w:t>
                              </w:r>
                            </w:p>
                          </w:txbxContent>
                        </wps:txbx>
                        <wps:bodyPr lIns="18000" tIns="36000" rIns="18000" bIns="0" upright="1"/>
                      </wps:wsp>
                      <wps:wsp>
                        <wps:cNvPr id="19" name="直接连接符 35"/>
                        <wps:cNvCnPr/>
                        <wps:spPr>
                          <a:xfrm>
                            <a:off x="2428875" y="4284345"/>
                            <a:ext cx="896620" cy="1270"/>
                          </a:xfrm>
                          <a:prstGeom prst="line">
                            <a:avLst/>
                          </a:prstGeom>
                          <a:ln w="9525" cap="flat" cmpd="sng">
                            <a:solidFill>
                              <a:srgbClr val="000000"/>
                            </a:solidFill>
                            <a:prstDash val="solid"/>
                            <a:headEnd type="none" w="med" len="med"/>
                            <a:tailEnd type="triangle" w="med" len="med"/>
                          </a:ln>
                        </wps:spPr>
                        <wps:bodyPr upright="1"/>
                      </wps:wsp>
                      <wps:wsp>
                        <wps:cNvPr id="20" name="矩形 23"/>
                        <wps:cNvSpPr/>
                        <wps:spPr>
                          <a:xfrm>
                            <a:off x="2524125" y="4070985"/>
                            <a:ext cx="333375" cy="198120"/>
                          </a:xfrm>
                          <a:prstGeom prst="rect">
                            <a:avLst/>
                          </a:prstGeom>
                          <a:noFill/>
                          <a:ln>
                            <a:noFill/>
                          </a:ln>
                        </wps:spPr>
                        <wps:txbx>
                          <w:txbxContent>
                            <w:p>
                              <w:pPr>
                                <w:jc w:val="center"/>
                                <w:rPr>
                                  <w:rFonts w:hint="default" w:eastAsia="宋体"/>
                                  <w:szCs w:val="21"/>
                                  <w:lang w:val="en-US" w:eastAsia="zh-CN"/>
                                </w:rPr>
                              </w:pPr>
                              <w:r>
                                <w:rPr>
                                  <w:rFonts w:hint="eastAsia" w:eastAsia="宋体"/>
                                  <w:szCs w:val="21"/>
                                  <w:lang w:val="en-US" w:eastAsia="zh-CN"/>
                                </w:rPr>
                                <w:t>4</w:t>
                              </w:r>
                            </w:p>
                          </w:txbxContent>
                        </wps:txbx>
                        <wps:bodyPr lIns="18000" tIns="0" rIns="18000" bIns="0" upright="1"/>
                      </wps:wsp>
                      <wps:wsp>
                        <wps:cNvPr id="77" name="直接连接符 35"/>
                        <wps:cNvCnPr/>
                        <wps:spPr>
                          <a:xfrm flipV="1">
                            <a:off x="647700" y="4881245"/>
                            <a:ext cx="807720" cy="3175"/>
                          </a:xfrm>
                          <a:prstGeom prst="line">
                            <a:avLst/>
                          </a:prstGeom>
                          <a:ln w="9525" cap="flat" cmpd="sng">
                            <a:solidFill>
                              <a:srgbClr val="000000"/>
                            </a:solidFill>
                            <a:prstDash val="solid"/>
                            <a:headEnd type="none" w="med" len="med"/>
                            <a:tailEnd type="triangle" w="med" len="med"/>
                          </a:ln>
                        </wps:spPr>
                        <wps:bodyPr upright="1"/>
                      </wps:wsp>
                      <wps:wsp>
                        <wps:cNvPr id="110" name="矩形 110"/>
                        <wps:cNvSpPr/>
                        <wps:spPr>
                          <a:xfrm>
                            <a:off x="1457325" y="4737735"/>
                            <a:ext cx="10852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eastAsia="宋体"/>
                                  <w:szCs w:val="21"/>
                                  <w:lang w:eastAsia="zh-CN"/>
                                </w:rPr>
                                <w:t>生物除臭塔</w:t>
                              </w:r>
                              <w:r>
                                <w:rPr>
                                  <w:rFonts w:hint="eastAsia"/>
                                  <w:szCs w:val="21"/>
                                </w:rPr>
                                <w:t>用水</w:t>
                              </w:r>
                            </w:p>
                          </w:txbxContent>
                        </wps:txbx>
                        <wps:bodyPr lIns="54000" tIns="45720" rIns="54000" bIns="45720" upright="1"/>
                      </wps:wsp>
                      <wps:wsp>
                        <wps:cNvPr id="113" name="直接连接符 35"/>
                        <wps:cNvCnPr/>
                        <wps:spPr>
                          <a:xfrm>
                            <a:off x="2543175" y="4874895"/>
                            <a:ext cx="815975" cy="3175"/>
                          </a:xfrm>
                          <a:prstGeom prst="line">
                            <a:avLst/>
                          </a:prstGeom>
                          <a:ln w="9525" cap="flat" cmpd="sng">
                            <a:solidFill>
                              <a:srgbClr val="000000"/>
                            </a:solidFill>
                            <a:prstDash val="dash"/>
                            <a:headEnd type="none" w="med" len="med"/>
                            <a:tailEnd type="stealth" w="med" len="med"/>
                          </a:ln>
                        </wps:spPr>
                        <wps:bodyPr upright="1"/>
                      </wps:wsp>
                      <wps:wsp>
                        <wps:cNvPr id="114" name="矩形 37"/>
                        <wps:cNvSpPr/>
                        <wps:spPr>
                          <a:xfrm>
                            <a:off x="828675" y="4667250"/>
                            <a:ext cx="419100" cy="198120"/>
                          </a:xfrm>
                          <a:prstGeom prst="rect">
                            <a:avLst/>
                          </a:prstGeom>
                          <a:noFill/>
                          <a:ln>
                            <a:noFill/>
                          </a:ln>
                        </wps:spPr>
                        <wps:txbx>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8</w:t>
                              </w:r>
                            </w:p>
                          </w:txbxContent>
                        </wps:txbx>
                        <wps:bodyPr lIns="18000" tIns="0" rIns="18000" bIns="0" upright="1"/>
                      </wps:wsp>
                      <wps:wsp>
                        <wps:cNvPr id="115" name="矩形 37"/>
                        <wps:cNvSpPr/>
                        <wps:spPr>
                          <a:xfrm>
                            <a:off x="2695575" y="4667250"/>
                            <a:ext cx="419100" cy="198120"/>
                          </a:xfrm>
                          <a:prstGeom prst="rect">
                            <a:avLst/>
                          </a:prstGeom>
                          <a:noFill/>
                          <a:ln>
                            <a:noFill/>
                          </a:ln>
                        </wps:spPr>
                        <wps:txbx>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8</w:t>
                              </w:r>
                            </w:p>
                          </w:txbxContent>
                        </wps:txbx>
                        <wps:bodyPr lIns="18000" tIns="0" rIns="18000" bIns="0" upright="1"/>
                      </wps:wsp>
                      <wps:wsp>
                        <wps:cNvPr id="116" name="矩形 56"/>
                        <wps:cNvSpPr/>
                        <wps:spPr>
                          <a:xfrm>
                            <a:off x="3352800" y="4758690"/>
                            <a:ext cx="952500" cy="245745"/>
                          </a:xfrm>
                          <a:prstGeom prst="rect">
                            <a:avLst/>
                          </a:prstGeom>
                          <a:noFill/>
                          <a:ln>
                            <a:noFill/>
                          </a:ln>
                        </wps:spPr>
                        <wps:txbx>
                          <w:txbxContent>
                            <w:p>
                              <w:pPr>
                                <w:jc w:val="center"/>
                                <w:rPr>
                                  <w:rFonts w:hint="default" w:eastAsia="宋体"/>
                                  <w:szCs w:val="21"/>
                                  <w:lang w:val="en-US" w:eastAsia="zh-CN"/>
                                </w:rPr>
                              </w:pPr>
                              <w:r>
                                <w:rPr>
                                  <w:rFonts w:hint="eastAsia" w:eastAsia="宋体"/>
                                  <w:szCs w:val="21"/>
                                  <w:lang w:eastAsia="zh-CN"/>
                                </w:rPr>
                                <w:t>正常</w:t>
                              </w:r>
                              <w:r>
                                <w:rPr>
                                  <w:rFonts w:hint="eastAsia"/>
                                  <w:szCs w:val="21"/>
                                </w:rPr>
                                <w:t>蒸发损耗</w:t>
                              </w:r>
                            </w:p>
                          </w:txbxContent>
                        </wps:txbx>
                        <wps:bodyPr lIns="18000" tIns="36000" rIns="18000" bIns="0" upright="1"/>
                      </wps:wsp>
                    </wpc:wpc>
                  </a:graphicData>
                </a:graphic>
              </wp:inline>
            </w:drawing>
          </mc:Choice>
          <mc:Fallback>
            <w:pict>
              <v:group id="_x0000_s1026" o:spid="_x0000_s1026" o:spt="203" style="height:444.15pt;width:448.2pt;" coordsize="5692140,5640705" editas="canvas" o:gfxdata="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">
                <o:lock v:ext="edit" aspectratio="f"/>
                <v:shape id="_x0000_s1026" o:spid="_x0000_s1026" style="position:absolute;left:0;top:0;height:5640705;width:5692140;" filled="f" stroked="f" coordsize="21600,21600" o:gfxdata="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">
                  <v:fill on="f" focussize="0,0"/>
                  <v:stroke on="f"/>
                  <v:imagedata o:title=""/>
                  <o:lock v:ext="edit" aspectratio="t"/>
                </v:shape>
                <v:rect id="矩形 3" o:spid="_x0000_s1026" o:spt="1" style="position:absolute;left:1466850;top:2308860;height:297180;width:933450;" fillcolor="#FFFFFF" filled="t" stroked="t" coordsize="21600,21600" o:gfxdata="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Wc91wAAAAUBAAAPAAAAAAAAAAEAIAAAACIA&#10;AABkcnMvZG93bnJldi54bWxQSwECFAAUAAAACACHTuJAsgdJ+goCAAAbBAAADgAAAAAAAAABACAA&#10;AAAmAQAAZHJzL2Uyb0RvYy54bWxQSwUGAAAAAAYABgBZAQAAogUAAAAA&#10;">
                  <v:fill on="t" focussize="0,0"/>
                  <v:stroke color="#000000" joinstyle="miter"/>
                  <v:imagedata o:title=""/>
                  <o:lock v:ext="edit" aspectratio="f"/>
                  <v:textbox inset="1.5mm,1.27mm,1.5mm,1.27mm">
                    <w:txbxContent>
                      <w:p>
                        <w:pPr>
                          <w:ind w:firstLine="210" w:firstLineChars="100"/>
                          <w:rPr>
                            <w:szCs w:val="21"/>
                          </w:rPr>
                        </w:pPr>
                        <w:r>
                          <w:rPr>
                            <w:rFonts w:hint="eastAsia" w:eastAsia="宋体"/>
                            <w:szCs w:val="21"/>
                            <w:lang w:eastAsia="zh-CN"/>
                          </w:rPr>
                          <w:t>检验</w:t>
                        </w:r>
                        <w:r>
                          <w:rPr>
                            <w:rFonts w:hint="eastAsia"/>
                            <w:szCs w:val="21"/>
                          </w:rPr>
                          <w:t>用水</w:t>
                        </w:r>
                      </w:p>
                    </w:txbxContent>
                  </v:textbox>
                </v:rect>
                <v:line id="直接连接符 18" o:spid="_x0000_s1026" o:spt="20" style="position:absolute;left:638175;top:506730;height:4380865;width:6350;" filled="f" stroked="t" coordsize="21600,21600" o:gfxdata="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j5OINQA&#10;AAAFAQAADwAAAAAAAAABACAAAAAiAAAAZHJzL2Rvd25yZXYueG1sUEsBAhQAFAAAAAgAh07iQOmP&#10;z3fqAQAApQMAAA4AAAAAAAAAAQAgAAAAIwEAAGRycy9lMm9Eb2MueG1sUEsFBgAAAAAGAAYAWQEA&#10;AH8FAAAAAA==&#10;">
                  <v:fill on="f" focussize="0,0"/>
                  <v:stroke color="#000000" joinstyle="round"/>
                  <v:imagedata o:title=""/>
                  <o:lock v:ext="edit" aspectratio="f"/>
                </v:line>
                <v:rect id="矩形 20" o:spid="_x0000_s1026" o:spt="1" style="position:absolute;left:324485;top:285750;height:188595;width:561975;"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f3GNtYAAAAFAQAADwAAAAAA&#10;AAABACAAAAAiAAAAZHJzL2Rvd25yZXYueG1sUEsBAhQAFAAAAAgAh07iQFguREWjAQAAKgMAAA4A&#10;AAAAAAAAAQAgAAAAJQEAAGRycy9lMm9Eb2MueG1sUEsFBgAAAAAGAAYAWQEAADoFAAAAAA==&#10;">
                  <v:fill on="f" focussize="0,0"/>
                  <v:stroke on="f"/>
                  <v:imagedata o:title=""/>
                  <o:lock v:ext="edit" aspectratio="f"/>
                  <v:textbox inset="0.5mm,0mm,0.5mm,0mm">
                    <w:txbxContent>
                      <w:p>
                        <w:pPr>
                          <w:jc w:val="center"/>
                          <w:rPr>
                            <w:rFonts w:hint="default" w:ascii="Times New Roman" w:hAnsi="Times New Roman" w:eastAsia="黑体" w:cs="Times New Roman"/>
                            <w:b/>
                            <w:bCs w:val="0"/>
                            <w:sz w:val="24"/>
                            <w:szCs w:val="24"/>
                            <w:highlight w:val="none"/>
                            <w:lang w:val="en-US" w:eastAsia="zh-CN"/>
                          </w:rPr>
                        </w:pPr>
                        <w:r>
                          <w:rPr>
                            <w:rFonts w:hint="eastAsia" w:eastAsia="黑体" w:cs="Times New Roman"/>
                            <w:b/>
                            <w:bCs w:val="0"/>
                            <w:sz w:val="24"/>
                            <w:szCs w:val="24"/>
                            <w:highlight w:val="none"/>
                            <w:lang w:val="en-US" w:eastAsia="zh-CN"/>
                          </w:rPr>
                          <w:t>292.45</w:t>
                        </w:r>
                      </w:p>
                    </w:txbxContent>
                  </v:textbox>
                </v:rect>
                <v:line id="直接连接符 22" o:spid="_x0000_s1026" o:spt="20" style="position:absolute;left:3307080;top:812800;height:1504950;width:0;" filled="f" stroked="t" coordsize="21600,21600" o:gfxdata="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E6&#10;lVDTAAAABQEAAA8AAAAAAAAAAQAgAAAAIgAAAGRycy9kb3ducmV2LnhtbFBLAQIUABQAAAAIAIdO&#10;4kDvxsXp7wEAAKYDAAAOAAAAAAAAAAEAIAAAACIBAABkcnMvZTJvRG9jLnhtbFBLBQYAAAAABgAG&#10;AFkBAACDBQAAAAA=&#10;">
                  <v:fill on="f" focussize="0,0"/>
                  <v:stroke color="#000000" joinstyle="round" endarrow="classic"/>
                  <v:imagedata o:title=""/>
                  <o:lock v:ext="edit" aspectratio="f"/>
                </v:line>
                <v:rect id="矩形 23" o:spid="_x0000_s1026" o:spt="1" style="position:absolute;left:2533650;top:2270760;height:198120;width:333375;"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39xjbWAAAABQEAAA8AAAAA&#10;AAAAAQAgAAAAIgAAAGRycy9kb3ducmV2LnhtbFBLAQIUABQAAAAIAIdO4kAarlo7pAEAACwDAAAO&#10;AAAAAAAAAAEAIAAAACUBAABkcnMvZTJvRG9jLnhtbFBLBQYAAAAABgAGAFkBAAA7BQAAAAA=&#10;">
                  <v:fill on="f" focussize="0,0"/>
                  <v:stroke on="f"/>
                  <v:imagedata o:title=""/>
                  <o:lock v:ext="edit" aspectratio="f"/>
                  <v:textbox inset="0.5mm,0mm,0.5mm,0mm">
                    <w:txbxContent>
                      <w:p>
                        <w:pPr>
                          <w:jc w:val="center"/>
                          <w:rPr>
                            <w:rFonts w:hint="default" w:eastAsia="宋体"/>
                            <w:szCs w:val="21"/>
                            <w:lang w:val="en-US" w:eastAsia="zh-CN"/>
                          </w:rPr>
                        </w:pPr>
                        <w:r>
                          <w:rPr>
                            <w:rFonts w:hint="eastAsia" w:eastAsia="宋体"/>
                            <w:szCs w:val="21"/>
                            <w:lang w:val="en-US" w:eastAsia="zh-CN"/>
                          </w:rPr>
                          <w:t>0.09</w:t>
                        </w:r>
                      </w:p>
                    </w:txbxContent>
                  </v:textbox>
                </v:rect>
                <v:line id="直接连接符 29" o:spid="_x0000_s1026" o:spt="20" style="position:absolute;left:4485640;top:2697480;height:272415;width:635;" filled="f" stroked="t" coordsize="21600,21600" o:gfxdata="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Su1A1gAAAAUBAAAPAAAAAAAAAAEAIAAAACIAAABkcnMvZG93bnJldi54bWxQSwECFAAUAAAA&#10;CACHTuJAAtKT1PABAACpAwAADgAAAAAAAAABACAAAAAlAQAAZHJzL2Uyb0RvYy54bWxQSwUGAAAA&#10;AAYABgBZAQAAhwUAAAAA&#10;">
                  <v:fill on="f" focussize="0,0"/>
                  <v:stroke color="#000000" joinstyle="round" endarrow="block"/>
                  <v:imagedata o:title=""/>
                  <o:lock v:ext="edit" aspectratio="f"/>
                </v:line>
                <v:rect id="矩形 33" o:spid="_x0000_s1026" o:spt="1" style="position:absolute;left:669925;top:5220970;height:226060;width:3258185;"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39xjbWAAAABQEAAA8A&#10;AAAAAAAAAQAgAAAAIgAAAGRycy9kb3ducmV2LnhtbFBLAQIUABQAAAAIAIdO4kD13R01pwEAACwD&#10;AAAOAAAAAAAAAAEAIAAAACUBAABkcnMvZTJvRG9jLnhtbFBLBQYAAAAABgAGAFkBAAA+BQAAAAA=&#10;">
                  <v:fill on="f" focussize="0,0"/>
                  <v:stroke on="f"/>
                  <v:imagedata o:title=""/>
                  <o:lock v:ext="edit" aspectratio="f"/>
                  <v:textbox inset="0.5mm,0mm,0.5mm,0mm">
                    <w:txbxContent>
                      <w:p>
                        <w:pPr>
                          <w:jc w:val="center"/>
                          <w:rPr>
                            <w:rFonts w:ascii="黑体" w:hAnsi="黑体" w:eastAsia="黑体"/>
                            <w:szCs w:val="21"/>
                            <w:highlight w:val="yellow"/>
                          </w:rPr>
                        </w:pPr>
                        <w:r>
                          <w:rPr>
                            <w:rFonts w:hint="eastAsia" w:ascii="黑体" w:hAnsi="黑体" w:eastAsia="黑体"/>
                            <w:sz w:val="24"/>
                          </w:rPr>
                          <w:t>图</w:t>
                        </w:r>
                        <w:r>
                          <w:rPr>
                            <w:rFonts w:hint="eastAsia" w:ascii="黑体" w:hAnsi="黑体" w:eastAsia="黑体"/>
                            <w:sz w:val="24"/>
                            <w:lang w:val="en-US" w:eastAsia="zh-CN"/>
                          </w:rPr>
                          <w:t>3-3</w:t>
                        </w:r>
                        <w:r>
                          <w:rPr>
                            <w:rFonts w:hint="eastAsia" w:ascii="黑体" w:hAnsi="黑体" w:eastAsia="黑体"/>
                            <w:sz w:val="24"/>
                          </w:rPr>
                          <w:t xml:space="preserve">    </w:t>
                        </w:r>
                        <w:r>
                          <w:rPr>
                            <w:rFonts w:hint="eastAsia" w:ascii="黑体" w:hAnsi="黑体" w:eastAsia="黑体"/>
                            <w:sz w:val="24"/>
                            <w:highlight w:val="none"/>
                            <w:lang w:eastAsia="zh-CN"/>
                          </w:rPr>
                          <w:t>项目用排水</w:t>
                        </w:r>
                        <w:r>
                          <w:rPr>
                            <w:rFonts w:ascii="黑体" w:hAnsi="黑体" w:eastAsia="黑体"/>
                            <w:sz w:val="24"/>
                            <w:highlight w:val="none"/>
                          </w:rPr>
                          <w:t>平衡图</w:t>
                        </w:r>
                        <w:r>
                          <w:rPr>
                            <w:rFonts w:hint="eastAsia" w:ascii="黑体" w:hAnsi="黑体" w:eastAsia="黑体"/>
                            <w:sz w:val="24"/>
                            <w:highlight w:val="none"/>
                          </w:rPr>
                          <w:t xml:space="preserve">    </w:t>
                        </w:r>
                        <w:r>
                          <w:rPr>
                            <w:rFonts w:hint="eastAsia" w:ascii="黑体" w:hAnsi="黑体" w:eastAsia="黑体"/>
                            <w:szCs w:val="21"/>
                            <w:highlight w:val="none"/>
                          </w:rPr>
                          <w:t>单位：</w:t>
                        </w:r>
                        <w:r>
                          <w:rPr>
                            <w:rFonts w:hint="eastAsia" w:ascii="Calibri" w:hAnsi="Calibri"/>
                            <w:szCs w:val="21"/>
                            <w:highlight w:val="none"/>
                          </w:rPr>
                          <w:t>t</w:t>
                        </w:r>
                        <w:r>
                          <w:rPr>
                            <w:rFonts w:ascii="Calibri" w:hAnsi="Calibri"/>
                            <w:szCs w:val="21"/>
                            <w:highlight w:val="none"/>
                          </w:rPr>
                          <w:t>/d</w:t>
                        </w:r>
                      </w:p>
                    </w:txbxContent>
                  </v:textbox>
                </v:rect>
                <v:line id="直接连接符 35" o:spid="_x0000_s1026" o:spt="20" style="position:absolute;left:647700;top:2461895;flip:y;height:3175;width:807720;" filled="f" stroked="t" coordsize="21600,21600" o:gfxdata="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kieBPWAAAABQEAAA8AAAAAAAAAAQAgAAAAIgAAAGRycy9kb3ducmV2Lnht&#10;bFBLAQIUABQAAAAIAIdO4kCzLbqM+wEAALMDAAAOAAAAAAAAAAEAIAAAACUBAABkcnMvZTJvRG9j&#10;LnhtbFBLBQYAAAAABgAGAFkBAACSBQAAAAA=&#10;">
                  <v:fill on="f" focussize="0,0"/>
                  <v:stroke color="#000000" joinstyle="round" endarrow="block"/>
                  <v:imagedata o:title=""/>
                  <o:lock v:ext="edit" aspectratio="f"/>
                </v:line>
                <v:rect id="矩形 36" o:spid="_x0000_s1026" o:spt="1" style="position:absolute;left:1476375;top:1464945;height:297180;width:933450;" fillcolor="#FFFFFF" filled="t" stroked="t" coordsize="21600,21600" o:gfxdata="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Wc91wAAAAUBAAAPAAAAAAAAAAEAIAAA&#10;ACIAAABkcnMvZG93bnJldi54bWxQSwECFAAUAAAACACHTuJAXLgaxQ0CAAAcBAAADgAAAAAAAAAB&#10;ACAAAAAmAQAAZHJzL2Uyb0RvYy54bWxQSwUGAAAAAAYABgBZAQAApQUAAAAA&#10;">
                  <v:fill on="t" focussize="0,0"/>
                  <v:stroke color="#000000" joinstyle="miter"/>
                  <v:imagedata o:title=""/>
                  <o:lock v:ext="edit" aspectratio="f"/>
                  <v:textbox inset="1.5mm,1.27mm,1.5mm,1.27mm">
                    <w:txbxContent>
                      <w:p>
                        <w:pPr>
                          <w:jc w:val="center"/>
                          <w:rPr>
                            <w:szCs w:val="21"/>
                          </w:rPr>
                        </w:pPr>
                        <w:r>
                          <w:rPr>
                            <w:rFonts w:hint="eastAsia"/>
                            <w:szCs w:val="21"/>
                          </w:rPr>
                          <w:t>屠宰用水</w:t>
                        </w:r>
                      </w:p>
                    </w:txbxContent>
                  </v:textbox>
                </v:rect>
                <v:rect id="矩形 37" o:spid="_x0000_s1026" o:spt="1" style="position:absolute;left:838200;top:2257425;height:198120;width:41910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39xjbWAAAABQEAAA8AAAAA&#10;AAAAAQAgAAAAIgAAAGRycy9kb3ducmV2LnhtbFBLAQIUABQAAAAIAIdO4kBjxhC0pAEAACsDAAAO&#10;AAAAAAAAAAEAIAAAACUBAABkcnMvZTJvRG9jLnhtbFBLBQYAAAAABgAGAFkBAAA7BQAAAAA=&#10;">
                  <v:fill on="f" focussize="0,0"/>
                  <v:stroke on="f"/>
                  <v:imagedata o:title=""/>
                  <o:lock v:ext="edit" aspectratio="f"/>
                  <v:textbox inset="0.5mm,0mm,0.5mm,0mm">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0.1</w:t>
                        </w:r>
                      </w:p>
                    </w:txbxContent>
                  </v:textbox>
                </v:rect>
                <v:rect id="矩形 38" o:spid="_x0000_s1026" o:spt="1" style="position:absolute;left:4095750;top:2255520;height:439420;width:810260;" fillcolor="#FFFFFF" filled="t" stroked="t" coordsize="21600,21600" o:gfxdata="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rLDG1AAAAAUBAAAPAAAAAAAAAAEAIAAAACIAAABk&#10;cnMvZG93bnJldi54bWxQSwECFAAUAAAACACHTuJALujwUAoCAAAUBAAADgAAAAAAAAABACAAAAAj&#10;AQAAZHJzL2Uyb0RvYy54bWxQSwUGAAAAAAYABgBZAQAAnwUAAAAA&#10;">
                  <v:fill on="t" focussize="0,0"/>
                  <v:stroke color="#000000" joinstyle="miter"/>
                  <v:imagedata o:title=""/>
                  <o:lock v:ext="edit" aspectratio="f"/>
                  <v:textbox inset="0mm,1.27mm,0mm,1.27mm">
                    <w:txbxContent>
                      <w:p>
                        <w:pPr>
                          <w:jc w:val="center"/>
                          <w:rPr>
                            <w:rFonts w:hint="eastAsia"/>
                            <w:szCs w:val="21"/>
                          </w:rPr>
                        </w:pPr>
                        <w:r>
                          <w:rPr>
                            <w:rFonts w:hint="eastAsia"/>
                            <w:szCs w:val="21"/>
                            <w:lang w:eastAsia="zh-CN"/>
                          </w:rPr>
                          <w:t>厂区</w:t>
                        </w:r>
                        <w:r>
                          <w:rPr>
                            <w:rFonts w:hint="eastAsia"/>
                            <w:szCs w:val="21"/>
                          </w:rPr>
                          <w:t>废水</w:t>
                        </w:r>
                      </w:p>
                      <w:p>
                        <w:pPr>
                          <w:jc w:val="center"/>
                          <w:rPr>
                            <w:rFonts w:hint="eastAsia" w:eastAsia="宋体"/>
                            <w:szCs w:val="21"/>
                            <w:lang w:eastAsia="zh-CN"/>
                          </w:rPr>
                        </w:pPr>
                        <w:r>
                          <w:rPr>
                            <w:rFonts w:hint="eastAsia"/>
                            <w:szCs w:val="21"/>
                          </w:rPr>
                          <w:t>处理</w:t>
                        </w:r>
                        <w:r>
                          <w:rPr>
                            <w:rFonts w:hint="eastAsia"/>
                            <w:szCs w:val="21"/>
                            <w:lang w:eastAsia="zh-CN"/>
                          </w:rPr>
                          <w:t>站</w:t>
                        </w:r>
                      </w:p>
                    </w:txbxContent>
                  </v:textbox>
                </v:rect>
                <v:rect id="矩形 40" o:spid="_x0000_s1026" o:spt="1" style="position:absolute;left:3028950;top:2322195;height:306705;width:561975;" fillcolor="#FFFFFF" filled="t" stroked="t" coordsize="21600,21600" o:gfxdata="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1VnPdcAAAAFAQAADwAAAAAAAAABACAAAAAi&#10;AAAAZHJzL2Rvd25yZXYueG1sUEsBAhQAFAAAAAgAh07iQOX5EdMLAgAAHAQAAA4AAAAAAAAAAQAg&#10;AAAAJgEAAGRycy9lMm9Eb2MueG1sUEsFBgAAAAAGAAYAWQEAAKMFAAAAAA==&#10;">
                  <v:fill on="t" focussize="0,0"/>
                  <v:stroke color="#000000" joinstyle="miter"/>
                  <v:imagedata o:title=""/>
                  <o:lock v:ext="edit" aspectratio="f"/>
                  <v:textbox inset="1.5mm,1.27mm,1.5mm,1.27mm">
                    <w:txbxContent>
                      <w:p>
                        <w:pPr>
                          <w:jc w:val="center"/>
                          <w:rPr>
                            <w:szCs w:val="21"/>
                          </w:rPr>
                        </w:pPr>
                        <w:r>
                          <w:rPr>
                            <w:rFonts w:hint="eastAsia"/>
                            <w:szCs w:val="21"/>
                            <w:lang w:eastAsia="zh-CN"/>
                          </w:rPr>
                          <w:t>调节池</w:t>
                        </w:r>
                      </w:p>
                    </w:txbxContent>
                  </v:textbox>
                </v:rect>
                <v:line id="直接连接符 42" o:spid="_x0000_s1026" o:spt="20" style="position:absolute;left:1771650;top:809625;height:635;width:504825;" filled="f" stroked="t" coordsize="21600,21600" o:gfxdata="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UwdtrUAAAABQEAAA8AAAAAAAAAAQAgAAAAIgAAAGRycy9kb3ducmV2LnhtbFBLAQIUABQAAAAI&#10;AIdO4kA1JZBa8QEAAKYDAAAOAAAAAAAAAAEAIAAAACMBAABkcnMvZTJvRG9jLnhtbFBLBQYAAAAA&#10;BgAGAFkBAACGBQAAAAA=&#10;">
                  <v:fill on="f" focussize="0,0"/>
                  <v:stroke color="#000000" joinstyle="round" dashstyle="dash" endarrow="classic"/>
                  <v:imagedata o:title=""/>
                  <o:lock v:ext="edit" aspectratio="f"/>
                </v:line>
                <v:rect id="矩形 45" o:spid="_x0000_s1026" o:spt="1" style="position:absolute;left:838200;top:590550;height:198120;width:41910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39xjbWAAAABQEAAA8AAAAAAAAA&#10;AQAgAAAAIgAAAGRycy9kb3ducmV2LnhtbFBLAQIUABQAAAAIAIdO4kDui3EJoQEAACoDAAAOAAAA&#10;AAAAAAEAIAAAACUBAABkcnMvZTJvRG9jLnhtbFBLBQYAAAAABgAGAFkBAAA4BQAAAAA=&#10;">
                  <v:fill on="f" focussize="0,0"/>
                  <v:stroke on="f"/>
                  <v:imagedata o:title=""/>
                  <o:lock v:ext="edit" aspectratio="f"/>
                  <v:textbox inset="0.5mm,0mm,0.5mm,0mm">
                    <w:txbxContent>
                      <w:p>
                        <w:pPr>
                          <w:jc w:val="center"/>
                          <w:rPr>
                            <w:rFonts w:hint="default" w:ascii="Times New Roman" w:hAnsi="Times New Roman" w:eastAsia="黑体" w:cs="Times New Roman"/>
                            <w:b w:val="0"/>
                            <w:bCs/>
                            <w:szCs w:val="21"/>
                            <w:lang w:val="en-US" w:eastAsia="zh-CN"/>
                          </w:rPr>
                        </w:pPr>
                        <w:r>
                          <w:rPr>
                            <w:rFonts w:hint="default" w:ascii="Times New Roman" w:hAnsi="Times New Roman" w:eastAsia="黑体" w:cs="Times New Roman"/>
                            <w:b w:val="0"/>
                            <w:bCs/>
                            <w:szCs w:val="21"/>
                          </w:rPr>
                          <w:t>4</w:t>
                        </w:r>
                        <w:r>
                          <w:rPr>
                            <w:rFonts w:hint="eastAsia" w:ascii="Times New Roman" w:hAnsi="Times New Roman" w:eastAsia="黑体" w:cs="Times New Roman"/>
                            <w:b w:val="0"/>
                            <w:bCs/>
                            <w:szCs w:val="21"/>
                            <w:lang w:val="en-US" w:eastAsia="zh-CN"/>
                          </w:rPr>
                          <w:t>.5</w:t>
                        </w:r>
                      </w:p>
                    </w:txbxContent>
                  </v:textbox>
                </v:rect>
                <v:line id="直接连接符 46" o:spid="_x0000_s1026" o:spt="20" style="position:absolute;left:638175;top:798195;height:635;width:838200;" filled="f" stroked="t" coordsize="21600,21600" o:gfxdata="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FK7UDWAAAABQEAAA8AAAAAAAAAAQAgAAAAIgAAAGRycy9kb3ducmV2LnhtbFBLAQIUABQA&#10;AAAIAIdO4kCyldM38gEAAKcDAAAOAAAAAAAAAAEAIAAAACUBAABkcnMvZTJvRG9jLnhtbFBLBQYA&#10;AAAABgAGAFkBAACJBQAAAAA=&#10;">
                  <v:fill on="f" focussize="0,0"/>
                  <v:stroke color="#000000" joinstyle="round" endarrow="block"/>
                  <v:imagedata o:title=""/>
                  <o:lock v:ext="edit" aspectratio="f"/>
                </v:line>
                <v:rect id="矩形 47" o:spid="_x0000_s1026" o:spt="1" style="position:absolute;left:1504950;top:645795;height:297180;width:933450;" fillcolor="#FFFFFF" filled="t" stroked="t" coordsize="21600,21600" o:gfxdata="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1VnPdcAAAAFAQAADwAAAAAAAAABACAAAAAi&#10;AAAAZHJzL2Rvd25yZXYueG1sUEsBAhQAFAAAAAgAh07iQJcWi1QLAgAAGwQAAA4AAAAAAAAAAQAg&#10;AAAAJgEAAGRycy9lMm9Eb2MueG1sUEsFBgAAAAAGAAYAWQEAAKMFAAAAAA==&#10;">
                  <v:fill on="t" focussize="0,0"/>
                  <v:stroke color="#000000" joinstyle="miter"/>
                  <v:imagedata o:title=""/>
                  <o:lock v:ext="edit" aspectratio="f"/>
                  <v:textbox inset="1.5mm,1.27mm,1.5mm,1.27mm">
                    <w:txbxContent>
                      <w:p>
                        <w:pPr>
                          <w:jc w:val="center"/>
                          <w:rPr>
                            <w:rFonts w:hint="eastAsia" w:eastAsia="宋体"/>
                            <w:szCs w:val="21"/>
                            <w:lang w:eastAsia="zh-CN"/>
                          </w:rPr>
                        </w:pPr>
                        <w:r>
                          <w:rPr>
                            <w:rFonts w:hint="eastAsia"/>
                            <w:szCs w:val="21"/>
                            <w:lang w:eastAsia="zh-CN"/>
                          </w:rPr>
                          <w:t>待宰间用水</w:t>
                        </w:r>
                      </w:p>
                    </w:txbxContent>
                  </v:textbox>
                </v:rect>
                <v:line id="直接连接符 49" o:spid="_x0000_s1026" o:spt="20" style="position:absolute;left:628650;top:1617345;height:635;width:847725;" filled="f" stroked="t" coordsize="21600,21600" o:gfxdata="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FK7UDWAAAABQEAAA8AAAAAAAAAAQAgAAAAIgAAAGRycy9kb3ducmV2LnhtbFBLAQIUABQA&#10;AAAIAIdO4kCONyiU8gEAAKgDAAAOAAAAAAAAAAEAIAAAACUBAABkcnMvZTJvRG9jLnhtbFBLBQYA&#10;AAAABgAGAFkBAACJBQAAAAA=&#10;">
                  <v:fill on="f" focussize="0,0"/>
                  <v:stroke color="#000000" joinstyle="round" endarrow="block"/>
                  <v:imagedata o:title=""/>
                  <o:lock v:ext="edit" aspectratio="f"/>
                </v:line>
                <v:line id="直接连接符 54" o:spid="_x0000_s1026" o:spt="20" style="position:absolute;left:1961515;top:463550;flip:y;height:176530;width:316865;" filled="f" stroked="t" coordsize="21600,21600" o:gfxdata="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8EKMT1wAAAAUBAAAPAAAAAAAAAAEAIAAAACIAAABkcnMvZG93bnJldi54&#10;bWxQSwECFAAUAAAACACHTuJAn5iWmPsBAACzAwAADgAAAAAAAAABACAAAAAmAQAAZHJzL2Uyb0Rv&#10;Yy54bWxQSwUGAAAAAAYABgBZAQAAkwUAAAAA&#10;">
                  <v:fill on="f" focussize="0,0"/>
                  <v:stroke color="#000000" joinstyle="round" dashstyle="dash" endarrow="classic"/>
                  <v:imagedata o:title=""/>
                  <o:lock v:ext="edit" aspectratio="f"/>
                </v:line>
                <v:rect id="矩形 56" o:spid="_x0000_s1026" o:spt="1" style="position:absolute;left:1781175;top:224790;height:245745;width:847090;" filled="f" stroked="f" coordsize="21600,21600" o:gfxdata="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l3FD3YAAAABQEA&#10;AA8AAAAAAAAAAQAgAAAAIgAAAGRycy9kb3ducmV2LnhtbFBLAQIUABQAAAAIAIdO4kCt/weSqAEA&#10;AC8DAAAOAAAAAAAAAAEAIAAAACcBAABkcnMvZTJvRG9jLnhtbFBLBQYAAAAABgAGAFkBAABBBQAA&#10;AAA=&#10;">
                  <v:fill on="f" focussize="0,0"/>
                  <v:stroke on="f"/>
                  <v:imagedata o:title=""/>
                  <o:lock v:ext="edit" aspectratio="f"/>
                  <v:textbox inset="0.5mm,1mm,0.5mm,0mm">
                    <w:txbxContent>
                      <w:p>
                        <w:pPr>
                          <w:jc w:val="center"/>
                          <w:rPr>
                            <w:rFonts w:hint="default" w:eastAsia="宋体"/>
                            <w:szCs w:val="21"/>
                            <w:lang w:val="en-US" w:eastAsia="zh-CN"/>
                          </w:rPr>
                        </w:pPr>
                        <w:r>
                          <w:rPr>
                            <w:rFonts w:hint="eastAsia"/>
                            <w:szCs w:val="21"/>
                          </w:rPr>
                          <w:t>蒸发损耗</w:t>
                        </w:r>
                        <w:r>
                          <w:rPr>
                            <w:rFonts w:hint="eastAsia"/>
                            <w:szCs w:val="21"/>
                            <w:lang w:val="en-US" w:eastAsia="zh-CN"/>
                          </w:rPr>
                          <w:t>0.45</w:t>
                        </w:r>
                      </w:p>
                    </w:txbxContent>
                  </v:textbox>
                </v:rect>
                <v:rect id="矩形 68" o:spid="_x0000_s1026" o:spt="1" style="position:absolute;left:742315;top:1430655;height:188595;width:54229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ff3GNtYAAAAFAQAADwAA&#10;AAAAAAABACAAAAAiAAAAZHJzL2Rvd25yZXYueG1sUEsBAhQAFAAAAAgAh07iQDZjbummAQAAKwMA&#10;AA4AAAAAAAAAAQAgAAAAJQEAAGRycy9lMm9Eb2MueG1sUEsFBgAAAAAGAAYAWQEAAD0FAAAAAA==&#10;">
                  <v:fill on="f" focussize="0,0"/>
                  <v:stroke on="f"/>
                  <v:imagedata o:title=""/>
                  <o:lock v:ext="edit" aspectratio="f"/>
                  <v:textbox inset="0.5mm,0mm,0.5mm,0mm">
                    <w:txbxContent>
                      <w:p>
                        <w:pPr>
                          <w:jc w:val="center"/>
                          <w:rPr>
                            <w:rFonts w:hint="default" w:eastAsia="宋体"/>
                            <w:szCs w:val="21"/>
                            <w:lang w:val="en-US" w:eastAsia="zh-CN"/>
                          </w:rPr>
                        </w:pPr>
                        <w:r>
                          <w:rPr>
                            <w:rFonts w:hint="eastAsia"/>
                            <w:szCs w:val="21"/>
                            <w:lang w:val="en-US" w:eastAsia="zh-CN"/>
                          </w:rPr>
                          <w:t>274.3</w:t>
                        </w:r>
                      </w:p>
                    </w:txbxContent>
                  </v:textbox>
                </v:rect>
                <v:rect id="矩形 69" o:spid="_x0000_s1026" o:spt="1" style="position:absolute;left:3609340;top:2231390;height:235585;width:47625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39xjbWAAAABQEAAA8A&#10;AAAAAAAAAQAgAAAAIgAAAGRycy9kb3ducmV2LnhtbFBLAQIUABQAAAAIAIdO4kBTiFYcpwEAACwD&#10;AAAOAAAAAAAAAAEAIAAAACUBAABkcnMvZTJvRG9jLnhtbFBLBQYAAAAABgAGAFkBAAA+BQAAAAA=&#10;">
                  <v:fill on="f" focussize="0,0"/>
                  <v:stroke on="f"/>
                  <v:imagedata o:title=""/>
                  <o:lock v:ext="edit" aspectratio="f"/>
                  <v:textbox inset="0.5mm,0mm,0.5mm,0mm">
                    <w:txbxContent>
                      <w:p>
                        <w:pPr>
                          <w:keepNext w:val="0"/>
                          <w:keepLines w:val="0"/>
                          <w:pageBreakBefore w:val="0"/>
                          <w:widowControl w:val="0"/>
                          <w:kinsoku w:val="0"/>
                          <w:wordWrap/>
                          <w:overflowPunct/>
                          <w:topLinePunct w:val="0"/>
                          <w:bidi w:val="0"/>
                          <w:adjustRightInd w:val="0"/>
                          <w:snapToGrid w:val="0"/>
                          <w:ind w:left="-105" w:leftChars="-50" w:right="-105" w:rightChars="-50"/>
                          <w:jc w:val="center"/>
                          <w:textAlignment w:val="baseline"/>
                          <w:rPr>
                            <w:rFonts w:hint="default" w:eastAsia="宋体"/>
                            <w:b/>
                            <w:bCs/>
                            <w:szCs w:val="21"/>
                            <w:lang w:val="en-US" w:eastAsia="zh-CN"/>
                          </w:rPr>
                        </w:pPr>
                        <w:r>
                          <w:rPr>
                            <w:rFonts w:hint="eastAsia"/>
                            <w:b/>
                            <w:bCs/>
                            <w:szCs w:val="21"/>
                            <w:lang w:val="en-US" w:eastAsia="zh-CN"/>
                          </w:rPr>
                          <w:t>255.54</w:t>
                        </w:r>
                      </w:p>
                    </w:txbxContent>
                  </v:textbox>
                </v:rect>
                <v:rect id="矩形 59" o:spid="_x0000_s1026" o:spt="1" style="position:absolute;left:4143375;top:2967990;height:464820;width:647700;" filled="f" stroked="f" coordsize="21600,21600" o:gfxdata="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l3FD3YAAAA&#10;BQEAAA8AAAAAAAAAAQAgAAAAIgAAAGRycy9kb3ducmV2LnhtbFBLAQIUABQAAAAIAIdO4kAC3HPQ&#10;qwEAADADAAAOAAAAAAAAAAEAIAAAACcBAABkcnMvZTJvRG9jLnhtbFBLBQYAAAAABgAGAFkBAABE&#10;BQAAAAA=&#10;">
                  <v:fill on="f" focussize="0,0"/>
                  <v:stroke on="f"/>
                  <v:imagedata o:title=""/>
                  <o:lock v:ext="edit" aspectratio="f"/>
                  <v:textbox inset="0.5mm,1mm,0.5mm,0mm">
                    <w:txbxContent>
                      <w:p>
                        <w:pPr>
                          <w:jc w:val="center"/>
                          <w:rPr>
                            <w:rFonts w:hint="eastAsia" w:eastAsia="宋体"/>
                            <w:szCs w:val="21"/>
                            <w:lang w:eastAsia="zh-CN"/>
                          </w:rPr>
                        </w:pPr>
                        <w:r>
                          <w:rPr>
                            <w:rFonts w:hint="eastAsia"/>
                            <w:szCs w:val="21"/>
                            <w:lang w:eastAsia="zh-CN"/>
                          </w:rPr>
                          <w:t>市政污水管网</w:t>
                        </w:r>
                      </w:p>
                    </w:txbxContent>
                  </v:textbox>
                </v:rect>
                <v:line id="直接连接符 35" o:spid="_x0000_s1026" o:spt="20" style="position:absolute;left:2447925;top:787400;flip:y;height:1270;width:812800;" filled="f" stroked="t" coordsize="21600,21600" o:gfxdata="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SJ4E9YAAAAFAQAADwAAAAAAAAABACAAAAAiAAAAZHJzL2Rvd25yZXYueG1s&#10;UEsBAhQAFAAAAAgAh07iQPhmb6n6AQAAswMAAA4AAAAAAAAAAQAgAAAAJQEAAGRycy9lMm9Eb2Mu&#10;eG1sUEsFBgAAAAAGAAYAWQEAAJEFAAAAAA==&#10;">
                  <v:fill on="f" focussize="0,0"/>
                  <v:stroke color="#000000" joinstyle="round" endarrow="block"/>
                  <v:imagedata o:title=""/>
                  <o:lock v:ext="edit" aspectratio="f"/>
                </v:line>
                <v:line id="直接连接符 18" o:spid="_x0000_s1026" o:spt="20" style="position:absolute;left:549275;top:506730;flip:x;height:4409440;width:3175;" filled="f" stroked="t" coordsize="21600,21600" o:gfxdata="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11&#10;aWDTAAAABQEAAA8AAAAAAAAAAQAgAAAAIgAAAGRycy9kb3ducmV2LnhtbFBLAQIUABQAAAAIAIdO&#10;4kCcJNOH7wEAALADAAAOAAAAAAAAAAEAIAAAACIBAABkcnMvZTJvRG9jLnhtbFBLBQYAAAAABgAG&#10;AFkBAACDBQAAAAA=&#10;">
                  <v:fill on="f" focussize="0,0"/>
                  <v:stroke weight="3pt" color="#000000" joinstyle="round"/>
                  <v:imagedata o:title=""/>
                  <o:lock v:ext="edit" aspectratio="f"/>
                </v:line>
                <v:rect id="矩形 55" o:spid="_x0000_s1026" o:spt="1" style="position:absolute;left:2618740;top:563880;height:198120;width:466725;"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9/cY21gAAAAUBAAAPAAAA&#10;AAAAAAEAIAAAACIAAABkcnMvZG93bnJldi54bWxQSwECFAAUAAAACACHTuJA/TAU0aUBAAArAwAA&#10;DgAAAAAAAAABACAAAAAlAQAAZHJzL2Uyb0RvYy54bWxQSwUGAAAAAAYABgBZAQAAPAUAAAAA&#10;">
                  <v:fill on="f" focussize="0,0"/>
                  <v:stroke on="f"/>
                  <v:imagedata o:title=""/>
                  <o:lock v:ext="edit" aspectratio="f"/>
                  <v:textbox inset="0.5mm,0mm,0.5mm,0mm">
                    <w:txbxContent>
                      <w:p>
                        <w:pPr>
                          <w:jc w:val="center"/>
                          <w:rPr>
                            <w:rFonts w:hint="default" w:eastAsia="宋体"/>
                            <w:szCs w:val="21"/>
                            <w:lang w:val="en-US" w:eastAsia="zh-CN"/>
                          </w:rPr>
                        </w:pPr>
                        <w:r>
                          <w:rPr>
                            <w:rFonts w:hint="eastAsia"/>
                            <w:szCs w:val="21"/>
                            <w:lang w:val="en-US" w:eastAsia="zh-CN"/>
                          </w:rPr>
                          <w:t>4.05</w:t>
                        </w:r>
                      </w:p>
                    </w:txbxContent>
                  </v:textbox>
                </v:rect>
                <v:line id="直接连接符 35" o:spid="_x0000_s1026" o:spt="20" style="position:absolute;left:2428875;top:1625600;flip:y;height:1270;width:812800;" filled="f" stroked="t" coordsize="21600,21600" o:gfxdata="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ZIngT1gAAAAUBAAAPAAAAAAAAAAEAIAAAACIAAABkcnMvZG93bnJldi54bWxQ&#10;SwECFAAUAAAACACHTuJA6NBcnPkBAAC0AwAADgAAAAAAAAABACAAAAAlAQAAZHJzL2Uyb0RvYy54&#10;bWxQSwUGAAAAAAYABgBZAQAAkAUAAAAA&#10;">
                  <v:fill on="f" focussize="0,0"/>
                  <v:stroke color="#000000" joinstyle="round" endarrow="block"/>
                  <v:imagedata o:title=""/>
                  <o:lock v:ext="edit" aspectratio="f"/>
                </v:line>
                <v:rect id="矩形 55" o:spid="_x0000_s1026" o:spt="1" style="position:absolute;left:2515870;top:1402080;height:198120;width:62484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9/cY21gAAAAUBAAAPAAAA&#10;AAAAAAEAIAAAACIAAABkcnMvZG93bnJldi54bWxQSwECFAAUAAAACACHTuJA0b5n+aUBAAAsAwAA&#10;DgAAAAAAAAABACAAAAAlAQAAZHJzL2Uyb0RvYy54bWxQSwUGAAAAAAYABgBZAQAAPAUAAAAA&#10;">
                  <v:fill on="f" focussize="0,0"/>
                  <v:stroke on="f"/>
                  <v:imagedata o:title=""/>
                  <o:lock v:ext="edit" aspectratio="f"/>
                  <v:textbox inset="0.5mm,0mm,0.5mm,0mm">
                    <w:txbxContent>
                      <w:p>
                        <w:pPr>
                          <w:jc w:val="center"/>
                          <w:rPr>
                            <w:rFonts w:hint="default" w:eastAsia="宋体"/>
                            <w:szCs w:val="21"/>
                            <w:lang w:val="en-US" w:eastAsia="zh-CN"/>
                          </w:rPr>
                        </w:pPr>
                        <w:r>
                          <w:rPr>
                            <w:rFonts w:hint="eastAsia" w:eastAsia="宋体"/>
                            <w:szCs w:val="21"/>
                            <w:lang w:val="en-US" w:eastAsia="zh-CN"/>
                          </w:rPr>
                          <w:t>246.9</w:t>
                        </w:r>
                      </w:p>
                    </w:txbxContent>
                  </v:textbox>
                </v:rect>
                <v:line id="直接连接符 54" o:spid="_x0000_s1026" o:spt="20" style="position:absolute;left:1932940;top:1273175;flip:y;height:176530;width:316865;" filled="f" stroked="t" coordsize="21600,21600" o:gfxdata="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8EKMT1wAAAAUBAAAPAAAAAAAAAAEAIAAAACIAAABkcnMvZG93bnJldi54&#10;bWxQSwECFAAUAAAACACHTuJAlyjCvfsBAAC0AwAADgAAAAAAAAABACAAAAAmAQAAZHJzL2Uyb0Rv&#10;Yy54bWxQSwUGAAAAAAYABgBZAQAAkwUAAAAA&#10;">
                  <v:fill on="f" focussize="0,0"/>
                  <v:stroke color="#000000" joinstyle="round" dashstyle="dash" endarrow="classic"/>
                  <v:imagedata o:title=""/>
                  <o:lock v:ext="edit" aspectratio="f"/>
                </v:line>
                <v:rect id="矩形 56" o:spid="_x0000_s1026" o:spt="1" style="position:absolute;left:1828800;top:1015365;height:245745;width:1123315;" filled="f" stroked="f" coordsize="21600,21600" o:gfxdata="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ZdxQ92AAAAAUB&#10;AAAPAAAAAAAAAAEAIAAAACIAAABkcnMvZG93bnJldi54bWxQSwECFAAUAAAACACHTuJA8J1XLakB&#10;AAAxAwAADgAAAAAAAAABACAAAAAnAQAAZHJzL2Uyb0RvYy54bWxQSwUGAAAAAAYABgBZAQAAQgUA&#10;AAAA&#10;">
                  <v:fill on="f" focussize="0,0"/>
                  <v:stroke on="f"/>
                  <v:imagedata o:title=""/>
                  <o:lock v:ext="edit" aspectratio="f"/>
                  <v:textbox inset="0.5mm,1mm,0.5mm,0mm">
                    <w:txbxContent>
                      <w:p>
                        <w:pPr>
                          <w:jc w:val="center"/>
                          <w:rPr>
                            <w:rFonts w:hint="default" w:eastAsia="宋体"/>
                            <w:szCs w:val="21"/>
                            <w:lang w:val="en-US" w:eastAsia="zh-CN"/>
                          </w:rPr>
                        </w:pPr>
                        <w:r>
                          <w:rPr>
                            <w:rFonts w:hint="eastAsia"/>
                            <w:szCs w:val="21"/>
                          </w:rPr>
                          <w:t>蒸发损耗</w:t>
                        </w:r>
                        <w:r>
                          <w:rPr>
                            <w:rFonts w:hint="eastAsia"/>
                            <w:szCs w:val="21"/>
                            <w:lang w:val="en-US" w:eastAsia="zh-CN"/>
                          </w:rPr>
                          <w:t>27.4</w:t>
                        </w:r>
                      </w:p>
                    </w:txbxContent>
                  </v:textbox>
                </v:rect>
                <v:line id="直接连接符 54" o:spid="_x0000_s1026" o:spt="20" style="position:absolute;left:1866265;top:2130425;flip:y;height:176530;width:316865;" filled="f" stroked="t" coordsize="21600,21600" o:gfxdata="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wQoxPXAAAABQEAAA8AAAAAAAAAAQAgAAAAIgAAAGRycy9kb3ducmV2&#10;LnhtbFBLAQIUABQAAAAIAIdO4kB0wSyz/QEAALQDAAAOAAAAAAAAAAEAIAAAACYBAABkcnMvZTJv&#10;RG9jLnhtbFBLBQYAAAAABgAGAFkBAACVBQAAAAA=&#10;">
                  <v:fill on="f" focussize="0,0"/>
                  <v:stroke color="#000000" joinstyle="round" dashstyle="dash" endarrow="classic"/>
                  <v:imagedata o:title=""/>
                  <o:lock v:ext="edit" aspectratio="f"/>
                </v:line>
                <v:rect id="矩形 56" o:spid="_x0000_s1026" o:spt="1" style="position:absolute;left:1809750;top:1863090;height:245745;width:1123315;" filled="f" stroked="f" coordsize="21600,21600" o:gfxdata="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ZdxQ92AAAAAUB&#10;AAAPAAAAAAAAAAEAIAAAACIAAABkcnMvZG93bnJldi54bWxQSwECFAAUAAAACACHTuJA7o+F2akB&#10;AAAxAwAADgAAAAAAAAABACAAAAAnAQAAZHJzL2Uyb0RvYy54bWxQSwUGAAAAAAYABgBZAQAAQgUA&#10;AAAA&#10;">
                  <v:fill on="f" focussize="0,0"/>
                  <v:stroke on="f"/>
                  <v:imagedata o:title=""/>
                  <o:lock v:ext="edit" aspectratio="f"/>
                  <v:textbox inset="0.5mm,1mm,0.5mm,0mm">
                    <w:txbxContent>
                      <w:p>
                        <w:pPr>
                          <w:jc w:val="center"/>
                          <w:rPr>
                            <w:rFonts w:hint="default" w:eastAsia="宋体"/>
                            <w:szCs w:val="21"/>
                            <w:lang w:val="en-US" w:eastAsia="zh-CN"/>
                          </w:rPr>
                        </w:pPr>
                        <w:r>
                          <w:rPr>
                            <w:rFonts w:hint="eastAsia"/>
                            <w:szCs w:val="21"/>
                          </w:rPr>
                          <w:t>蒸发损耗</w:t>
                        </w:r>
                        <w:r>
                          <w:rPr>
                            <w:rFonts w:hint="eastAsia"/>
                            <w:szCs w:val="21"/>
                            <w:lang w:val="en-US" w:eastAsia="zh-CN"/>
                          </w:rPr>
                          <w:t>0.01</w:t>
                        </w:r>
                      </w:p>
                    </w:txbxContent>
                  </v:textbox>
                </v:rect>
                <v:line id="直接连接符 35" o:spid="_x0000_s1026" o:spt="20" style="position:absolute;left:2419350;top:2490470;flip:y;height:3175;width:621030;" filled="f" stroked="t" coordsize="21600,21600" o:gfxdata="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kieBPWAAAABQEAAA8AAAAAAAAAAQAgAAAAIgAAAGRycy9kb3ducmV2Lnht&#10;bFBLAQIUABQAAAAIAIdO4kAnnmp/+wEAALQDAAAOAAAAAAAAAAEAIAAAACUBAABkcnMvZTJvRG9j&#10;LnhtbFBLBQYAAAAABgAGAFkBAACSBQAAAAA=&#10;">
                  <v:fill on="f" focussize="0,0"/>
                  <v:stroke color="#000000" joinstyle="round" endarrow="block"/>
                  <v:imagedata o:title=""/>
                  <o:lock v:ext="edit" aspectratio="f"/>
                </v:line>
                <v:line id="直接连接符 35" o:spid="_x0000_s1026" o:spt="20" style="position:absolute;left:3602355;top:2505710;height:3810;width:504825;" filled="f" stroked="t" coordsize="21600,21600" o:gfxdata="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UrtQNYAAAAFAQAADwAAAAAAAAABACAAAAAiAAAAZHJzL2Rvd25yZXYueG1sUEsBAhQAFAAA&#10;AAgAh07iQCQ5cBLxAQAAqgMAAA4AAAAAAAAAAQAgAAAAJQEAAGRycy9lMm9Eb2MueG1sUEsFBgAA&#10;AAAGAAYAWQEAAIgFAAAAAA==&#10;">
                  <v:fill on="f" focussize="0,0"/>
                  <v:stroke color="#000000" joinstyle="round" endarrow="block"/>
                  <v:imagedata o:title=""/>
                  <o:lock v:ext="edit" aspectratio="f"/>
                </v:line>
                <v:rect id="_x0000_s1026" o:spid="_x0000_s1026" o:spt="1" style="position:absolute;left:1485900;top:3232785;height:297180;width:933450;" fillcolor="#FFFFFF" filled="t" stroked="t" coordsize="21600,21600" o:gfxdata="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9VZz3XAAAABQEAAA8AAAAAAAAAAQAgAAAA&#10;IgAAAGRycy9kb3ducmV2LnhtbFBLAQIUABQAAAAIAIdO4kDwF5kQDAIAABoEAAAOAAAAAAAAAAEA&#10;IAAAACYBAABkcnMvZTJvRG9jLnhtbFBLBQYAAAAABgAGAFkBAACkBQAAAAA=&#10;">
                  <v:fill on="t" focussize="0,0"/>
                  <v:stroke color="#000000" joinstyle="miter"/>
                  <v:imagedata o:title=""/>
                  <o:lock v:ext="edit" aspectratio="f"/>
                  <v:textbox inset="1.5mm,1.27mm,1.5mm,1.27mm">
                    <w:txbxContent>
                      <w:p>
                        <w:pPr>
                          <w:jc w:val="center"/>
                          <w:rPr>
                            <w:szCs w:val="21"/>
                          </w:rPr>
                        </w:pPr>
                        <w:r>
                          <w:rPr>
                            <w:rFonts w:hint="eastAsia" w:eastAsia="宋体"/>
                            <w:szCs w:val="21"/>
                            <w:lang w:eastAsia="zh-CN"/>
                          </w:rPr>
                          <w:t>车辆冲洗</w:t>
                        </w:r>
                        <w:r>
                          <w:rPr>
                            <w:rFonts w:hint="eastAsia"/>
                            <w:szCs w:val="21"/>
                          </w:rPr>
                          <w:t>用水</w:t>
                        </w:r>
                      </w:p>
                    </w:txbxContent>
                  </v:textbox>
                </v:rect>
                <v:line id="直接连接符 35" o:spid="_x0000_s1026" o:spt="20" style="position:absolute;left:666750;top:3385820;flip:y;height:3175;width:807720;" filled="f" stroked="t" coordsize="21600,21600" o:gfxdata="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kieBPWAAAABQEAAA8AAAAAAAAAAQAgAAAAIgAAAGRycy9kb3ducmV2LnhtbFBL&#10;AQIUABQAAAAIAIdO4kB2fiIQ+AEAALIDAAAOAAAAAAAAAAEAIAAAACUBAABkcnMvZTJvRG9jLnht&#10;bFBLBQYAAAAABgAGAFkBAACPBQAAAAA=&#10;">
                  <v:fill on="f" focussize="0,0"/>
                  <v:stroke color="#000000" joinstyle="round" endarrow="block"/>
                  <v:imagedata o:title=""/>
                  <o:lock v:ext="edit" aspectratio="f"/>
                </v:line>
                <v:rect id="矩形 37" o:spid="_x0000_s1026" o:spt="1" style="position:absolute;left:857250;top:3181350;height:198120;width:41910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f3GNtYAAAAFAQAADwAAAAAA&#10;AAABACAAAAAiAAAAZHJzL2Rvd25yZXYueG1sUEsBAhQAFAAAAAgAh07iQA9cnVejAQAAKgMAAA4A&#10;AAAAAAAAAQAgAAAAJQEAAGRycy9lMm9Eb2MueG1sUEsFBgAAAAAGAAYAWQEAADoFAAAAAA==&#10;">
                  <v:fill on="f" focussize="0,0"/>
                  <v:stroke on="f"/>
                  <v:imagedata o:title=""/>
                  <o:lock v:ext="edit" aspectratio="f"/>
                  <v:textbox inset="0.5mm,0mm,0.5mm,0mm">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0.55</w:t>
                        </w:r>
                      </w:p>
                    </w:txbxContent>
                  </v:textbox>
                </v:rect>
                <v:line id="直接连接符 54" o:spid="_x0000_s1026" o:spt="20" style="position:absolute;left:1885315;top:3054350;flip:y;height:176530;width:316865;" filled="f" stroked="t" coordsize="21600,21600" o:gfxdata="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wQoxPXAAAABQEAAA8AAAAAAAAAAQAgAAAAIgAAAGRycy9kb3ducmV2Lnht&#10;bFBLAQIUABQAAAAIAIdO4kBAkC1U+gEAALMDAAAOAAAAAAAAAAEAIAAAACYBAABkcnMvZTJvRG9j&#10;LnhtbFBLBQYAAAAABgAGAFkBAACSBQAAAAA=&#10;">
                  <v:fill on="f" focussize="0,0"/>
                  <v:stroke color="#000000" joinstyle="round" dashstyle="dash" endarrow="classic"/>
                  <v:imagedata o:title=""/>
                  <o:lock v:ext="edit" aspectratio="f"/>
                </v:line>
                <v:rect id="矩形 56" o:spid="_x0000_s1026" o:spt="1" style="position:absolute;left:1828800;top:2787015;height:245745;width:1123315;" filled="f" stroked="f" coordsize="21600,21600" o:gfxdata="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l3FD3YAAAABQEA&#10;AA8AAAAAAAAAAQAgAAAAIgAAAGRycy9kb3ducmV2LnhtbFBLAQIUABQAAAAIAIdO4kAeF3wEqAEA&#10;ADADAAAOAAAAAAAAAAEAIAAAACcBAABkcnMvZTJvRG9jLnhtbFBLBQYAAAAABgAGAFkBAABBBQAA&#10;AAA=&#10;">
                  <v:fill on="f" focussize="0,0"/>
                  <v:stroke on="f"/>
                  <v:imagedata o:title=""/>
                  <o:lock v:ext="edit" aspectratio="f"/>
                  <v:textbox inset="0.5mm,1mm,0.5mm,0mm">
                    <w:txbxContent>
                      <w:p>
                        <w:pPr>
                          <w:jc w:val="center"/>
                          <w:rPr>
                            <w:rFonts w:hint="default" w:eastAsia="宋体"/>
                            <w:szCs w:val="21"/>
                            <w:lang w:val="en-US" w:eastAsia="zh-CN"/>
                          </w:rPr>
                        </w:pPr>
                        <w:r>
                          <w:rPr>
                            <w:rFonts w:hint="eastAsia"/>
                            <w:szCs w:val="21"/>
                          </w:rPr>
                          <w:t>蒸发损耗</w:t>
                        </w:r>
                        <w:r>
                          <w:rPr>
                            <w:rFonts w:hint="eastAsia"/>
                            <w:szCs w:val="21"/>
                            <w:lang w:val="en-US" w:eastAsia="zh-CN"/>
                          </w:rPr>
                          <w:t>0.055</w:t>
                        </w:r>
                      </w:p>
                    </w:txbxContent>
                  </v:textbox>
                </v:rect>
                <v:line id="直接连接符 35" o:spid="_x0000_s1026" o:spt="20" style="position:absolute;left:2438400;top:3409315;flip:y;height:8255;width:896620;" filled="f" stroked="t" coordsize="21600,21600" o:gfxdata="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kieBPWAAAABQEAAA8AAAAAAAAAAQAgAAAAIgAAAGRycy9kb3ducmV2Lnht&#10;bFBLAQIUABQAAAAIAIdO4kCgLUdp+wEAALMDAAAOAAAAAAAAAAEAIAAAACUBAABkcnMvZTJvRG9j&#10;LnhtbFBLBQYAAAAABgAGAFkBAACSBQAAAAA=&#10;">
                  <v:fill on="f" focussize="0,0"/>
                  <v:stroke color="#000000" joinstyle="round" endarrow="block"/>
                  <v:imagedata o:title=""/>
                  <o:lock v:ext="edit" aspectratio="f"/>
                </v:line>
                <v:line id="直接连接符 22" o:spid="_x0000_s1026" o:spt="20" style="position:absolute;left:3322955;top:2641600;flip:y;height:1652905;width:3175;" filled="f" stroked="t" coordsize="21600,21600" o:gfxdata="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WQlK1AAAAAUBAAAPAAAAAAAAAAEAIAAAACIAAABkcnMvZG93bnJldi54bWxQSwECFAAU&#10;AAAACACHTuJAq8CCqfUBAAC0AwAADgAAAAAAAAABACAAAAAjAQAAZHJzL2Uyb0RvYy54bWxQSwUG&#10;AAAAAAYABgBZAQAAigUAAAAA&#10;">
                  <v:fill on="f" focussize="0,0"/>
                  <v:stroke color="#000000" joinstyle="round" endarrow="classic"/>
                  <v:imagedata o:title=""/>
                  <o:lock v:ext="edit" aspectratio="f"/>
                </v:line>
                <v:rect id="矩形 23" o:spid="_x0000_s1026" o:spt="1" style="position:absolute;left:2533650;top:3204210;height:198120;width:45212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9/cY21gAAAAUBAAAPAAAA&#10;AAAAAAEAIAAAACIAAABkcnMvZG93bnJldi54bWxQSwECFAAUAAAACACHTuJAuShGjaUBAAAsAwAA&#10;DgAAAAAAAAABACAAAAAlAQAAZHJzL2Uyb0RvYy54bWxQSwUGAAAAAAYABgBZAQAAPAUAAAAA&#10;">
                  <v:fill on="f" focussize="0,0"/>
                  <v:stroke on="f"/>
                  <v:imagedata o:title=""/>
                  <o:lock v:ext="edit" aspectratio="f"/>
                  <v:textbox inset="0.5mm,0mm,0.5mm,0mm">
                    <w:txbxContent>
                      <w:p>
                        <w:pPr>
                          <w:jc w:val="center"/>
                          <w:rPr>
                            <w:rFonts w:hint="default" w:eastAsia="宋体"/>
                            <w:szCs w:val="21"/>
                            <w:lang w:val="en-US" w:eastAsia="zh-CN"/>
                          </w:rPr>
                        </w:pPr>
                        <w:r>
                          <w:rPr>
                            <w:rFonts w:hint="eastAsia" w:eastAsia="宋体"/>
                            <w:szCs w:val="21"/>
                            <w:lang w:val="en-US" w:eastAsia="zh-CN"/>
                          </w:rPr>
                          <w:t>0.495</w:t>
                        </w:r>
                      </w:p>
                    </w:txbxContent>
                  </v:textbox>
                </v:rect>
                <v:rect id="_x0000_s1026" o:spid="_x0000_s1026" o:spt="1" style="position:absolute;left:1476375;top:4099560;height:297180;width:933450;" fillcolor="#FFFFFF" filled="t" stroked="t" coordsize="21600,21600" o:gfxdata="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1VnPdcAAAAFAQAADwAAAAAAAAABACAA&#10;AAAiAAAAZHJzL2Rvd25yZXYueG1sUEsBAhQAFAAAAAgAh07iQNKW+4sOAgAAHAQAAA4AAAAAAAAA&#10;AQAgAAAAJgEAAGRycy9lMm9Eb2MueG1sUEsFBgAAAAAGAAYAWQEAAKYFAAAAAA==&#10;">
                  <v:fill on="t" focussize="0,0"/>
                  <v:stroke color="#000000" joinstyle="miter"/>
                  <v:imagedata o:title=""/>
                  <o:lock v:ext="edit" aspectratio="f"/>
                  <v:textbox inset="1.5mm,1.27mm,1.5mm,1.27mm">
                    <w:txbxContent>
                      <w:p>
                        <w:pPr>
                          <w:jc w:val="center"/>
                          <w:rPr>
                            <w:szCs w:val="21"/>
                          </w:rPr>
                        </w:pPr>
                        <w:r>
                          <w:rPr>
                            <w:rFonts w:hint="eastAsia" w:eastAsia="宋体"/>
                            <w:szCs w:val="21"/>
                            <w:lang w:eastAsia="zh-CN"/>
                          </w:rPr>
                          <w:t>职工生活</w:t>
                        </w:r>
                        <w:r>
                          <w:rPr>
                            <w:rFonts w:hint="eastAsia"/>
                            <w:szCs w:val="21"/>
                          </w:rPr>
                          <w:t>用水</w:t>
                        </w:r>
                      </w:p>
                    </w:txbxContent>
                  </v:textbox>
                </v:rect>
                <v:line id="直接连接符 35" o:spid="_x0000_s1026" o:spt="20" style="position:absolute;left:657225;top:4252595;flip:y;height:3175;width:807720;" filled="f" stroked="t" coordsize="21600,21600" o:gfxdata="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kieBPWAAAABQEAAA8AAAAAAAAAAQAgAAAAIgAAAGRycy9kb3ducmV2Lnht&#10;bFBLAQIUABQAAAAIAIdO4kCeo6C6+wEAALMDAAAOAAAAAAAAAAEAIAAAACUBAABkcnMvZTJvRG9j&#10;LnhtbFBLBQYAAAAABgAGAFkBAACSBQAAAAA=&#10;">
                  <v:fill on="f" focussize="0,0"/>
                  <v:stroke color="#000000" joinstyle="round" endarrow="block"/>
                  <v:imagedata o:title=""/>
                  <o:lock v:ext="edit" aspectratio="f"/>
                </v:line>
                <v:rect id="矩形 37" o:spid="_x0000_s1026" o:spt="1" style="position:absolute;left:847725;top:4048125;height:198120;width:41910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9/cY21gAAAAUBAAAPAAAAAAAA&#10;AAEAIAAAACIAAABkcnMvZG93bnJldi54bWxQSwECFAAUAAAACACHTuJApmbYT6IBAAArAwAADgAA&#10;AAAAAAABACAAAAAlAQAAZHJzL2Uyb0RvYy54bWxQSwUGAAAAAAYABgBZAQAAOQUAAAAA&#10;">
                  <v:fill on="f" focussize="0,0"/>
                  <v:stroke on="f"/>
                  <v:imagedata o:title=""/>
                  <o:lock v:ext="edit" aspectratio="f"/>
                  <v:textbox inset="0.5mm,0mm,0.5mm,0mm">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5</w:t>
                        </w:r>
                      </w:p>
                    </w:txbxContent>
                  </v:textbox>
                </v:rect>
                <v:line id="直接连接符 54" o:spid="_x0000_s1026" o:spt="20" style="position:absolute;left:1875790;top:3921125;flip:y;height:176530;width:316865;" filled="f" stroked="t" coordsize="21600,21600" o:gfxdata="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BCjE9cAAAAFAQAADwAAAAAAAAABACAAAAAiAAAAZHJzL2Rvd25yZXYu&#10;eG1sUEsBAhQAFAAAAAgAh07iQDz7M778AQAAtAMAAA4AAAAAAAAAAQAgAAAAJgEAAGRycy9lMm9E&#10;b2MueG1sUEsFBgAAAAAGAAYAWQEAAJQFAAAAAA==&#10;">
                  <v:fill on="f" focussize="0,0"/>
                  <v:stroke color="#000000" joinstyle="round" dashstyle="dash" endarrow="classic"/>
                  <v:imagedata o:title=""/>
                  <o:lock v:ext="edit" aspectratio="f"/>
                </v:line>
                <v:rect id="矩形 56" o:spid="_x0000_s1026" o:spt="1" style="position:absolute;left:1819275;top:3653790;height:245745;width:1123315;" filled="f" stroked="f" coordsize="21600,21600" o:gfxdata="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l3FD3YAAAA&#10;BQEAAA8AAAAAAAAAAQAgAAAAIgAAAGRycy9kb3ducmV2LnhtbFBLAQIUABQAAAAIAIdO4kBZQSKe&#10;qwEAADEDAAAOAAAAAAAAAAEAIAAAACcBAABkcnMvZTJvRG9jLnhtbFBLBQYAAAAABgAGAFkBAABE&#10;BQAAAAA=&#10;">
                  <v:fill on="f" focussize="0,0"/>
                  <v:stroke on="f"/>
                  <v:imagedata o:title=""/>
                  <o:lock v:ext="edit" aspectratio="f"/>
                  <v:textbox inset="0.5mm,1mm,0.5mm,0mm">
                    <w:txbxContent>
                      <w:p>
                        <w:pPr>
                          <w:jc w:val="center"/>
                          <w:rPr>
                            <w:rFonts w:hint="default" w:eastAsia="宋体"/>
                            <w:szCs w:val="21"/>
                            <w:lang w:val="en-US" w:eastAsia="zh-CN"/>
                          </w:rPr>
                        </w:pPr>
                        <w:r>
                          <w:rPr>
                            <w:rFonts w:hint="eastAsia"/>
                            <w:szCs w:val="21"/>
                          </w:rPr>
                          <w:t>蒸发损耗</w:t>
                        </w:r>
                        <w:r>
                          <w:rPr>
                            <w:rFonts w:hint="eastAsia"/>
                            <w:szCs w:val="21"/>
                            <w:lang w:val="en-US" w:eastAsia="zh-CN"/>
                          </w:rPr>
                          <w:t>1</w:t>
                        </w:r>
                      </w:p>
                    </w:txbxContent>
                  </v:textbox>
                </v:rect>
                <v:line id="直接连接符 35" o:spid="_x0000_s1026" o:spt="20" style="position:absolute;left:2428875;top:4284345;height:1270;width:896620;" filled="f" stroked="t" coordsize="21600,21600" o:gfxdata="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UrtQNYAAAAFAQAADwAAAAAAAAABACAAAAAiAAAAZHJzL2Rvd25yZXYueG1sUEsBAhQA&#10;FAAAAAgAh07iQJTh5Rf0AQAAqgMAAA4AAAAAAAAAAQAgAAAAJQEAAGRycy9lMm9Eb2MueG1sUEsF&#10;BgAAAAAGAAYAWQEAAIsFAAAAAA==&#10;">
                  <v:fill on="f" focussize="0,0"/>
                  <v:stroke color="#000000" joinstyle="round" endarrow="block"/>
                  <v:imagedata o:title=""/>
                  <o:lock v:ext="edit" aspectratio="f"/>
                </v:line>
                <v:rect id="矩形 23" o:spid="_x0000_s1026" o:spt="1" style="position:absolute;left:2524125;top:4070985;height:198120;width:333375;"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39xjbWAAAABQEAAA8A&#10;AAAAAAAAAQAgAAAAIgAAAGRycy9kb3ducmV2LnhtbFBLAQIUABQAAAAIAIdO4kBoShbLpwEAACwD&#10;AAAOAAAAAAAAAAEAIAAAACUBAABkcnMvZTJvRG9jLnhtbFBLBQYAAAAABgAGAFkBAAA+BQAAAAA=&#10;">
                  <v:fill on="f" focussize="0,0"/>
                  <v:stroke on="f"/>
                  <v:imagedata o:title=""/>
                  <o:lock v:ext="edit" aspectratio="f"/>
                  <v:textbox inset="0.5mm,0mm,0.5mm,0mm">
                    <w:txbxContent>
                      <w:p>
                        <w:pPr>
                          <w:jc w:val="center"/>
                          <w:rPr>
                            <w:rFonts w:hint="default" w:eastAsia="宋体"/>
                            <w:szCs w:val="21"/>
                            <w:lang w:val="en-US" w:eastAsia="zh-CN"/>
                          </w:rPr>
                        </w:pPr>
                        <w:r>
                          <w:rPr>
                            <w:rFonts w:hint="eastAsia" w:eastAsia="宋体"/>
                            <w:szCs w:val="21"/>
                            <w:lang w:val="en-US" w:eastAsia="zh-CN"/>
                          </w:rPr>
                          <w:t>4</w:t>
                        </w:r>
                      </w:p>
                    </w:txbxContent>
                  </v:textbox>
                </v:rect>
                <v:line id="直接连接符 35" o:spid="_x0000_s1026" o:spt="20" style="position:absolute;left:647700;top:4881245;flip:y;height:3175;width:807720;" filled="f" stroked="t" coordsize="21600,21600" o:gfxdata="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kieBPWAAAABQEAAA8AAAAAAAAAAQAgAAAAIgAAAGRycy9kb3ducmV2Lnht&#10;bFBLAQIUABQAAAAIAIdO4kCO35y2+wEAALMDAAAOAAAAAAAAAAEAIAAAACUBAABkcnMvZTJvRG9j&#10;LnhtbFBLBQYAAAAABgAGAFkBAACSBQAAAAA=&#10;">
                  <v:fill on="f" focussize="0,0"/>
                  <v:stroke color="#000000" joinstyle="round" endarrow="block"/>
                  <v:imagedata o:title=""/>
                  <o:lock v:ext="edit" aspectratio="f"/>
                </v:line>
                <v:rect id="_x0000_s1026" o:spid="_x0000_s1026" o:spt="1" style="position:absolute;left:1457325;top:4737735;height:297180;width:1085215;" fillcolor="#FFFFFF" filled="t" stroked="t" coordsize="21600,21600" o:gfxdata="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Wc91wAAAAUBAAAPAAAAAAAAAAEAIAAA&#10;ACIAAABkcnMvZG93bnJldi54bWxQSwECFAAUAAAACACHTuJA8oY3LQ0CAAAfBAAADgAAAAAAAAAB&#10;ACAAAAAmAQAAZHJzL2Uyb0RvYy54bWxQSwUGAAAAAAYABgBZAQAApQUAAAAA&#10;">
                  <v:fill on="t" focussize="0,0"/>
                  <v:stroke color="#000000" joinstyle="miter"/>
                  <v:imagedata o:title=""/>
                  <o:lock v:ext="edit" aspectratio="f"/>
                  <v:textbox inset="1.5mm,1.27mm,1.5mm,1.27mm">
                    <w:txbxContent>
                      <w:p>
                        <w:pPr>
                          <w:jc w:val="center"/>
                          <w:rPr>
                            <w:szCs w:val="21"/>
                          </w:rPr>
                        </w:pPr>
                        <w:r>
                          <w:rPr>
                            <w:rFonts w:hint="eastAsia" w:eastAsia="宋体"/>
                            <w:szCs w:val="21"/>
                            <w:lang w:eastAsia="zh-CN"/>
                          </w:rPr>
                          <w:t>生物除臭塔</w:t>
                        </w:r>
                        <w:r>
                          <w:rPr>
                            <w:rFonts w:hint="eastAsia"/>
                            <w:szCs w:val="21"/>
                          </w:rPr>
                          <w:t>用水</w:t>
                        </w:r>
                      </w:p>
                    </w:txbxContent>
                  </v:textbox>
                </v:rect>
                <v:line id="直接连接符 35" o:spid="_x0000_s1026" o:spt="20" style="position:absolute;left:2543175;top:4874895;height:3175;width:815975;" filled="f" stroked="t" coordsize="21600,21600" o:gfxdata="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MHba1AAAAAUBAAAPAAAAAAAAAAEAIAAAACIAAABkcnMvZG93bnJldi54bWxQSwECFAAUAAAA&#10;CACHTuJAFNFg0/IBAACpAwAADgAAAAAAAAABACAAAAAjAQAAZHJzL2Uyb0RvYy54bWxQSwUGAAAA&#10;AAYABgBZAQAAhwUAAAAA&#10;">
                  <v:fill on="f" focussize="0,0"/>
                  <v:stroke color="#000000" joinstyle="round" dashstyle="dash" endarrow="classic"/>
                  <v:imagedata o:title=""/>
                  <o:lock v:ext="edit" aspectratio="f"/>
                </v:line>
                <v:rect id="矩形 37" o:spid="_x0000_s1026" o:spt="1" style="position:absolute;left:828675;top:4667250;height:198120;width:41910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ff3GNtYAAAAFAQAADwAA&#10;AAAAAAABACAAAAAiAAAAZHJzL2Rvd25yZXYueG1sUEsBAhQAFAAAAAgAh07iQHeAitqmAQAALAMA&#10;AA4AAAAAAAAAAQAgAAAAJQEAAGRycy9lMm9Eb2MueG1sUEsFBgAAAAAGAAYAWQEAAD0FAAAAAA==&#10;">
                  <v:fill on="f" focussize="0,0"/>
                  <v:stroke on="f"/>
                  <v:imagedata o:title=""/>
                  <o:lock v:ext="edit" aspectratio="f"/>
                  <v:textbox inset="0.5mm,0mm,0.5mm,0mm">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8</w:t>
                        </w:r>
                      </w:p>
                    </w:txbxContent>
                  </v:textbox>
                </v:rect>
                <v:rect id="矩形 37" o:spid="_x0000_s1026" o:spt="1" style="position:absolute;left:2695575;top:4667250;height:198120;width:419100;" filled="f" stroked="f" coordsize="21600,21600" o:gfxdata="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39xjbWAAAABQEAAA8A&#10;AAAAAAAAAQAgAAAAIgAAAGRycy9kb3ducmV2LnhtbFBLAQIUABQAAAAIAIdO4kAw3xJxpwEAAC0D&#10;AAAOAAAAAAAAAAEAIAAAACUBAABkcnMvZTJvRG9jLnhtbFBLBQYAAAAABgAGAFkBAAA+BQAAAAA=&#10;">
                  <v:fill on="f" focussize="0,0"/>
                  <v:stroke on="f"/>
                  <v:imagedata o:title=""/>
                  <o:lock v:ext="edit" aspectratio="f"/>
                  <v:textbox inset="0.5mm,0mm,0.5mm,0mm">
                    <w:txbxContent>
                      <w:p>
                        <w:pPr>
                          <w:jc w:val="center"/>
                          <w:rPr>
                            <w:rFonts w:hint="default" w:ascii="Times New Roman" w:hAnsi="Times New Roman" w:eastAsia="黑体" w:cs="Times New Roman"/>
                            <w:b w:val="0"/>
                            <w:bCs/>
                            <w:szCs w:val="21"/>
                            <w:lang w:val="en-US" w:eastAsia="zh-CN"/>
                          </w:rPr>
                        </w:pPr>
                        <w:r>
                          <w:rPr>
                            <w:rFonts w:hint="eastAsia" w:ascii="Times New Roman" w:hAnsi="Times New Roman" w:eastAsia="黑体" w:cs="Times New Roman"/>
                            <w:b w:val="0"/>
                            <w:bCs/>
                            <w:szCs w:val="21"/>
                            <w:lang w:val="en-US" w:eastAsia="zh-CN"/>
                          </w:rPr>
                          <w:t>8</w:t>
                        </w:r>
                      </w:p>
                    </w:txbxContent>
                  </v:textbox>
                </v:rect>
                <v:rect id="矩形 56" o:spid="_x0000_s1026" o:spt="1" style="position:absolute;left:3352800;top:4758690;height:245745;width:952500;" filled="f" stroked="f" coordsize="21600,21600" o:gfxdata="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ZdxQ92AAAAAUB&#10;AAAPAAAAAAAAAAEAIAAAACIAAABkcnMvZG93bnJldi54bWxQSwECFAAUAAAACACHTuJAJ2EqjKkB&#10;AAAxAwAADgAAAAAAAAABACAAAAAnAQAAZHJzL2Uyb0RvYy54bWxQSwUGAAAAAAYABgBZAQAAQgUA&#10;AAAA&#10;">
                  <v:fill on="f" focussize="0,0"/>
                  <v:stroke on="f"/>
                  <v:imagedata o:title=""/>
                  <o:lock v:ext="edit" aspectratio="f"/>
                  <v:textbox inset="0.5mm,1mm,0.5mm,0mm">
                    <w:txbxContent>
                      <w:p>
                        <w:pPr>
                          <w:jc w:val="center"/>
                          <w:rPr>
                            <w:rFonts w:hint="default" w:eastAsia="宋体"/>
                            <w:szCs w:val="21"/>
                            <w:lang w:val="en-US" w:eastAsia="zh-CN"/>
                          </w:rPr>
                        </w:pPr>
                        <w:r>
                          <w:rPr>
                            <w:rFonts w:hint="eastAsia" w:eastAsia="宋体"/>
                            <w:szCs w:val="21"/>
                            <w:lang w:eastAsia="zh-CN"/>
                          </w:rPr>
                          <w:t>正常</w:t>
                        </w:r>
                        <w:r>
                          <w:rPr>
                            <w:rFonts w:hint="eastAsia"/>
                            <w:szCs w:val="21"/>
                          </w:rPr>
                          <w:t>蒸发损耗</w:t>
                        </w:r>
                      </w:p>
                    </w:txbxContent>
                  </v:textbox>
                </v:rect>
                <w10:wrap type="none"/>
                <w10:anchorlock/>
              </v:group>
            </w:pict>
          </mc:Fallback>
        </mc:AlternateContent>
      </w:r>
      <w:bookmarkStart w:id="292" w:name="bookmark58"/>
      <w:bookmarkEnd w:id="292"/>
    </w:p>
    <w:p>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 xml:space="preserve">3-9        </w:t>
      </w:r>
      <w:r>
        <w:rPr>
          <w:rFonts w:ascii="宋体" w:hAnsi="宋体" w:eastAsia="宋体" w:cs="宋体"/>
          <w:spacing w:val="-1"/>
          <w:sz w:val="24"/>
          <w:szCs w:val="24"/>
          <w14:textOutline w14:w="4358" w14:cap="sq" w14:cmpd="sng">
            <w14:solidFill>
              <w14:srgbClr w14:val="000000"/>
            </w14:solidFill>
            <w14:prstDash w14:val="solid"/>
            <w14:bevel/>
          </w14:textOutline>
        </w:rPr>
        <w:t>本项目给排水情况一览表</w:t>
      </w:r>
    </w:p>
    <w:tbl>
      <w:tblPr>
        <w:tblStyle w:val="24"/>
        <w:tblW w:w="9426"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1429"/>
        <w:gridCol w:w="1664"/>
        <w:gridCol w:w="1488"/>
        <w:gridCol w:w="1435"/>
        <w:gridCol w:w="185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56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用水单元</w:t>
            </w:r>
          </w:p>
        </w:tc>
        <w:tc>
          <w:tcPr>
            <w:tcW w:w="142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用水系数</w:t>
            </w:r>
          </w:p>
        </w:tc>
        <w:tc>
          <w:tcPr>
            <w:tcW w:w="166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新鲜水用水量</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/d</w:t>
            </w:r>
            <w:r>
              <w:rPr>
                <w:spacing w:val="1"/>
                <w14:textOutline w14:w="3795" w14:cap="sq" w14:cmpd="sng">
                  <w14:solidFill>
                    <w14:srgbClr w14:val="000000"/>
                  </w14:solidFill>
                  <w14:prstDash w14:val="solid"/>
                  <w14:bevel/>
                </w14:textOutline>
              </w:rPr>
              <w:t>）</w:t>
            </w:r>
          </w:p>
        </w:tc>
        <w:tc>
          <w:tcPr>
            <w:tcW w:w="148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position w:val="7"/>
                <w14:textOutline w14:w="3795" w14:cap="sq" w14:cmpd="sng">
                  <w14:solidFill>
                    <w14:srgbClr w14:val="000000"/>
                  </w14:solidFill>
                  <w14:prstDash w14:val="solid"/>
                  <w14:bevel/>
                </w14:textOutline>
              </w:rPr>
              <w:t>消耗量</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/d</w:t>
            </w:r>
            <w:r>
              <w:rPr>
                <w:spacing w:val="1"/>
                <w14:textOutline w14:w="3795" w14:cap="sq" w14:cmpd="sng">
                  <w14:solidFill>
                    <w14:srgbClr w14:val="000000"/>
                  </w14:solidFill>
                  <w14:prstDash w14:val="solid"/>
                  <w14:bevel/>
                </w14:textOutline>
              </w:rPr>
              <w:t>）</w:t>
            </w:r>
          </w:p>
        </w:tc>
        <w:tc>
          <w:tcPr>
            <w:tcW w:w="143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position w:val="7"/>
                <w14:textOutline w14:w="3795" w14:cap="sq" w14:cmpd="sng">
                  <w14:solidFill>
                    <w14:srgbClr w14:val="000000"/>
                  </w14:solidFill>
                  <w14:prstDash w14:val="solid"/>
                  <w14:bevel/>
                </w14:textOutline>
              </w:rPr>
              <w:t>排水量</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/d</w:t>
            </w:r>
            <w:r>
              <w:rPr>
                <w:spacing w:val="1"/>
                <w14:textOutline w14:w="3795" w14:cap="sq" w14:cmpd="sng">
                  <w14:solidFill>
                    <w14:srgbClr w14:val="000000"/>
                  </w14:solidFill>
                  <w14:prstDash w14:val="solid"/>
                  <w14:bevel/>
                </w14:textOutline>
              </w:rPr>
              <w:t>）</w:t>
            </w:r>
          </w:p>
        </w:tc>
        <w:tc>
          <w:tcPr>
            <w:tcW w:w="18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废水去向</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56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7"/>
              </w:rPr>
              <w:t>待宰</w:t>
            </w:r>
            <w:r>
              <w:rPr>
                <w:rFonts w:hint="eastAsia"/>
                <w:spacing w:val="7"/>
                <w:lang w:val="en-US" w:eastAsia="zh-CN"/>
              </w:rPr>
              <w:t>间用</w:t>
            </w:r>
            <w:r>
              <w:rPr>
                <w:spacing w:val="7"/>
              </w:rPr>
              <w:t>水</w:t>
            </w:r>
          </w:p>
        </w:tc>
        <w:tc>
          <w:tcPr>
            <w:tcW w:w="142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rFonts w:hint="eastAsia" w:ascii="Times New Roman" w:hAnsi="Times New Roman" w:eastAsia="宋体" w:cs="Times New Roman"/>
                <w:spacing w:val="4"/>
                <w:lang w:val="en-US" w:eastAsia="zh-CN"/>
              </w:rPr>
              <w:t>5</w:t>
            </w:r>
            <w:r>
              <w:rPr>
                <w:rFonts w:ascii="Times New Roman" w:hAnsi="Times New Roman" w:eastAsia="Times New Roman" w:cs="Times New Roman"/>
                <w:spacing w:val="4"/>
              </w:rPr>
              <w:t>L/m</w:t>
            </w:r>
            <w:r>
              <w:rPr>
                <w:rFonts w:ascii="Times New Roman" w:hAnsi="Times New Roman" w:eastAsia="Times New Roman" w:cs="Times New Roman"/>
                <w:spacing w:val="4"/>
                <w:position w:val="6"/>
                <w:sz w:val="13"/>
                <w:szCs w:val="13"/>
              </w:rPr>
              <w:t>2</w:t>
            </w:r>
            <w:r>
              <w:rPr>
                <w:spacing w:val="4"/>
              </w:rPr>
              <w:t>•次</w:t>
            </w:r>
          </w:p>
        </w:tc>
        <w:tc>
          <w:tcPr>
            <w:tcW w:w="166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1"/>
                <w:sz w:val="20"/>
                <w:szCs w:val="20"/>
                <w:lang w:val="en-US" w:eastAsia="zh-CN"/>
              </w:rPr>
              <w:t>4.5</w:t>
            </w:r>
          </w:p>
        </w:tc>
        <w:tc>
          <w:tcPr>
            <w:tcW w:w="14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2"/>
                <w:sz w:val="20"/>
                <w:szCs w:val="20"/>
                <w:lang w:val="en-US" w:eastAsia="zh-CN"/>
              </w:rPr>
              <w:t>0.45</w:t>
            </w:r>
          </w:p>
        </w:tc>
        <w:tc>
          <w:tcPr>
            <w:tcW w:w="143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2"/>
                <w:sz w:val="20"/>
                <w:szCs w:val="20"/>
                <w:lang w:val="en-US" w:eastAsia="zh-CN"/>
              </w:rPr>
              <w:t>4.05</w:t>
            </w:r>
          </w:p>
        </w:tc>
        <w:tc>
          <w:tcPr>
            <w:tcW w:w="185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ascii="Times New Roman" w:hAnsi="Times New Roman" w:cs="Times New Roman"/>
                <w:spacing w:val="-2"/>
                <w:lang w:val="en-US" w:eastAsia="zh-CN"/>
              </w:rPr>
              <w:t>全厂废水255.54</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r>
              <w:rPr>
                <w:spacing w:val="-2"/>
              </w:rPr>
              <w:t>，经</w:t>
            </w:r>
            <w:r>
              <w:rPr>
                <w:rFonts w:hint="eastAsia"/>
                <w:spacing w:val="-2"/>
                <w:lang w:eastAsia="zh-CN"/>
              </w:rPr>
              <w:t>厂区</w:t>
            </w:r>
            <w:r>
              <w:rPr>
                <w:spacing w:val="8"/>
              </w:rPr>
              <w:t>污水处理站处理达标后，通过污水管道排入</w:t>
            </w:r>
            <w:r>
              <w:rPr>
                <w:rFonts w:hint="eastAsia"/>
                <w:spacing w:val="8"/>
                <w:lang w:eastAsia="zh-CN"/>
              </w:rPr>
              <w:t>叶县县城</w:t>
            </w:r>
            <w:r>
              <w:rPr>
                <w:spacing w:val="8"/>
              </w:rPr>
              <w:t>污水处理厂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56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7"/>
              </w:rPr>
              <w:t>屠宰用水</w:t>
            </w:r>
          </w:p>
        </w:tc>
        <w:tc>
          <w:tcPr>
            <w:tcW w:w="142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2"/>
                <w:sz w:val="20"/>
                <w:szCs w:val="20"/>
              </w:rPr>
              <w:t>/</w:t>
            </w:r>
          </w:p>
        </w:tc>
        <w:tc>
          <w:tcPr>
            <w:tcW w:w="166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1"/>
                <w:sz w:val="20"/>
                <w:szCs w:val="20"/>
                <w:lang w:val="en-US" w:eastAsia="zh-CN"/>
              </w:rPr>
              <w:t>274.3</w:t>
            </w:r>
          </w:p>
        </w:tc>
        <w:tc>
          <w:tcPr>
            <w:tcW w:w="14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napToGrid w:val="0"/>
                <w:color w:val="000000"/>
                <w:kern w:val="0"/>
                <w:sz w:val="20"/>
                <w:szCs w:val="20"/>
                <w:lang w:val="en-US" w:eastAsia="zh-CN" w:bidi="ar-SA"/>
              </w:rPr>
              <w:t>27.4</w:t>
            </w:r>
          </w:p>
        </w:tc>
        <w:tc>
          <w:tcPr>
            <w:tcW w:w="143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1"/>
                <w:sz w:val="20"/>
                <w:szCs w:val="20"/>
                <w:lang w:val="en-US" w:eastAsia="zh-CN"/>
              </w:rPr>
              <w:t>246.9</w:t>
            </w:r>
          </w:p>
        </w:tc>
        <w:tc>
          <w:tcPr>
            <w:tcW w:w="1850" w:type="dxa"/>
            <w:vMerge w:val="continue"/>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2"/>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56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7"/>
              </w:rPr>
              <w:t>检验用水</w:t>
            </w:r>
          </w:p>
        </w:tc>
        <w:tc>
          <w:tcPr>
            <w:tcW w:w="142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2"/>
                <w:sz w:val="20"/>
                <w:szCs w:val="20"/>
              </w:rPr>
              <w:t>/</w:t>
            </w:r>
          </w:p>
        </w:tc>
        <w:tc>
          <w:tcPr>
            <w:tcW w:w="166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snapToGrid w:val="0"/>
                <w:color w:val="000000"/>
                <w:kern w:val="0"/>
                <w:sz w:val="20"/>
                <w:szCs w:val="20"/>
                <w:lang w:val="en-US" w:eastAsia="zh-CN" w:bidi="ar-SA"/>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4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snapToGrid w:val="0"/>
                <w:color w:val="000000"/>
                <w:kern w:val="0"/>
                <w:sz w:val="20"/>
                <w:szCs w:val="20"/>
                <w:lang w:val="en-US" w:eastAsia="zh-CN" w:bidi="ar-SA"/>
              </w:rPr>
            </w:pPr>
            <w:r>
              <w:rPr>
                <w:rFonts w:ascii="Times New Roman" w:hAnsi="Times New Roman" w:eastAsia="Times New Roman" w:cs="Times New Roman"/>
                <w:spacing w:val="2"/>
                <w:sz w:val="20"/>
                <w:szCs w:val="20"/>
              </w:rPr>
              <w:t>0.01</w:t>
            </w:r>
          </w:p>
        </w:tc>
        <w:tc>
          <w:tcPr>
            <w:tcW w:w="143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snapToGrid w:val="0"/>
                <w:color w:val="000000"/>
                <w:kern w:val="0"/>
                <w:sz w:val="20"/>
                <w:szCs w:val="20"/>
                <w:lang w:val="en-US" w:eastAsia="zh-CN" w:bidi="ar-SA"/>
              </w:rPr>
            </w:pPr>
            <w:r>
              <w:rPr>
                <w:rFonts w:ascii="Times New Roman" w:hAnsi="Times New Roman" w:eastAsia="Times New Roman" w:cs="Times New Roman"/>
                <w:spacing w:val="2"/>
                <w:sz w:val="20"/>
                <w:szCs w:val="20"/>
              </w:rPr>
              <w:t>0.09</w:t>
            </w:r>
          </w:p>
        </w:tc>
        <w:tc>
          <w:tcPr>
            <w:tcW w:w="18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56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7"/>
              </w:rPr>
              <w:t>车辆冲洗用水</w:t>
            </w:r>
          </w:p>
        </w:tc>
        <w:tc>
          <w:tcPr>
            <w:tcW w:w="142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rFonts w:hint="eastAsia" w:ascii="Times New Roman" w:hAnsi="Times New Roman" w:eastAsia="宋体" w:cs="Times New Roman"/>
                <w:spacing w:val="4"/>
                <w:lang w:val="en-US" w:eastAsia="zh-CN"/>
              </w:rPr>
              <w:t>5</w:t>
            </w:r>
            <w:r>
              <w:rPr>
                <w:rFonts w:hint="eastAsia" w:ascii="Times New Roman" w:hAnsi="Times New Roman" w:cs="Times New Roman"/>
                <w:spacing w:val="4"/>
                <w:lang w:val="en-US" w:eastAsia="zh-CN"/>
              </w:rPr>
              <w:t>0</w:t>
            </w:r>
            <w:r>
              <w:rPr>
                <w:rFonts w:ascii="Times New Roman" w:hAnsi="Times New Roman" w:eastAsia="Times New Roman" w:cs="Times New Roman"/>
                <w:spacing w:val="4"/>
              </w:rPr>
              <w:t>L</w:t>
            </w:r>
            <w:r>
              <w:rPr>
                <w:rFonts w:ascii="Times New Roman" w:hAnsi="Times New Roman" w:eastAsia="Times New Roman" w:cs="Times New Roman"/>
                <w:spacing w:val="2"/>
              </w:rPr>
              <w:t>/</w:t>
            </w:r>
            <w:r>
              <w:rPr>
                <w:spacing w:val="2"/>
              </w:rPr>
              <w:t>台车</w:t>
            </w:r>
          </w:p>
        </w:tc>
        <w:tc>
          <w:tcPr>
            <w:tcW w:w="166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ascii="Times New Roman" w:hAnsi="Times New Roman" w:eastAsia="Times New Roman" w:cs="Times New Roman"/>
                <w:spacing w:val="1"/>
                <w:sz w:val="20"/>
                <w:szCs w:val="20"/>
              </w:rPr>
              <w:t>0.</w:t>
            </w:r>
            <w:r>
              <w:rPr>
                <w:rFonts w:hint="eastAsia" w:ascii="Times New Roman" w:hAnsi="Times New Roman" w:eastAsia="宋体" w:cs="Times New Roman"/>
                <w:spacing w:val="1"/>
                <w:sz w:val="20"/>
                <w:szCs w:val="20"/>
                <w:lang w:val="en-US" w:eastAsia="zh-CN"/>
              </w:rPr>
              <w:t>55</w:t>
            </w:r>
          </w:p>
        </w:tc>
        <w:tc>
          <w:tcPr>
            <w:tcW w:w="14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055</w:t>
            </w:r>
          </w:p>
        </w:tc>
        <w:tc>
          <w:tcPr>
            <w:tcW w:w="143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495</w:t>
            </w:r>
          </w:p>
        </w:tc>
        <w:tc>
          <w:tcPr>
            <w:tcW w:w="18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56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bookmarkStart w:id="293" w:name="_Toc20435"/>
            <w:bookmarkStart w:id="294" w:name="_Toc5685"/>
            <w:r>
              <w:rPr>
                <w:spacing w:val="8"/>
              </w:rPr>
              <w:t>职工生活用水</w:t>
            </w:r>
          </w:p>
        </w:tc>
        <w:tc>
          <w:tcPr>
            <w:tcW w:w="142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Times New Roman" w:cs="Times New Roman"/>
                <w:snapToGrid w:val="0"/>
                <w:color w:val="000000"/>
                <w:kern w:val="0"/>
                <w:sz w:val="20"/>
                <w:szCs w:val="20"/>
                <w:lang w:val="en-US" w:eastAsia="zh-CN" w:bidi="ar-SA"/>
              </w:rPr>
            </w:pPr>
            <w:r>
              <w:rPr>
                <w:rFonts w:ascii="Times New Roman" w:hAnsi="Times New Roman" w:eastAsia="Times New Roman" w:cs="Times New Roman"/>
                <w:spacing w:val="2"/>
              </w:rPr>
              <w:t>100L/</w:t>
            </w:r>
            <w:r>
              <w:rPr>
                <w:spacing w:val="2"/>
              </w:rPr>
              <w:t>人</w:t>
            </w:r>
            <w:r>
              <w:rPr>
                <w:rFonts w:ascii="Times New Roman" w:hAnsi="Times New Roman" w:eastAsia="Times New Roman" w:cs="Times New Roman"/>
                <w:spacing w:val="2"/>
              </w:rPr>
              <w:t>.d</w:t>
            </w:r>
          </w:p>
        </w:tc>
        <w:tc>
          <w:tcPr>
            <w:tcW w:w="166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4"/>
                <w:sz w:val="20"/>
                <w:szCs w:val="20"/>
                <w:lang w:val="en-US" w:eastAsia="zh-CN"/>
              </w:rPr>
              <w:t>5</w:t>
            </w:r>
          </w:p>
        </w:tc>
        <w:tc>
          <w:tcPr>
            <w:tcW w:w="14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1"/>
                <w:sz w:val="20"/>
                <w:szCs w:val="20"/>
                <w:lang w:val="en-US" w:eastAsia="zh-CN"/>
              </w:rPr>
              <w:t>1</w:t>
            </w:r>
          </w:p>
        </w:tc>
        <w:tc>
          <w:tcPr>
            <w:tcW w:w="143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4"/>
                <w:sz w:val="20"/>
                <w:szCs w:val="20"/>
                <w:lang w:val="en-US" w:eastAsia="zh-CN"/>
              </w:rPr>
              <w:t>4</w:t>
            </w:r>
          </w:p>
        </w:tc>
        <w:tc>
          <w:tcPr>
            <w:tcW w:w="18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56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pacing w:val="8"/>
              </w:rPr>
            </w:pPr>
            <w:r>
              <w:rPr>
                <w:rFonts w:hint="eastAsia"/>
                <w:spacing w:val="8"/>
                <w:lang w:eastAsia="zh-CN"/>
              </w:rPr>
              <w:t>生物除臭塔</w:t>
            </w:r>
            <w:r>
              <w:rPr>
                <w:spacing w:val="8"/>
              </w:rPr>
              <w:t>用水</w:t>
            </w:r>
          </w:p>
        </w:tc>
        <w:tc>
          <w:tcPr>
            <w:tcW w:w="142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pacing w:val="2"/>
              </w:rPr>
            </w:pPr>
            <w:r>
              <w:rPr>
                <w:rFonts w:hint="default" w:ascii="Times New Roman" w:hAnsi="Times New Roman" w:eastAsia="Times New Roman" w:cs="Times New Roman"/>
                <w:spacing w:val="2"/>
                <w:lang w:val="en-US" w:eastAsia="zh-CN"/>
              </w:rPr>
              <w:t>液气比1L/m</w:t>
            </w:r>
            <w:r>
              <w:rPr>
                <w:rFonts w:hint="default" w:ascii="Times New Roman" w:hAnsi="Times New Roman" w:eastAsia="Times New Roman" w:cs="Times New Roman"/>
                <w:spacing w:val="2"/>
                <w:vertAlign w:val="superscript"/>
                <w:lang w:val="en-US" w:eastAsia="zh-CN"/>
              </w:rPr>
              <w:t>3</w:t>
            </w:r>
          </w:p>
        </w:tc>
        <w:tc>
          <w:tcPr>
            <w:tcW w:w="166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4"/>
                <w:sz w:val="20"/>
                <w:szCs w:val="20"/>
                <w:lang w:val="en-US" w:eastAsia="zh-CN"/>
              </w:rPr>
            </w:pPr>
            <w:r>
              <w:rPr>
                <w:rFonts w:hint="eastAsia" w:ascii="Times New Roman" w:hAnsi="Times New Roman" w:eastAsia="宋体" w:cs="Times New Roman"/>
                <w:spacing w:val="-4"/>
                <w:sz w:val="20"/>
                <w:szCs w:val="20"/>
                <w:lang w:val="en-US" w:eastAsia="zh-CN"/>
              </w:rPr>
              <w:t>8</w:t>
            </w:r>
          </w:p>
        </w:tc>
        <w:tc>
          <w:tcPr>
            <w:tcW w:w="14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1"/>
                <w:sz w:val="20"/>
                <w:szCs w:val="20"/>
                <w:lang w:val="en-US" w:eastAsia="zh-CN"/>
              </w:rPr>
            </w:pPr>
            <w:r>
              <w:rPr>
                <w:rFonts w:hint="eastAsia" w:ascii="Times New Roman" w:hAnsi="Times New Roman" w:eastAsia="宋体" w:cs="Times New Roman"/>
                <w:spacing w:val="1"/>
                <w:sz w:val="20"/>
                <w:szCs w:val="20"/>
                <w:lang w:val="en-US" w:eastAsia="zh-CN"/>
              </w:rPr>
              <w:t>8</w:t>
            </w:r>
          </w:p>
        </w:tc>
        <w:tc>
          <w:tcPr>
            <w:tcW w:w="143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4"/>
                <w:sz w:val="20"/>
                <w:szCs w:val="20"/>
                <w:lang w:val="en-US" w:eastAsia="zh-CN"/>
              </w:rPr>
            </w:pPr>
            <w:r>
              <w:rPr>
                <w:rFonts w:hint="eastAsia" w:ascii="Times New Roman" w:hAnsi="Times New Roman" w:eastAsia="宋体" w:cs="Times New Roman"/>
                <w:spacing w:val="-4"/>
                <w:sz w:val="20"/>
                <w:szCs w:val="20"/>
                <w:lang w:val="en-US" w:eastAsia="zh-CN"/>
              </w:rPr>
              <w:t>0</w:t>
            </w:r>
          </w:p>
        </w:tc>
        <w:tc>
          <w:tcPr>
            <w:tcW w:w="18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2989"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spacing w:val="2"/>
                <w:lang w:val="en-US" w:eastAsia="zh-CN"/>
              </w:rPr>
            </w:pPr>
            <w:r>
              <w:rPr>
                <w:rFonts w:hint="eastAsia"/>
                <w:spacing w:val="8"/>
                <w:lang w:eastAsia="zh-CN"/>
              </w:rPr>
              <w:t>合计</w:t>
            </w:r>
          </w:p>
        </w:tc>
        <w:tc>
          <w:tcPr>
            <w:tcW w:w="166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4"/>
                <w:sz w:val="20"/>
                <w:szCs w:val="20"/>
                <w:lang w:val="en-US" w:eastAsia="zh-CN"/>
              </w:rPr>
            </w:pPr>
            <w:r>
              <w:rPr>
                <w:rFonts w:hint="eastAsia" w:ascii="Times New Roman" w:hAnsi="Times New Roman" w:eastAsia="宋体" w:cs="Times New Roman"/>
                <w:spacing w:val="-4"/>
                <w:sz w:val="20"/>
                <w:szCs w:val="20"/>
                <w:lang w:val="en-US" w:eastAsia="zh-CN"/>
              </w:rPr>
              <w:t>292.45</w:t>
            </w:r>
          </w:p>
        </w:tc>
        <w:tc>
          <w:tcPr>
            <w:tcW w:w="14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1"/>
                <w:sz w:val="20"/>
                <w:szCs w:val="20"/>
                <w:lang w:val="en-US" w:eastAsia="zh-CN"/>
              </w:rPr>
            </w:pPr>
            <w:r>
              <w:rPr>
                <w:rFonts w:hint="eastAsia" w:ascii="Times New Roman" w:hAnsi="Times New Roman" w:eastAsia="宋体" w:cs="Times New Roman"/>
                <w:spacing w:val="1"/>
                <w:sz w:val="20"/>
                <w:szCs w:val="20"/>
                <w:lang w:val="en-US" w:eastAsia="zh-CN"/>
              </w:rPr>
              <w:t>36.91</w:t>
            </w:r>
          </w:p>
        </w:tc>
        <w:tc>
          <w:tcPr>
            <w:tcW w:w="143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4"/>
                <w:sz w:val="20"/>
                <w:szCs w:val="20"/>
                <w:lang w:val="en-US" w:eastAsia="zh-CN"/>
              </w:rPr>
            </w:pPr>
            <w:r>
              <w:rPr>
                <w:rFonts w:hint="eastAsia" w:ascii="Times New Roman" w:hAnsi="Times New Roman" w:eastAsia="宋体" w:cs="Times New Roman"/>
                <w:spacing w:val="-4"/>
                <w:sz w:val="20"/>
                <w:szCs w:val="20"/>
                <w:lang w:val="en-US" w:eastAsia="zh-CN"/>
              </w:rPr>
              <w:t>255.54</w:t>
            </w:r>
          </w:p>
        </w:tc>
        <w:tc>
          <w:tcPr>
            <w:tcW w:w="18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bl>
    <w:p>
      <w:pPr>
        <w:pStyle w:val="4"/>
        <w:bidi w:val="0"/>
        <w:rPr>
          <w:rFonts w:ascii="黑体" w:hAnsi="黑体" w:eastAsia="黑体" w:cs="黑体"/>
          <w:sz w:val="32"/>
          <w:szCs w:val="32"/>
        </w:rPr>
      </w:pPr>
      <w:r>
        <w:rPr>
          <w:rFonts w:ascii="Times New Roman" w:hAnsi="Times New Roman" w:eastAsia="Times New Roman" w:cs="Times New Roman"/>
          <w:spacing w:val="-1"/>
          <w:sz w:val="32"/>
          <w:szCs w:val="32"/>
        </w:rPr>
        <w:t>3.3</w:t>
      </w:r>
      <w:r>
        <w:rPr>
          <w:rFonts w:ascii="黑体" w:hAnsi="黑体" w:eastAsia="黑体" w:cs="黑体"/>
          <w:spacing w:val="-1"/>
          <w:sz w:val="32"/>
          <w:szCs w:val="32"/>
        </w:rPr>
        <w:t>项目污染源分析及污染物产排情况</w:t>
      </w:r>
      <w:bookmarkEnd w:id="293"/>
      <w:bookmarkEnd w:id="294"/>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bookmarkStart w:id="295" w:name="bookmark59"/>
      <w:bookmarkEnd w:id="295"/>
      <w:r>
        <w:rPr>
          <w:rFonts w:ascii="Times New Roman" w:hAnsi="Times New Roman" w:eastAsia="Times New Roman" w:cs="Times New Roman"/>
          <w:spacing w:val="-4"/>
          <w:sz w:val="28"/>
          <w:szCs w:val="28"/>
        </w:rPr>
        <w:t>3.3.1</w:t>
      </w:r>
      <w:r>
        <w:rPr>
          <w:rFonts w:ascii="楷体" w:hAnsi="楷体" w:eastAsia="楷体" w:cs="楷体"/>
          <w:spacing w:val="-4"/>
          <w:sz w:val="28"/>
          <w:szCs w:val="28"/>
        </w:rPr>
        <w:t>施工期污染源分析</w:t>
      </w:r>
    </w:p>
    <w:p>
      <w:pPr>
        <w:keepNext w:val="0"/>
        <w:keepLines w:val="0"/>
        <w:pageBreakBefore w:val="0"/>
        <w:widowControl/>
        <w:kinsoku w:val="0"/>
        <w:wordWrap/>
        <w:overflowPunct/>
        <w:topLinePunct w:val="0"/>
        <w:autoSpaceDE w:val="0"/>
        <w:autoSpaceDN w:val="0"/>
        <w:bidi w:val="0"/>
        <w:adjustRightInd w:val="0"/>
        <w:snapToGrid w:val="0"/>
        <w:spacing w:before="120" w:line="360" w:lineRule="auto"/>
        <w:ind w:left="839"/>
        <w:textAlignment w:val="baseline"/>
        <w:rPr>
          <w:rFonts w:ascii="宋体" w:hAnsi="宋体" w:eastAsia="宋体" w:cs="宋体"/>
          <w:sz w:val="24"/>
          <w:szCs w:val="24"/>
        </w:rPr>
      </w:pPr>
      <w:bookmarkStart w:id="296" w:name="bookmark60"/>
      <w:bookmarkEnd w:id="296"/>
      <w:r>
        <w:rPr>
          <w:rFonts w:ascii="宋体" w:hAnsi="宋体" w:eastAsia="宋体" w:cs="宋体"/>
          <w:spacing w:val="-6"/>
          <w:sz w:val="24"/>
          <w:szCs w:val="24"/>
          <w:bdr w:val="single" w:color="000000" w:sz="4" w:space="0"/>
        </w:rPr>
        <w:t>建筑材料堆放、运输</w:t>
      </w:r>
      <w:r>
        <w:rPr>
          <w:rFonts w:ascii="宋体" w:hAnsi="宋体" w:eastAsia="宋体" w:cs="宋体"/>
          <w:spacing w:val="32"/>
          <w:sz w:val="24"/>
          <w:szCs w:val="24"/>
        </w:rPr>
        <w:t xml:space="preserve"> </w:t>
      </w:r>
      <w:r>
        <w:rPr>
          <w:sz w:val="24"/>
          <w:szCs w:val="24"/>
        </w:rPr>
        <w:drawing>
          <wp:inline distT="0" distB="0" distL="0" distR="0">
            <wp:extent cx="611505" cy="76200"/>
            <wp:effectExtent l="0" t="0" r="17145"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31"/>
                    <a:stretch>
                      <a:fillRect/>
                    </a:stretch>
                  </pic:blipFill>
                  <pic:spPr>
                    <a:xfrm>
                      <a:off x="0" y="0"/>
                      <a:ext cx="612139" cy="76200"/>
                    </a:xfrm>
                    <a:prstGeom prst="rect">
                      <a:avLst/>
                    </a:prstGeom>
                  </pic:spPr>
                </pic:pic>
              </a:graphicData>
            </a:graphic>
          </wp:inline>
        </w:drawing>
      </w:r>
      <w:r>
        <w:rPr>
          <w:rFonts w:ascii="宋体" w:hAnsi="宋体" w:eastAsia="宋体" w:cs="宋体"/>
          <w:spacing w:val="-6"/>
          <w:sz w:val="24"/>
          <w:szCs w:val="24"/>
        </w:rPr>
        <w:t>扬尘、噪声、废水、固体</w:t>
      </w:r>
      <w:r>
        <w:rPr>
          <w:rFonts w:ascii="宋体" w:hAnsi="宋体" w:eastAsia="宋体" w:cs="宋体"/>
          <w:spacing w:val="-7"/>
          <w:sz w:val="24"/>
          <w:szCs w:val="24"/>
        </w:rPr>
        <w:t>废物</w:t>
      </w:r>
    </w:p>
    <w:p>
      <w:pPr>
        <w:spacing w:line="127" w:lineRule="exact"/>
        <w:ind w:firstLine="5389"/>
      </w:pPr>
      <w:r>
        <w:rPr>
          <w:position w:val="-2"/>
        </w:rPr>
        <w:drawing>
          <wp:inline distT="0" distB="0" distL="0" distR="0">
            <wp:extent cx="76200" cy="80645"/>
            <wp:effectExtent l="0" t="0" r="0" b="14605"/>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2"/>
                    <a:stretch>
                      <a:fillRect/>
                    </a:stretch>
                  </pic:blipFill>
                  <pic:spPr>
                    <a:xfrm>
                      <a:off x="0" y="0"/>
                      <a:ext cx="76200" cy="80962"/>
                    </a:xfrm>
                    <a:prstGeom prst="rect">
                      <a:avLst/>
                    </a:prstGeom>
                  </pic:spPr>
                </pic:pic>
              </a:graphicData>
            </a:graphic>
          </wp:inline>
        </w:drawing>
      </w:r>
    </w:p>
    <w:p>
      <w:pPr>
        <w:spacing w:line="288" w:lineRule="exact"/>
        <w:ind w:firstLine="5432"/>
      </w:pPr>
      <w:r>
        <w:rPr>
          <w:position w:val="-5"/>
        </w:rPr>
        <w:drawing>
          <wp:inline distT="0" distB="0" distL="0" distR="0">
            <wp:extent cx="22225" cy="182245"/>
            <wp:effectExtent l="0" t="0" r="15875" b="8255"/>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33"/>
                    <a:stretch>
                      <a:fillRect/>
                    </a:stretch>
                  </pic:blipFill>
                  <pic:spPr>
                    <a:xfrm>
                      <a:off x="0" y="0"/>
                      <a:ext cx="22225" cy="182562"/>
                    </a:xfrm>
                    <a:prstGeom prst="rect">
                      <a:avLst/>
                    </a:prstGeom>
                  </pic:spPr>
                </pic:pic>
              </a:graphicData>
            </a:graphic>
          </wp:inline>
        </w:drawing>
      </w:r>
    </w:p>
    <w:p>
      <w:pPr>
        <w:spacing w:line="25" w:lineRule="exact"/>
      </w:pPr>
    </w:p>
    <w:tbl>
      <w:tblPr>
        <w:tblStyle w:val="24"/>
        <w:tblW w:w="7439" w:type="dxa"/>
        <w:tblInd w:w="657" w:type="dxa"/>
        <w:tblBorders>
          <w:top w:val="dashed" w:color="000000" w:sz="2" w:space="0"/>
          <w:left w:val="dashed" w:color="000000" w:sz="2" w:space="0"/>
          <w:bottom w:val="dashed" w:color="000000" w:sz="2" w:space="0"/>
          <w:right w:val="dashed" w:color="000000" w:sz="2" w:space="0"/>
          <w:insideH w:val="none" w:color="auto" w:sz="0" w:space="0"/>
          <w:insideV w:val="none" w:color="auto" w:sz="0" w:space="0"/>
        </w:tblBorders>
        <w:tblLayout w:type="fixed"/>
        <w:tblCellMar>
          <w:top w:w="0" w:type="dxa"/>
          <w:left w:w="0" w:type="dxa"/>
          <w:bottom w:w="0" w:type="dxa"/>
          <w:right w:w="0" w:type="dxa"/>
        </w:tblCellMar>
      </w:tblPr>
      <w:tblGrid>
        <w:gridCol w:w="2332"/>
        <w:gridCol w:w="2166"/>
        <w:gridCol w:w="2834"/>
        <w:gridCol w:w="107"/>
      </w:tblGrid>
      <w:tr>
        <w:tblPrEx>
          <w:tblBorders>
            <w:top w:val="dashed" w:color="000000" w:sz="2" w:space="0"/>
            <w:left w:val="dashed" w:color="000000" w:sz="2" w:space="0"/>
            <w:bottom w:val="dashed" w:color="000000" w:sz="2" w:space="0"/>
            <w:right w:val="dashed" w:color="000000" w:sz="2" w:space="0"/>
            <w:insideH w:val="none" w:color="auto" w:sz="0" w:space="0"/>
            <w:insideV w:val="none" w:color="auto" w:sz="0" w:space="0"/>
          </w:tblBorders>
          <w:tblLayout w:type="fixed"/>
          <w:tblCellMar>
            <w:top w:w="0" w:type="dxa"/>
            <w:left w:w="0" w:type="dxa"/>
            <w:bottom w:w="0" w:type="dxa"/>
            <w:right w:w="0" w:type="dxa"/>
          </w:tblCellMar>
        </w:tblPrEx>
        <w:trPr>
          <w:trHeight w:val="947" w:hRule="atLeast"/>
        </w:trPr>
        <w:tc>
          <w:tcPr>
            <w:tcW w:w="2332" w:type="dxa"/>
            <w:tcBorders>
              <w:tl2br w:val="nil"/>
              <w:tr2bl w:val="nil"/>
            </w:tcBorders>
            <w:vAlign w:val="top"/>
          </w:tcPr>
          <w:p>
            <w:pPr>
              <w:spacing w:line="247" w:lineRule="auto"/>
              <w:rPr>
                <w:rFonts w:ascii="Arial"/>
                <w:sz w:val="21"/>
              </w:rPr>
            </w:pPr>
          </w:p>
          <w:p>
            <w:pPr>
              <w:pStyle w:val="25"/>
              <w:spacing w:line="509" w:lineRule="exact"/>
              <w:ind w:firstLine="18"/>
            </w:pPr>
            <w:r>
              <w:rPr>
                <w:position w:val="-10"/>
              </w:rPr>
              <mc:AlternateContent>
                <mc:Choice Requires="wpg">
                  <w:drawing>
                    <wp:inline distT="0" distB="0" distL="114300" distR="114300">
                      <wp:extent cx="1133475" cy="323215"/>
                      <wp:effectExtent l="12700" t="0" r="15875" b="26670"/>
                      <wp:docPr id="121" name="组合 121"/>
                      <wp:cNvGraphicFramePr/>
                      <a:graphic xmlns:a="http://schemas.openxmlformats.org/drawingml/2006/main">
                        <a:graphicData uri="http://schemas.microsoft.com/office/word/2010/wordprocessingGroup">
                          <wpg:wgp>
                            <wpg:cNvGrpSpPr/>
                            <wpg:grpSpPr>
                              <a:xfrm>
                                <a:off x="0" y="0"/>
                                <a:ext cx="1133475" cy="323215"/>
                                <a:chOff x="0" y="0"/>
                                <a:chExt cx="1785" cy="509"/>
                              </a:xfrm>
                            </wpg:grpSpPr>
                            <pic:pic xmlns:pic="http://schemas.openxmlformats.org/drawingml/2006/picture">
                              <pic:nvPicPr>
                                <pic:cNvPr id="119" name="图片 148"/>
                                <pic:cNvPicPr>
                                  <a:picLocks noChangeAspect="1"/>
                                </pic:cNvPicPr>
                              </pic:nvPicPr>
                              <pic:blipFill>
                                <a:blip r:embed="rId34"/>
                                <a:stretch>
                                  <a:fillRect/>
                                </a:stretch>
                              </pic:blipFill>
                              <pic:spPr>
                                <a:xfrm>
                                  <a:off x="0" y="0"/>
                                  <a:ext cx="1785" cy="509"/>
                                </a:xfrm>
                                <a:prstGeom prst="rect">
                                  <a:avLst/>
                                </a:prstGeom>
                                <a:noFill/>
                                <a:ln>
                                  <a:noFill/>
                                </a:ln>
                              </pic:spPr>
                            </pic:pic>
                            <wps:wsp>
                              <wps:cNvPr id="120" name="文本框 120"/>
                              <wps:cNvSpPr txBox="1"/>
                              <wps:spPr>
                                <a:xfrm>
                                  <a:off x="-20" y="-20"/>
                                  <a:ext cx="1825" cy="549"/>
                                </a:xfrm>
                                <a:prstGeom prst="rect">
                                  <a:avLst/>
                                </a:prstGeom>
                                <a:noFill/>
                                <a:ln>
                                  <a:noFill/>
                                </a:ln>
                              </wps:spPr>
                              <wps:txbx>
                                <w:txbxContent>
                                  <w:p>
                                    <w:pPr>
                                      <w:spacing w:before="143" w:line="221" w:lineRule="auto"/>
                                      <w:ind w:left="200"/>
                                      <w:rPr>
                                        <w:rFonts w:ascii="宋体" w:hAnsi="宋体" w:eastAsia="宋体" w:cs="宋体"/>
                                        <w:sz w:val="24"/>
                                        <w:szCs w:val="24"/>
                                      </w:rPr>
                                    </w:pPr>
                                    <w:r>
                                      <w:rPr>
                                        <w:rFonts w:ascii="宋体" w:hAnsi="宋体" w:eastAsia="宋体" w:cs="宋体"/>
                                        <w:spacing w:val="-2"/>
                                        <w:sz w:val="24"/>
                                        <w:szCs w:val="24"/>
                                      </w:rPr>
                                      <w:t>基础开挖阶段</w:t>
                                    </w:r>
                                  </w:p>
                                </w:txbxContent>
                              </wps:txbx>
                              <wps:bodyPr lIns="0" tIns="0" rIns="0" bIns="0" upright="1"/>
                            </wps:wsp>
                          </wpg:wgp>
                        </a:graphicData>
                      </a:graphic>
                    </wp:inline>
                  </w:drawing>
                </mc:Choice>
                <mc:Fallback>
                  <w:pict>
                    <v:group id="_x0000_s1026" o:spid="_x0000_s1026" o:spt="203" style="height:25.45pt;width:89.25pt;" coordsize="1785,509" o:gfxdata="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">
                      <o:lock v:ext="edit" aspectratio="f"/>
                      <v:shape id="图片 148" o:spid="_x0000_s1026" o:spt="75" type="#_x0000_t75" style="position:absolute;left:0;top:0;height:509;width:1785;" filled="f" o:preferrelative="t" stroked="f" coordsize="21600,21600" o:gfxdata="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PtAvQAA&#10;ANwAAAAPAAAAAAAAAAEAIAAAACIAAABkcnMvZG93bnJldi54bWxQSwECFAAUAAAACACHTuJAMy8F&#10;njsAAAA5AAAAEAAAAAAAAAABACAAAAAMAQAAZHJzL3NoYXBleG1sLnhtbFBLBQYAAAAABgAGAFsB&#10;AAC2AwAAAAA=&#10;">
                        <v:fill on="f" focussize="0,0"/>
                        <v:stroke on="f"/>
                        <v:imagedata r:id="rId34" o:title=""/>
                        <o:lock v:ext="edit" aspectratio="t"/>
                      </v:shape>
                      <v:shape id="_x0000_s1026" o:spid="_x0000_s1026" o:spt="202" type="#_x0000_t202" style="position:absolute;left:-20;top:-20;height:549;width:1825;"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43" w:line="221" w:lineRule="auto"/>
                                <w:ind w:left="200"/>
                                <w:rPr>
                                  <w:rFonts w:ascii="宋体" w:hAnsi="宋体" w:eastAsia="宋体" w:cs="宋体"/>
                                  <w:sz w:val="24"/>
                                  <w:szCs w:val="24"/>
                                </w:rPr>
                              </w:pPr>
                              <w:r>
                                <w:rPr>
                                  <w:rFonts w:ascii="宋体" w:hAnsi="宋体" w:eastAsia="宋体" w:cs="宋体"/>
                                  <w:spacing w:val="-2"/>
                                  <w:sz w:val="24"/>
                                  <w:szCs w:val="24"/>
                                </w:rPr>
                                <w:t>基础开挖阶段</w:t>
                              </w:r>
                            </w:p>
                          </w:txbxContent>
                        </v:textbox>
                      </v:shape>
                      <w10:wrap type="none"/>
                      <w10:anchorlock/>
                    </v:group>
                  </w:pict>
                </mc:Fallback>
              </mc:AlternateContent>
            </w:r>
          </w:p>
        </w:tc>
        <w:tc>
          <w:tcPr>
            <w:tcW w:w="2166" w:type="dxa"/>
            <w:tcBorders>
              <w:tl2br w:val="nil"/>
              <w:tr2bl w:val="nil"/>
            </w:tcBorders>
            <w:vAlign w:val="top"/>
          </w:tcPr>
          <w:p>
            <w:pPr>
              <w:spacing w:line="293" w:lineRule="auto"/>
              <w:rPr>
                <w:rFonts w:ascii="Arial"/>
                <w:sz w:val="21"/>
              </w:rPr>
            </w:pPr>
          </w:p>
          <w:p>
            <w:pPr>
              <w:pStyle w:val="25"/>
              <w:spacing w:before="78" w:line="220" w:lineRule="auto"/>
              <w:ind w:left="178"/>
              <w:rPr>
                <w:sz w:val="24"/>
                <w:szCs w:val="24"/>
              </w:rPr>
            </w:pPr>
            <w:r>
              <w:drawing>
                <wp:anchor distT="0" distB="0" distL="0" distR="0" simplePos="0" relativeHeight="251729920" behindDoc="1" locked="0" layoutInCell="1" allowOverlap="1">
                  <wp:simplePos x="0" y="0"/>
                  <wp:positionH relativeFrom="column">
                    <wp:posOffset>-340995</wp:posOffset>
                  </wp:positionH>
                  <wp:positionV relativeFrom="paragraph">
                    <wp:posOffset>-28575</wp:posOffset>
                  </wp:positionV>
                  <wp:extent cx="1774190" cy="323215"/>
                  <wp:effectExtent l="0" t="0" r="16510" b="635"/>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35"/>
                          <a:stretch>
                            <a:fillRect/>
                          </a:stretch>
                        </pic:blipFill>
                        <pic:spPr>
                          <a:xfrm>
                            <a:off x="0" y="0"/>
                            <a:ext cx="1774507" cy="323214"/>
                          </a:xfrm>
                          <a:prstGeom prst="rect">
                            <a:avLst/>
                          </a:prstGeom>
                        </pic:spPr>
                      </pic:pic>
                    </a:graphicData>
                  </a:graphic>
                </wp:anchor>
              </w:drawing>
            </w:r>
            <w:r>
              <w:rPr>
                <w:spacing w:val="-2"/>
                <w:sz w:val="24"/>
                <w:szCs w:val="24"/>
              </w:rPr>
              <w:t>主体工程施工阶段</w:t>
            </w:r>
          </w:p>
        </w:tc>
        <w:tc>
          <w:tcPr>
            <w:tcW w:w="2834" w:type="dxa"/>
            <w:tcBorders>
              <w:tl2br w:val="nil"/>
              <w:tr2bl w:val="nil"/>
            </w:tcBorders>
            <w:vAlign w:val="top"/>
          </w:tcPr>
          <w:p>
            <w:pPr>
              <w:spacing w:line="250" w:lineRule="auto"/>
              <w:rPr>
                <w:rFonts w:ascii="Arial"/>
                <w:sz w:val="21"/>
              </w:rPr>
            </w:pPr>
            <w:r>
              <mc:AlternateContent>
                <mc:Choice Requires="wps">
                  <w:drawing>
                    <wp:anchor distT="0" distB="0" distL="114300" distR="114300" simplePos="0" relativeHeight="251731968" behindDoc="0" locked="0" layoutInCell="1" allowOverlap="1">
                      <wp:simplePos x="0" y="0"/>
                      <wp:positionH relativeFrom="page">
                        <wp:posOffset>175895</wp:posOffset>
                      </wp:positionH>
                      <wp:positionV relativeFrom="page">
                        <wp:posOffset>0</wp:posOffset>
                      </wp:positionV>
                      <wp:extent cx="22225" cy="44450"/>
                      <wp:effectExtent l="0" t="0" r="15875" b="12700"/>
                      <wp:wrapNone/>
                      <wp:docPr id="122" name="矩形 122"/>
                      <wp:cNvGraphicFramePr/>
                      <a:graphic xmlns:a="http://schemas.openxmlformats.org/drawingml/2006/main">
                        <a:graphicData uri="http://schemas.microsoft.com/office/word/2010/wordprocessingShape">
                          <wps:wsp>
                            <wps:cNvSpPr/>
                            <wps:spPr>
                              <a:xfrm>
                                <a:off x="0" y="0"/>
                                <a:ext cx="22225" cy="444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3.85pt;margin-top:0pt;height:3.5pt;width:1.75pt;mso-position-horizontal-relative:page;mso-position-vertical-relative:page;z-index:251731968;mso-width-relative:page;mso-height-relative:page;" fillcolor="#000000" filled="t" stroked="f" coordsize="21600,21600" o:gfxdata="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2f3fdQAAAAEAQAADwAAAAAAAAABACAAAAAiAAAAZHJzL2Rv&#10;d25yZXYueG1sUEsBAhQAFAAAAAgAh07iQAyOOP6TAQAAEgMAAA4AAAAAAAAAAQAgAAAAIwEAAGRy&#10;cy9lMm9Eb2MueG1sUEsFBgAAAAAGAAYAWQEAACgFAAAAAA==&#10;">
                      <v:fill on="t" focussize="0,0"/>
                      <v:stroke on="f"/>
                      <v:imagedata o:title=""/>
                      <o:lock v:ext="edit" aspectratio="f"/>
                    </v:rect>
                  </w:pict>
                </mc:Fallback>
              </mc:AlternateContent>
            </w:r>
          </w:p>
          <w:p>
            <w:pPr>
              <w:pStyle w:val="25"/>
              <w:spacing w:line="509" w:lineRule="exact"/>
              <w:ind w:firstLine="84"/>
            </w:pPr>
            <w:r>
              <w:rPr>
                <w:position w:val="-10"/>
              </w:rPr>
              <mc:AlternateContent>
                <mc:Choice Requires="wpg">
                  <w:drawing>
                    <wp:inline distT="0" distB="0" distL="114300" distR="114300">
                      <wp:extent cx="1735455" cy="323850"/>
                      <wp:effectExtent l="12700" t="0" r="23495" b="26035"/>
                      <wp:docPr id="118" name="组合 118"/>
                      <wp:cNvGraphicFramePr/>
                      <a:graphic xmlns:a="http://schemas.openxmlformats.org/drawingml/2006/main">
                        <a:graphicData uri="http://schemas.microsoft.com/office/word/2010/wordprocessingGroup">
                          <wpg:wgp>
                            <wpg:cNvGrpSpPr/>
                            <wpg:grpSpPr>
                              <a:xfrm>
                                <a:off x="0" y="0"/>
                                <a:ext cx="1735455" cy="323850"/>
                                <a:chOff x="0" y="0"/>
                                <a:chExt cx="2732" cy="510"/>
                              </a:xfrm>
                            </wpg:grpSpPr>
                            <pic:pic xmlns:pic="http://schemas.openxmlformats.org/drawingml/2006/picture">
                              <pic:nvPicPr>
                                <pic:cNvPr id="30" name="图片 152"/>
                                <pic:cNvPicPr>
                                  <a:picLocks noChangeAspect="1"/>
                                </pic:cNvPicPr>
                              </pic:nvPicPr>
                              <pic:blipFill>
                                <a:blip r:embed="rId36"/>
                                <a:stretch>
                                  <a:fillRect/>
                                </a:stretch>
                              </pic:blipFill>
                              <pic:spPr>
                                <a:xfrm>
                                  <a:off x="0" y="0"/>
                                  <a:ext cx="2732" cy="510"/>
                                </a:xfrm>
                                <a:prstGeom prst="rect">
                                  <a:avLst/>
                                </a:prstGeom>
                                <a:noFill/>
                                <a:ln>
                                  <a:noFill/>
                                </a:ln>
                              </pic:spPr>
                            </pic:pic>
                            <wps:wsp>
                              <wps:cNvPr id="117" name="文本框 117"/>
                              <wps:cNvSpPr txBox="1"/>
                              <wps:spPr>
                                <a:xfrm>
                                  <a:off x="-20" y="-20"/>
                                  <a:ext cx="2772" cy="550"/>
                                </a:xfrm>
                                <a:prstGeom prst="rect">
                                  <a:avLst/>
                                </a:prstGeom>
                                <a:noFill/>
                                <a:ln>
                                  <a:noFill/>
                                </a:ln>
                              </wps:spPr>
                              <wps:txbx>
                                <w:txbxContent>
                                  <w:p>
                                    <w:pPr>
                                      <w:spacing w:before="143" w:line="220" w:lineRule="auto"/>
                                      <w:ind w:left="662"/>
                                      <w:rPr>
                                        <w:rFonts w:ascii="宋体" w:hAnsi="宋体" w:eastAsia="宋体" w:cs="宋体"/>
                                        <w:sz w:val="24"/>
                                        <w:szCs w:val="24"/>
                                      </w:rPr>
                                    </w:pPr>
                                    <w:r>
                                      <w:rPr>
                                        <w:rFonts w:ascii="宋体" w:hAnsi="宋体" w:eastAsia="宋体" w:cs="宋体"/>
                                        <w:spacing w:val="-2"/>
                                        <w:sz w:val="24"/>
                                        <w:szCs w:val="24"/>
                                      </w:rPr>
                                      <w:t>设备安装施工阶段</w:t>
                                    </w:r>
                                  </w:p>
                                </w:txbxContent>
                              </wps:txbx>
                              <wps:bodyPr lIns="0" tIns="0" rIns="0" bIns="0" upright="1"/>
                            </wps:wsp>
                          </wpg:wgp>
                        </a:graphicData>
                      </a:graphic>
                    </wp:inline>
                  </w:drawing>
                </mc:Choice>
                <mc:Fallback>
                  <w:pict>
                    <v:group id="_x0000_s1026" o:spid="_x0000_s1026" o:spt="203" style="height:25.5pt;width:136.65pt;" coordsize="2732,510" o:gfxdata="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">
                      <o:lock v:ext="edit" aspectratio="f"/>
                      <v:shape id="图片 152" o:spid="_x0000_s1026" o:spt="75" type="#_x0000_t75" style="position:absolute;left:0;top:0;height:510;width:2732;" filled="f" o:preferrelative="t" stroked="f" coordsize="21600,21600" o:gfxdata="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vAAC5AAAA2wAA&#10;AA8AAAAAAAAAAQAgAAAAIgAAAGRycy9kb3ducmV2LnhtbFBLAQIUABQAAAAIAIdO4kAzLwWeOwAA&#10;ADkAAAAQAAAAAAAAAAEAIAAAAAgBAABkcnMvc2hhcGV4bWwueG1sUEsFBgAAAAAGAAYAWwEAALID&#10;AAAAAA==&#10;">
                        <v:fill on="f" focussize="0,0"/>
                        <v:stroke on="f"/>
                        <v:imagedata r:id="rId36" o:title=""/>
                        <o:lock v:ext="edit" aspectratio="t"/>
                      </v:shape>
                      <v:shape id="_x0000_s1026" o:spid="_x0000_s1026" o:spt="202" type="#_x0000_t202" style="position:absolute;left:-20;top:-20;height:550;width:2772;"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43" w:line="220" w:lineRule="auto"/>
                                <w:ind w:left="662"/>
                                <w:rPr>
                                  <w:rFonts w:ascii="宋体" w:hAnsi="宋体" w:eastAsia="宋体" w:cs="宋体"/>
                                  <w:sz w:val="24"/>
                                  <w:szCs w:val="24"/>
                                </w:rPr>
                              </w:pPr>
                              <w:r>
                                <w:rPr>
                                  <w:rFonts w:ascii="宋体" w:hAnsi="宋体" w:eastAsia="宋体" w:cs="宋体"/>
                                  <w:spacing w:val="-2"/>
                                  <w:sz w:val="24"/>
                                  <w:szCs w:val="24"/>
                                </w:rPr>
                                <w:t>设备安装施工阶段</w:t>
                              </w:r>
                            </w:p>
                          </w:txbxContent>
                        </v:textbox>
                      </v:shape>
                      <w10:wrap type="none"/>
                      <w10:anchorlock/>
                    </v:group>
                  </w:pict>
                </mc:Fallback>
              </mc:AlternateContent>
            </w:r>
          </w:p>
        </w:tc>
        <w:tc>
          <w:tcPr>
            <w:tcW w:w="107" w:type="dxa"/>
            <w:tcBorders>
              <w:tl2br w:val="nil"/>
              <w:tr2bl w:val="nil"/>
            </w:tcBorders>
            <w:vAlign w:val="top"/>
          </w:tcPr>
          <w:p>
            <w:pPr>
              <w:rPr>
                <w:rFonts w:ascii="Arial"/>
                <w:sz w:val="21"/>
              </w:rPr>
            </w:pPr>
            <w:r>
              <mc:AlternateContent>
                <mc:Choice Requires="wps">
                  <w:drawing>
                    <wp:anchor distT="0" distB="0" distL="114300" distR="114300" simplePos="0" relativeHeight="251730944" behindDoc="0" locked="0" layoutInCell="1" allowOverlap="1">
                      <wp:simplePos x="0" y="0"/>
                      <wp:positionH relativeFrom="page">
                        <wp:posOffset>27305</wp:posOffset>
                      </wp:positionH>
                      <wp:positionV relativeFrom="page">
                        <wp:posOffset>29845</wp:posOffset>
                      </wp:positionV>
                      <wp:extent cx="49530" cy="16510"/>
                      <wp:effectExtent l="0" t="0" r="0" b="0"/>
                      <wp:wrapNone/>
                      <wp:docPr id="21" name="矩形 21"/>
                      <wp:cNvGraphicFramePr/>
                      <a:graphic xmlns:a="http://schemas.openxmlformats.org/drawingml/2006/main">
                        <a:graphicData uri="http://schemas.microsoft.com/office/word/2010/wordprocessingShape">
                          <wps:wsp>
                            <wps:cNvSpPr/>
                            <wps:spPr>
                              <a:xfrm>
                                <a:off x="0" y="0"/>
                                <a:ext cx="49530" cy="1651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15pt;margin-top:2.35pt;height:1.3pt;width:3.9pt;mso-position-horizontal-relative:page;mso-position-vertical-relative:page;z-index:251730944;mso-width-relative:page;mso-height-relative:page;" fillcolor="#000000" filled="t" stroked="f" coordsize="21600,21600" o:gfxdata="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OI0H1AAAAAQBAAAPAAAAAAAAAAEAIAAAACIAAABkcnMv&#10;ZG93bnJldi54bWxQSwECFAAUAAAACACHTuJAdHpM3JUBAAAQAwAADgAAAAAAAAABACAAAAAjAQAA&#10;ZHJzL2Uyb0RvYy54bWxQSwUGAAAAAAYABgBZAQAAKgUAAAAA&#10;">
                      <v:fill on="t" focussize="0,0"/>
                      <v:stroke on="f"/>
                      <v:imagedata o:title=""/>
                      <o:lock v:ext="edit" aspectratio="f"/>
                    </v:rect>
                  </w:pict>
                </mc:Fallback>
              </mc:AlternateContent>
            </w:r>
          </w:p>
        </w:tc>
      </w:tr>
    </w:tbl>
    <w:p>
      <w:pPr>
        <w:keepNext w:val="0"/>
        <w:keepLines w:val="0"/>
        <w:pageBreakBefore w:val="0"/>
        <w:widowControl/>
        <w:kinsoku w:val="0"/>
        <w:wordWrap/>
        <w:overflowPunct/>
        <w:topLinePunct w:val="0"/>
        <w:autoSpaceDE w:val="0"/>
        <w:autoSpaceDN w:val="0"/>
        <w:bidi w:val="0"/>
        <w:adjustRightInd w:val="0"/>
        <w:snapToGrid w:val="0"/>
        <w:spacing w:before="76" w:after="0" w:afterLines="50" w:line="219" w:lineRule="auto"/>
        <w:ind w:left="1610"/>
        <w:textAlignment w:val="baseline"/>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图</w:t>
      </w:r>
      <w:r>
        <w:rPr>
          <w:rFonts w:ascii="Times New Roman" w:hAnsi="Times New Roman" w:eastAsia="Times New Roman" w:cs="Times New Roman"/>
          <w:b/>
          <w:bCs/>
          <w:spacing w:val="-1"/>
          <w:sz w:val="24"/>
          <w:szCs w:val="24"/>
          <w:highlight w:val="none"/>
        </w:rPr>
        <w:t>3-4</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厂区施工期施工工艺流程及产污环节示意图</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本项目施工场地主要为厂区施工，在项目的施工期间产生的污染物包括厂区施工扬尘、施工废水、施工噪声和施工期固废，其中扬尘和噪声是施工期的主要污染物。</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1、大气污染源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施工期大气污染源主要是施工扬尘、道路扬尘。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（1）施工扬尘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在施工过程中，堆土裸露、土方挖掘、平整土地、建材装卸等，会使大气中悬浮颗粒物含量骤增，严重影响周围环境。</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扬尘污染造成大气中TSP值增高，根据类比资料，施工扬尘的起尘量与许多因素有关。主要包括：基础开挖起尘量、施工渣土堆场起尘量、进出车辆带泥沙量以及起尘高度、采取的防护措施、空气湿度、风速等。</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（2）道路扬尘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在建筑材料运输过程中会有道路扬尘产生，道路扬尘的产生量与路面清洁程度、 车辆行驶速度有关。根据调查，项目施工过程中车辆主要经过区域</w:t>
      </w:r>
      <w:r>
        <w:rPr>
          <w:rFonts w:hint="eastAsia" w:ascii="Times New Roman" w:hAnsi="Times New Roman" w:eastAsia="宋体" w:cs="Times New Roman"/>
          <w:sz w:val="24"/>
          <w:szCs w:val="24"/>
          <w:lang w:eastAsia="zh-CN"/>
        </w:rPr>
        <w:t>叶县现成周边道路</w:t>
      </w:r>
      <w:r>
        <w:rPr>
          <w:rFonts w:hint="default" w:ascii="Times New Roman" w:hAnsi="Times New Roman" w:eastAsia="宋体" w:cs="Times New Roman"/>
          <w:sz w:val="24"/>
          <w:szCs w:val="24"/>
        </w:rPr>
        <w:t>进入施工区，施工过程中将会对道路两侧产生一定的影响。</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2、废水</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项目施工期废水主要分为生产废水以及施工人员生活污水。</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废水主要包括施工机械冲洗废水和施工阶段产生的泥浆废水，如果施工阶段不进行严格管理，将对施工场地造成一定的影响。评价建议在施工场地内设置沉淀池，使建筑污水经沉淀后上清水用于施工建设和洒水逸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污水为施工人员日常生活产生的废水，包括洗漱废水和粪便废水，项目建设共需施工工人40人，施工现场不设施工营地，项目施工期间人员不在施工场地食宿，产生的生活污水量很小。项目区施工人员用水量按照30L/d人计算，则施工期用水量为1.2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/d，按照0.8的污水产生系数计算，项目施工生活污水产生量为0.96m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/d，生活污水经化粪池处理后定期由附近农民拉走堆肥，不外排，对环境影响不大。</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3、噪声污染源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项目施工期的噪声主要表现为运输车辆的交通噪声及施工机械产生的噪声和振 动。挖土采用挖土机、推土机、运载车等，水泥搅拌等，会产生明显的施工噪声，</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据类比调查，施工时各种机械的声级可达80-90dB（A），具体见表3-10。</w:t>
      </w:r>
    </w:p>
    <w:p>
      <w:pPr>
        <w:jc w:val="center"/>
        <w:rPr>
          <w:b/>
          <w:bCs/>
          <w:sz w:val="24"/>
          <w:szCs w:val="24"/>
        </w:rPr>
      </w:pPr>
      <w:r>
        <w:rPr>
          <w:b/>
          <w:bCs/>
          <w:sz w:val="24"/>
          <w:szCs w:val="24"/>
        </w:rPr>
        <w:t>表3-10            施工机械噪声强度</w:t>
      </w:r>
    </w:p>
    <w:tbl>
      <w:tblPr>
        <w:tblStyle w:val="24"/>
        <w:tblW w:w="9215"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427"/>
        <w:gridCol w:w="478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jc w:val="center"/>
        </w:trPr>
        <w:tc>
          <w:tcPr>
            <w:tcW w:w="4427" w:type="dxa"/>
            <w:tcBorders>
              <w:tl2br w:val="nil"/>
              <w:tr2bl w:val="nil"/>
            </w:tcBorders>
            <w:vAlign w:val="top"/>
          </w:tcPr>
          <w:p>
            <w:pPr>
              <w:pStyle w:val="25"/>
              <w:spacing w:before="57" w:line="228" w:lineRule="auto"/>
              <w:ind w:left="1952"/>
              <w:rPr>
                <w:b/>
                <w:bCs/>
                <w:sz w:val="21"/>
                <w:szCs w:val="21"/>
              </w:rPr>
            </w:pPr>
            <w:r>
              <w:rPr>
                <w:b/>
                <w:bCs/>
                <w:spacing w:val="2"/>
                <w:sz w:val="21"/>
                <w:szCs w:val="21"/>
              </w:rPr>
              <w:t>声源</w:t>
            </w:r>
          </w:p>
        </w:tc>
        <w:tc>
          <w:tcPr>
            <w:tcW w:w="4788" w:type="dxa"/>
            <w:tcBorders>
              <w:tl2br w:val="nil"/>
              <w:tr2bl w:val="nil"/>
            </w:tcBorders>
            <w:vAlign w:val="top"/>
          </w:tcPr>
          <w:p>
            <w:pPr>
              <w:pStyle w:val="25"/>
              <w:spacing w:before="57" w:line="221" w:lineRule="auto"/>
              <w:ind w:left="1598"/>
              <w:rPr>
                <w:rFonts w:ascii="Times New Roman" w:hAnsi="Times New Roman" w:eastAsia="Times New Roman" w:cs="Times New Roman"/>
                <w:b/>
                <w:bCs/>
                <w:sz w:val="21"/>
                <w:szCs w:val="21"/>
              </w:rPr>
            </w:pPr>
            <w:r>
              <w:rPr>
                <w:b/>
                <w:bCs/>
                <w:spacing w:val="6"/>
                <w:sz w:val="21"/>
                <w:szCs w:val="21"/>
              </w:rPr>
              <w:t>噪声源强</w:t>
            </w:r>
            <w:r>
              <w:rPr>
                <w:rFonts w:ascii="Times New Roman" w:hAnsi="Times New Roman" w:eastAsia="Times New Roman" w:cs="Times New Roman"/>
                <w:b/>
                <w:bCs/>
                <w:sz w:val="21"/>
                <w:szCs w:val="21"/>
              </w:rPr>
              <w:t>dB</w:t>
            </w:r>
            <w:r>
              <w:rPr>
                <w:rFonts w:ascii="Times New Roman" w:hAnsi="Times New Roman" w:eastAsia="Times New Roman" w:cs="Times New Roman"/>
                <w:b/>
                <w:bCs/>
                <w:spacing w:val="6"/>
                <w:sz w:val="21"/>
                <w:szCs w:val="21"/>
              </w:rPr>
              <w: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4427" w:type="dxa"/>
            <w:tcBorders>
              <w:tl2br w:val="nil"/>
              <w:tr2bl w:val="nil"/>
            </w:tcBorders>
            <w:vAlign w:val="top"/>
          </w:tcPr>
          <w:p>
            <w:pPr>
              <w:pStyle w:val="25"/>
              <w:spacing w:before="52" w:line="227" w:lineRule="auto"/>
              <w:ind w:left="1842"/>
              <w:rPr>
                <w:sz w:val="21"/>
                <w:szCs w:val="21"/>
              </w:rPr>
            </w:pPr>
            <w:r>
              <w:rPr>
                <w:spacing w:val="6"/>
                <w:sz w:val="21"/>
                <w:szCs w:val="21"/>
              </w:rPr>
              <w:t>装载机</w:t>
            </w:r>
          </w:p>
        </w:tc>
        <w:tc>
          <w:tcPr>
            <w:tcW w:w="4788" w:type="dxa"/>
            <w:tcBorders>
              <w:tl2br w:val="nil"/>
              <w:tr2bl w:val="nil"/>
            </w:tcBorders>
            <w:vAlign w:val="top"/>
          </w:tcPr>
          <w:p>
            <w:pPr>
              <w:spacing w:before="88" w:line="195" w:lineRule="auto"/>
              <w:ind w:left="2224"/>
              <w:rPr>
                <w:rFonts w:ascii="Times New Roman" w:hAnsi="Times New Roman" w:eastAsia="Times New Roman" w:cs="Times New Roman"/>
                <w:sz w:val="21"/>
                <w:szCs w:val="21"/>
              </w:rPr>
            </w:pPr>
            <w:r>
              <w:rPr>
                <w:rFonts w:ascii="Times New Roman" w:hAnsi="Times New Roman" w:eastAsia="Times New Roman" w:cs="Times New Roman"/>
                <w:sz w:val="21"/>
                <w:szCs w:val="21"/>
              </w:rPr>
              <w:t>95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4427" w:type="dxa"/>
            <w:tcBorders>
              <w:tl2br w:val="nil"/>
              <w:tr2bl w:val="nil"/>
            </w:tcBorders>
            <w:vAlign w:val="top"/>
          </w:tcPr>
          <w:p>
            <w:pPr>
              <w:pStyle w:val="25"/>
              <w:spacing w:before="53" w:line="227" w:lineRule="auto"/>
              <w:ind w:left="1841"/>
              <w:rPr>
                <w:sz w:val="21"/>
                <w:szCs w:val="21"/>
              </w:rPr>
            </w:pPr>
            <w:r>
              <w:rPr>
                <w:spacing w:val="7"/>
                <w:sz w:val="21"/>
                <w:szCs w:val="21"/>
              </w:rPr>
              <w:t>挖掘机</w:t>
            </w:r>
          </w:p>
        </w:tc>
        <w:tc>
          <w:tcPr>
            <w:tcW w:w="4788" w:type="dxa"/>
            <w:tcBorders>
              <w:tl2br w:val="nil"/>
              <w:tr2bl w:val="nil"/>
            </w:tcBorders>
            <w:vAlign w:val="top"/>
          </w:tcPr>
          <w:p>
            <w:pPr>
              <w:spacing w:before="89" w:line="195" w:lineRule="auto"/>
              <w:ind w:left="2224"/>
              <w:rPr>
                <w:rFonts w:ascii="Times New Roman" w:hAnsi="Times New Roman" w:eastAsia="Times New Roman" w:cs="Times New Roman"/>
                <w:sz w:val="21"/>
                <w:szCs w:val="21"/>
              </w:rPr>
            </w:pPr>
            <w:r>
              <w:rPr>
                <w:rFonts w:ascii="Times New Roman" w:hAnsi="Times New Roman" w:eastAsia="Times New Roman" w:cs="Times New Roman"/>
                <w:sz w:val="21"/>
                <w:szCs w:val="21"/>
              </w:rPr>
              <w:t>95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4427" w:type="dxa"/>
            <w:tcBorders>
              <w:tl2br w:val="nil"/>
              <w:tr2bl w:val="nil"/>
            </w:tcBorders>
            <w:vAlign w:val="top"/>
          </w:tcPr>
          <w:p>
            <w:pPr>
              <w:pStyle w:val="25"/>
              <w:spacing w:before="54" w:line="227" w:lineRule="auto"/>
              <w:ind w:left="1842"/>
              <w:rPr>
                <w:sz w:val="21"/>
                <w:szCs w:val="21"/>
              </w:rPr>
            </w:pPr>
            <w:r>
              <w:rPr>
                <w:spacing w:val="6"/>
                <w:sz w:val="21"/>
                <w:szCs w:val="21"/>
              </w:rPr>
              <w:t>推土机</w:t>
            </w:r>
          </w:p>
        </w:tc>
        <w:tc>
          <w:tcPr>
            <w:tcW w:w="4788" w:type="dxa"/>
            <w:tcBorders>
              <w:tl2br w:val="nil"/>
              <w:tr2bl w:val="nil"/>
            </w:tcBorders>
            <w:vAlign w:val="top"/>
          </w:tcPr>
          <w:p>
            <w:pPr>
              <w:spacing w:before="90" w:line="195" w:lineRule="auto"/>
              <w:ind w:left="2224"/>
              <w:rPr>
                <w:rFonts w:ascii="Times New Roman" w:hAnsi="Times New Roman" w:eastAsia="Times New Roman" w:cs="Times New Roman"/>
                <w:sz w:val="21"/>
                <w:szCs w:val="21"/>
              </w:rPr>
            </w:pPr>
            <w:r>
              <w:rPr>
                <w:rFonts w:ascii="Times New Roman" w:hAnsi="Times New Roman" w:eastAsia="Times New Roman" w:cs="Times New Roman"/>
                <w:sz w:val="21"/>
                <w:szCs w:val="21"/>
              </w:rPr>
              <w:t>90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4427" w:type="dxa"/>
            <w:tcBorders>
              <w:tl2br w:val="nil"/>
              <w:tr2bl w:val="nil"/>
            </w:tcBorders>
            <w:vAlign w:val="top"/>
          </w:tcPr>
          <w:p>
            <w:pPr>
              <w:pStyle w:val="25"/>
              <w:spacing w:before="54" w:line="230" w:lineRule="auto"/>
              <w:ind w:left="1972"/>
              <w:rPr>
                <w:sz w:val="21"/>
                <w:szCs w:val="21"/>
              </w:rPr>
            </w:pPr>
            <w:r>
              <w:rPr>
                <w:spacing w:val="-8"/>
                <w:sz w:val="21"/>
                <w:szCs w:val="21"/>
              </w:rPr>
              <w:t>电锯</w:t>
            </w:r>
          </w:p>
        </w:tc>
        <w:tc>
          <w:tcPr>
            <w:tcW w:w="4788" w:type="dxa"/>
            <w:tcBorders>
              <w:tl2br w:val="nil"/>
              <w:tr2bl w:val="nil"/>
            </w:tcBorders>
            <w:vAlign w:val="top"/>
          </w:tcPr>
          <w:p>
            <w:pPr>
              <w:spacing w:before="90" w:line="195" w:lineRule="auto"/>
              <w:ind w:left="2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jc w:val="center"/>
        </w:trPr>
        <w:tc>
          <w:tcPr>
            <w:tcW w:w="4427" w:type="dxa"/>
            <w:tcBorders>
              <w:tl2br w:val="nil"/>
              <w:tr2bl w:val="nil"/>
            </w:tcBorders>
            <w:vAlign w:val="top"/>
          </w:tcPr>
          <w:p>
            <w:pPr>
              <w:pStyle w:val="25"/>
              <w:spacing w:before="55" w:line="233" w:lineRule="auto"/>
              <w:ind w:left="1972"/>
              <w:rPr>
                <w:sz w:val="21"/>
                <w:szCs w:val="21"/>
              </w:rPr>
            </w:pPr>
            <w:r>
              <w:rPr>
                <w:spacing w:val="-8"/>
                <w:sz w:val="21"/>
                <w:szCs w:val="21"/>
              </w:rPr>
              <w:t>电锤</w:t>
            </w:r>
          </w:p>
        </w:tc>
        <w:tc>
          <w:tcPr>
            <w:tcW w:w="4788" w:type="dxa"/>
            <w:tcBorders>
              <w:tl2br w:val="nil"/>
              <w:tr2bl w:val="nil"/>
            </w:tcBorders>
            <w:vAlign w:val="top"/>
          </w:tcPr>
          <w:p>
            <w:pPr>
              <w:spacing w:before="91" w:line="195" w:lineRule="auto"/>
              <w:ind w:left="2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jc w:val="center"/>
        </w:trPr>
        <w:tc>
          <w:tcPr>
            <w:tcW w:w="4427" w:type="dxa"/>
            <w:tcBorders>
              <w:tl2br w:val="nil"/>
              <w:tr2bl w:val="nil"/>
            </w:tcBorders>
            <w:vAlign w:val="top"/>
          </w:tcPr>
          <w:p>
            <w:pPr>
              <w:pStyle w:val="25"/>
              <w:spacing w:before="56" w:line="231" w:lineRule="auto"/>
              <w:ind w:left="1972"/>
              <w:rPr>
                <w:sz w:val="21"/>
                <w:szCs w:val="21"/>
              </w:rPr>
            </w:pPr>
            <w:r>
              <w:rPr>
                <w:spacing w:val="-8"/>
                <w:sz w:val="21"/>
                <w:szCs w:val="21"/>
              </w:rPr>
              <w:t>电刨</w:t>
            </w:r>
          </w:p>
        </w:tc>
        <w:tc>
          <w:tcPr>
            <w:tcW w:w="4788" w:type="dxa"/>
            <w:tcBorders>
              <w:tl2br w:val="nil"/>
              <w:tr2bl w:val="nil"/>
            </w:tcBorders>
            <w:vAlign w:val="top"/>
          </w:tcPr>
          <w:p>
            <w:pPr>
              <w:spacing w:before="92" w:line="195" w:lineRule="auto"/>
              <w:ind w:left="2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4、固体废物</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施工期固废主要是建筑垃圾、不能回收利用的废弃包装以及施工人员日常生活产生的生活垃圾等。施工期建筑垃圾主要为施工过程中产生的残砖、废弃混凝土以及废弃的装修材料等，收集后运往指定的建筑垃圾处置场。</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施工人员生活垃圾以每人0.5kg/d计，施工人员40人，则施工产生生活垃圾量为0.02t/d，经临时的生活垃圾收集系统收集后，定期委托环卫部门清运。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5、施工期生态影响分析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施工期生态环境的影响因素主要为：厂区建设场地开挖、厂房建设施工期间引起的植被破坏及水土流失。</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（1）厂区建设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生产厂房建设工程是露天施工，需进行土地开挖、厂房、构筑物建设等工程，挖出土方就地堆放，压占土地、植被，对生态环境造成一定影响。</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平整场地将破坏土壤结构，由于清除大部分现有地表植被，降低了地表植被覆盖率，开挖期间产生的弃土弃渣堆放若不及时清理和无任何遮挡、覆盖等措施，在干燥气象条件下极易引起扬尘污染；在瞬时降雨强度较大的情况下，易形成水土流失现象。工程建成后，随着厂区生态恢复，以及对厂区四周、内外空地和道路两侧采取环境绿化措施，本项目占地导致的生态影响可得到一定补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①施工期清表、开挖等土方工程引起自然地貌的改变和地表自然及人工植被的破坏，由此引发的区域生态环境的破坏；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②因地基施工换出的废弃渣土堆积雨季易发生水土流失；</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③临时占地：主要是施工阶段工棚、堆料场、施工机械停放以及施工开挖土方等占用土地。占地造成影响有：破坏植被，使地表裸露，增加水土流失；踏压植被会影响植物的生长；</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（2）采取生态保护措施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1）规范施工，严格管理；在施工前应制定泥浆、土石方处置方案，应限制临时堆放占地面积和远距离转移。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2）生态保护、恢复措施：项目建设对生态环境的影响主要是施工期污水处理区地基开挖、修建构筑物等对地表土壤和植被的破坏及水土流失。为此提出以下要求：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①强化生态环境保护意识，严格控制施工作业区，不得随意扩大范围，必须减少对附近植被和道路破坏；</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②对于场地地基施工，开挖土方实行分层堆放，全部表土都应分开堆放并标注清楚，至少地表 0.3m 厚土层应被视作表土。挖出土方及时回填，分层回填，原样恢复或绿化；不能马上回填的应就近选择平坦地段集中堆放，要设土工布围栏、截排水沟等，避免出现雨水冲蚀造成水土流失；</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③工程施工前对施工道路进行硬化，防止车辆运输作业产生二次扬尘；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④优化设计方案、施工路线，工程设计应尽可能减少临时占地，严格控制临时占地面积；施工结束，临时占地和临时建筑都要进行清理整治和拆除，重新疏松被碾压后变密实的土壤；</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⑤清理施工现场，施工结束后要尽快清理施工现场，恢复原有地貌，运走施工垃圾，严禁将其随覆土埋入地下。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综上，施工期的环境影响是短暂的、局部的，在施工过程中和施工结束后通过采取一系列的污染防治措施和生态恢复措施，</w:t>
      </w:r>
      <w:r>
        <w:rPr>
          <w:rFonts w:hint="eastAsia" w:ascii="Times New Roman" w:hAnsi="Times New Roman" w:eastAsia="宋体" w:cs="Times New Roman"/>
          <w:sz w:val="24"/>
          <w:szCs w:val="24"/>
          <w:lang w:eastAsia="zh-CN"/>
        </w:rPr>
        <w:t>对周围环境影响不大</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r>
        <w:rPr>
          <w:rFonts w:ascii="Times New Roman" w:hAnsi="Times New Roman" w:eastAsia="Times New Roman" w:cs="Times New Roman"/>
          <w:spacing w:val="-3"/>
          <w:sz w:val="28"/>
          <w:szCs w:val="28"/>
        </w:rPr>
        <w:t>3.3.2</w:t>
      </w:r>
      <w:r>
        <w:rPr>
          <w:rFonts w:ascii="楷体" w:hAnsi="楷体" w:eastAsia="楷体" w:cs="楷体"/>
          <w:spacing w:val="-3"/>
          <w:sz w:val="28"/>
          <w:szCs w:val="28"/>
        </w:rPr>
        <w:t>营运期污染源分析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一、废水污染源强分析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本项目废水主要为生产废水</w:t>
      </w:r>
      <w:r>
        <w:rPr>
          <w:rFonts w:hint="eastAsia" w:ascii="Times New Roman" w:hAnsi="Times New Roman" w:eastAsia="宋体" w:cs="Times New Roman"/>
          <w:sz w:val="24"/>
          <w:szCs w:val="24"/>
          <w:lang w:eastAsia="zh-CN"/>
        </w:rPr>
        <w:t>和</w:t>
      </w:r>
      <w:r>
        <w:rPr>
          <w:rFonts w:hint="default" w:ascii="Times New Roman" w:hAnsi="Times New Roman" w:cs="Times New Roman"/>
          <w:sz w:val="24"/>
          <w:szCs w:val="24"/>
        </w:rPr>
        <w:t>生活污水。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（1）生产废水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本项目生产废水主要为待宰区地面冲洗废水、车辆冲洗废水、屠宰废水（包括</w:t>
      </w:r>
      <w:r>
        <w:rPr>
          <w:rFonts w:hint="eastAsia" w:ascii="Times New Roman" w:hAnsi="Times New Roman" w:eastAsia="宋体" w:cs="Times New Roman"/>
          <w:sz w:val="24"/>
          <w:szCs w:val="24"/>
          <w:lang w:val="en-US" w:eastAsia="zh-CN"/>
        </w:rPr>
        <w:t>牛羊</w:t>
      </w:r>
      <w:r>
        <w:rPr>
          <w:rFonts w:hint="default" w:ascii="Times New Roman" w:hAnsi="Times New Roman" w:cs="Times New Roman"/>
          <w:sz w:val="24"/>
          <w:szCs w:val="24"/>
        </w:rPr>
        <w:t>胴体</w:t>
      </w:r>
      <w:r>
        <w:rPr>
          <w:rFonts w:hint="eastAsia" w:ascii="Times New Roman" w:hAnsi="Times New Roman" w:eastAsia="宋体" w:cs="Times New Roman"/>
          <w:sz w:val="24"/>
          <w:szCs w:val="24"/>
          <w:lang w:val="en-US" w:eastAsia="zh-CN"/>
        </w:rPr>
        <w:t>冲</w:t>
      </w:r>
      <w:r>
        <w:rPr>
          <w:rFonts w:hint="default" w:ascii="Times New Roman" w:hAnsi="Times New Roman" w:cs="Times New Roman"/>
          <w:sz w:val="24"/>
          <w:szCs w:val="24"/>
        </w:rPr>
        <w:t>洗、副产品清洗、设备冲洗、车间地面冲洗等过程中产生的废水）、检验废水等。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①待宰区冲洗废水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eastAsia="宋体" w:cs="Times New Roman"/>
          <w:b w:val="0"/>
          <w:bCs/>
          <w:sz w:val="24"/>
          <w:lang w:eastAsia="zh-CN"/>
        </w:rPr>
        <w:t>根据</w:t>
      </w:r>
      <w:r>
        <w:rPr>
          <w:rFonts w:hint="default" w:ascii="Times New Roman" w:hAnsi="Times New Roman" w:eastAsia="宋体" w:cs="Times New Roman"/>
          <w:b w:val="0"/>
          <w:bCs/>
          <w:sz w:val="24"/>
          <w:lang w:val="en-US" w:eastAsia="zh-CN"/>
        </w:rPr>
        <w:t>用水平衡分析可知</w:t>
      </w:r>
      <w:r>
        <w:rPr>
          <w:rFonts w:hint="default" w:ascii="Times New Roman" w:hAnsi="Times New Roman" w:cs="Times New Roman"/>
          <w:b w:val="0"/>
          <w:bCs/>
          <w:sz w:val="24"/>
          <w:lang w:val="en-US" w:eastAsia="zh-CN"/>
        </w:rPr>
        <w:t>，待宰区冲洗废水产生量为</w:t>
      </w:r>
      <w:r>
        <w:rPr>
          <w:rFonts w:hint="eastAsia" w:ascii="Times New Roman" w:hAnsi="Times New Roman" w:cs="Times New Roman"/>
          <w:b w:val="0"/>
          <w:bCs/>
          <w:sz w:val="24"/>
          <w:lang w:val="en-US" w:eastAsia="zh-CN"/>
        </w:rPr>
        <w:t>4.05</w:t>
      </w:r>
      <w:r>
        <w:rPr>
          <w:rFonts w:hint="default" w:ascii="Times New Roman" w:hAnsi="Times New Roman" w:eastAsia="宋体" w:cs="Times New Roman"/>
          <w:b w:val="0"/>
          <w:bCs/>
          <w:sz w:val="24"/>
        </w:rPr>
        <w:t>m</w:t>
      </w:r>
      <w:r>
        <w:rPr>
          <w:rFonts w:hint="default" w:ascii="Times New Roman" w:hAnsi="Times New Roman" w:eastAsia="宋体" w:cs="Times New Roman"/>
          <w:b w:val="0"/>
          <w:bCs/>
          <w:sz w:val="24"/>
          <w:vertAlign w:val="superscript"/>
        </w:rPr>
        <w:t>3</w:t>
      </w:r>
      <w:r>
        <w:rPr>
          <w:rFonts w:hint="default" w:ascii="Times New Roman" w:hAnsi="Times New Roman" w:eastAsia="宋体" w:cs="Times New Roman"/>
          <w:b w:val="0"/>
          <w:bCs/>
          <w:sz w:val="24"/>
        </w:rPr>
        <w:t>/d</w:t>
      </w:r>
      <w:r>
        <w:rPr>
          <w:rFonts w:hint="default" w:ascii="Times New Roman" w:hAnsi="Times New Roman" w:cs="Times New Roman"/>
          <w:b w:val="0"/>
          <w:bCs/>
          <w:sz w:val="24"/>
          <w:lang w:eastAsia="zh-CN"/>
        </w:rPr>
        <w:t>，</w:t>
      </w:r>
      <w:r>
        <w:rPr>
          <w:rFonts w:hint="eastAsia" w:ascii="Times New Roman" w:hAnsi="Times New Roman" w:cs="Times New Roman"/>
          <w:b w:val="0"/>
          <w:bCs/>
          <w:sz w:val="24"/>
          <w:lang w:val="en-US" w:eastAsia="zh-CN"/>
        </w:rPr>
        <w:t>1296</w:t>
      </w:r>
      <w:r>
        <w:rPr>
          <w:rFonts w:hint="default" w:ascii="Times New Roman" w:hAnsi="Times New Roman" w:eastAsia="宋体" w:cs="Times New Roman"/>
          <w:b w:val="0"/>
          <w:bCs/>
          <w:sz w:val="24"/>
        </w:rPr>
        <w:t>m</w:t>
      </w:r>
      <w:r>
        <w:rPr>
          <w:rFonts w:hint="default" w:ascii="Times New Roman" w:hAnsi="Times New Roman" w:eastAsia="宋体" w:cs="Times New Roman"/>
          <w:b w:val="0"/>
          <w:bCs/>
          <w:sz w:val="24"/>
          <w:vertAlign w:val="superscript"/>
        </w:rPr>
        <w:t>3</w:t>
      </w:r>
      <w:r>
        <w:rPr>
          <w:rFonts w:hint="default" w:ascii="Times New Roman" w:hAnsi="Times New Roman" w:eastAsia="宋体" w:cs="Times New Roman"/>
          <w:b w:val="0"/>
          <w:bCs/>
          <w:sz w:val="24"/>
        </w:rPr>
        <w:t>/a</w:t>
      </w:r>
      <w:r>
        <w:rPr>
          <w:rFonts w:hint="default" w:ascii="Times New Roman" w:hAnsi="Times New Roman" w:cs="Times New Roman"/>
          <w:b w:val="0"/>
          <w:bCs/>
          <w:sz w:val="24"/>
          <w:lang w:eastAsia="zh-CN"/>
        </w:rPr>
        <w:t>。</w:t>
      </w:r>
      <w:r>
        <w:rPr>
          <w:rFonts w:hint="eastAsia" w:ascii="Times New Roman" w:hAnsi="Times New Roman" w:eastAsia="宋体" w:cs="Times New Roman"/>
          <w:sz w:val="24"/>
          <w:szCs w:val="24"/>
          <w:lang w:eastAsia="zh-CN"/>
        </w:rPr>
        <w:t>废水中</w:t>
      </w:r>
      <w:r>
        <w:rPr>
          <w:rFonts w:hint="default" w:ascii="Times New Roman" w:hAnsi="Times New Roman" w:cs="Times New Roman"/>
          <w:sz w:val="24"/>
          <w:szCs w:val="24"/>
        </w:rPr>
        <w:t>主要污染物有COD、BOD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、氨氮、SS等，类比已建成《阳高县青草香农牧有限公司年屠宰5万只肉</w:t>
      </w:r>
      <w:r>
        <w:rPr>
          <w:rFonts w:hint="eastAsia" w:ascii="Times New Roman" w:hAnsi="Times New Roman" w:eastAsia="宋体" w:cs="Times New Roman"/>
          <w:sz w:val="24"/>
          <w:szCs w:val="24"/>
          <w:lang w:val="en-US" w:eastAsia="zh-CN"/>
        </w:rPr>
        <w:t>牛</w:t>
      </w:r>
      <w:r>
        <w:rPr>
          <w:rFonts w:hint="default" w:ascii="Times New Roman" w:hAnsi="Times New Roman" w:cs="Times New Roman"/>
          <w:sz w:val="24"/>
          <w:szCs w:val="24"/>
        </w:rPr>
        <w:t>建设项目》及《平顶山清月兴食品加工有限公司年屠宰50万只羊加工销售项目》的验收监测数据，确定废水水质为COD</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800mg/L、BOD</w:t>
      </w:r>
      <w:r>
        <w:rPr>
          <w:rFonts w:hint="default" w:ascii="Times New Roman" w:hAnsi="Times New Roman" w:cs="Times New Roman"/>
          <w:sz w:val="24"/>
          <w:szCs w:val="24"/>
          <w:vertAlign w:val="subscript"/>
        </w:rPr>
        <w:t>5</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500mg/L、SS</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500mg/L、NH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40mg/L、动植物油60mg/L</w:t>
      </w:r>
      <w:r>
        <w:rPr>
          <w:rFonts w:hint="eastAsia" w:ascii="Times New Roman" w:hAnsi="Times New Roman" w:eastAsia="宋体" w:cs="Times New Roman"/>
          <w:sz w:val="24"/>
          <w:szCs w:val="24"/>
          <w:lang w:eastAsia="zh-CN"/>
        </w:rPr>
        <w:t>、总磷</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mg/L</w:t>
      </w:r>
      <w:r>
        <w:rPr>
          <w:rFonts w:hint="eastAsia" w:ascii="Times New Roman" w:hAnsi="Times New Roman" w:eastAsia="宋体" w:cs="Times New Roman"/>
          <w:sz w:val="24"/>
          <w:szCs w:val="24"/>
          <w:lang w:eastAsia="zh-CN"/>
        </w:rPr>
        <w:t>、总氮</w:t>
      </w:r>
      <w:r>
        <w:rPr>
          <w:rFonts w:hint="eastAsia" w:ascii="Times New Roman" w:hAnsi="Times New Roman" w:eastAsia="宋体" w:cs="Times New Roman"/>
          <w:sz w:val="24"/>
          <w:szCs w:val="24"/>
          <w:lang w:val="en-US" w:eastAsia="zh-CN"/>
        </w:rPr>
        <w:t>160</w:t>
      </w:r>
      <w:r>
        <w:rPr>
          <w:rFonts w:hint="default" w:ascii="Times New Roman" w:hAnsi="Times New Roman" w:cs="Times New Roman"/>
          <w:sz w:val="24"/>
          <w:szCs w:val="24"/>
        </w:rPr>
        <w:t>mg/L。</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②屠宰废水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snapToGrid/>
          <w:kern w:val="2"/>
          <w:sz w:val="24"/>
          <w:szCs w:val="24"/>
          <w:u w:val="single"/>
          <w:lang w:eastAsia="zh-CN"/>
        </w:rPr>
      </w:pPr>
      <w:r>
        <w:rPr>
          <w:rFonts w:hint="default" w:ascii="Times New Roman" w:hAnsi="Times New Roman" w:eastAsia="宋体" w:cs="Times New Roman"/>
          <w:b w:val="0"/>
          <w:bCs/>
          <w:snapToGrid/>
          <w:kern w:val="2"/>
          <w:sz w:val="24"/>
          <w:szCs w:val="24"/>
          <w:u w:val="single"/>
          <w:lang w:eastAsia="zh-CN"/>
        </w:rPr>
        <w:t>屠宰线废水主要</w:t>
      </w:r>
      <w:r>
        <w:rPr>
          <w:rFonts w:hint="eastAsia" w:ascii="Times New Roman" w:hAnsi="Times New Roman" w:eastAsia="宋体" w:cs="Times New Roman"/>
          <w:b w:val="0"/>
          <w:bCs/>
          <w:snapToGrid/>
          <w:kern w:val="2"/>
          <w:sz w:val="24"/>
          <w:szCs w:val="24"/>
          <w:u w:val="single"/>
          <w:lang w:eastAsia="zh-CN"/>
        </w:rPr>
        <w:t>来源</w:t>
      </w:r>
      <w:r>
        <w:rPr>
          <w:rFonts w:hint="default" w:ascii="Times New Roman" w:hAnsi="Times New Roman" w:eastAsia="宋体" w:cs="Times New Roman"/>
          <w:b w:val="0"/>
          <w:bCs/>
          <w:snapToGrid/>
          <w:kern w:val="2"/>
          <w:sz w:val="24"/>
          <w:szCs w:val="24"/>
          <w:u w:val="single"/>
          <w:lang w:eastAsia="zh-CN"/>
        </w:rPr>
        <w:t>为</w:t>
      </w:r>
      <w:r>
        <w:rPr>
          <w:rFonts w:hint="eastAsia" w:ascii="Times New Roman" w:hAnsi="Times New Roman" w:eastAsia="宋体" w:cs="Times New Roman"/>
          <w:b w:val="0"/>
          <w:bCs/>
          <w:snapToGrid/>
          <w:kern w:val="2"/>
          <w:sz w:val="24"/>
          <w:szCs w:val="24"/>
          <w:u w:val="single"/>
          <w:lang w:eastAsia="zh-CN"/>
        </w:rPr>
        <w:t>胴体（内腔）冲洗水、</w:t>
      </w:r>
      <w:r>
        <w:rPr>
          <w:rFonts w:hint="default" w:ascii="Times New Roman" w:hAnsi="Times New Roman" w:eastAsia="宋体" w:cs="Times New Roman"/>
          <w:b w:val="0"/>
          <w:bCs/>
          <w:snapToGrid/>
          <w:kern w:val="2"/>
          <w:sz w:val="24"/>
          <w:szCs w:val="24"/>
          <w:u w:val="single"/>
          <w:lang w:eastAsia="zh-CN"/>
        </w:rPr>
        <w:t>内脏清洗废水、设备清洁废水以及车间地面冲洗水</w:t>
      </w:r>
      <w:r>
        <w:rPr>
          <w:rFonts w:hint="default" w:ascii="Times New Roman" w:hAnsi="Times New Roman" w:eastAsia="宋体" w:cs="Times New Roman"/>
          <w:b/>
          <w:snapToGrid/>
          <w:kern w:val="2"/>
          <w:sz w:val="24"/>
          <w:szCs w:val="24"/>
          <w:u w:val="single"/>
          <w:lang w:eastAsia="zh-CN"/>
        </w:rPr>
        <w:t>，</w:t>
      </w:r>
      <w:r>
        <w:rPr>
          <w:rFonts w:hint="default" w:ascii="Times New Roman" w:hAnsi="Times New Roman" w:eastAsia="宋体" w:cs="Times New Roman"/>
          <w:snapToGrid/>
          <w:kern w:val="2"/>
          <w:sz w:val="24"/>
          <w:szCs w:val="24"/>
          <w:u w:val="single"/>
          <w:lang w:eastAsia="zh-CN"/>
        </w:rPr>
        <w:t>废水中</w:t>
      </w:r>
      <w:r>
        <w:rPr>
          <w:rFonts w:hint="eastAsia" w:ascii="Times New Roman" w:hAnsi="Times New Roman" w:eastAsia="宋体" w:cs="Times New Roman"/>
          <w:snapToGrid/>
          <w:kern w:val="2"/>
          <w:sz w:val="24"/>
          <w:szCs w:val="24"/>
          <w:u w:val="single"/>
          <w:lang w:eastAsia="zh-CN"/>
        </w:rPr>
        <w:t>主要包含的污染物有血污、油脂</w:t>
      </w:r>
      <w:r>
        <w:rPr>
          <w:rFonts w:hint="default" w:ascii="Times New Roman" w:hAnsi="Times New Roman" w:eastAsia="宋体" w:cs="Times New Roman"/>
          <w:snapToGrid/>
          <w:kern w:val="2"/>
          <w:sz w:val="24"/>
          <w:szCs w:val="24"/>
          <w:u w:val="single"/>
          <w:lang w:eastAsia="zh-CN"/>
        </w:rPr>
        <w:t>、</w:t>
      </w:r>
      <w:r>
        <w:rPr>
          <w:rFonts w:hint="eastAsia" w:ascii="Times New Roman" w:hAnsi="Times New Roman" w:eastAsia="宋体" w:cs="Times New Roman"/>
          <w:snapToGrid/>
          <w:kern w:val="2"/>
          <w:sz w:val="24"/>
          <w:szCs w:val="24"/>
          <w:u w:val="single"/>
          <w:lang w:eastAsia="zh-CN"/>
        </w:rPr>
        <w:t>碎肉、畜毛</w:t>
      </w:r>
      <w:r>
        <w:rPr>
          <w:rFonts w:hint="default" w:ascii="Times New Roman" w:hAnsi="Times New Roman" w:eastAsia="宋体" w:cs="Times New Roman"/>
          <w:snapToGrid/>
          <w:kern w:val="2"/>
          <w:sz w:val="24"/>
          <w:szCs w:val="24"/>
          <w:u w:val="single"/>
          <w:lang w:eastAsia="zh-CN"/>
        </w:rPr>
        <w:t>、未消化的</w:t>
      </w:r>
      <w:r>
        <w:rPr>
          <w:rFonts w:hint="eastAsia" w:ascii="Times New Roman" w:hAnsi="Times New Roman" w:eastAsia="宋体" w:cs="Times New Roman"/>
          <w:snapToGrid/>
          <w:kern w:val="2"/>
          <w:sz w:val="24"/>
          <w:szCs w:val="24"/>
          <w:u w:val="single"/>
          <w:lang w:eastAsia="zh-CN"/>
        </w:rPr>
        <w:t>食物及</w:t>
      </w:r>
      <w:r>
        <w:rPr>
          <w:rFonts w:hint="default" w:ascii="Times New Roman" w:hAnsi="Times New Roman" w:eastAsia="宋体" w:cs="Times New Roman"/>
          <w:snapToGrid/>
          <w:kern w:val="2"/>
          <w:sz w:val="24"/>
          <w:szCs w:val="24"/>
          <w:u w:val="single"/>
          <w:lang w:eastAsia="zh-CN"/>
        </w:rPr>
        <w:t>粪便</w:t>
      </w:r>
      <w:r>
        <w:rPr>
          <w:rFonts w:hint="eastAsia" w:ascii="Times New Roman" w:hAnsi="Times New Roman" w:eastAsia="宋体" w:cs="Times New Roman"/>
          <w:snapToGrid/>
          <w:kern w:val="2"/>
          <w:sz w:val="24"/>
          <w:szCs w:val="24"/>
          <w:u w:val="single"/>
          <w:lang w:eastAsia="zh-CN"/>
        </w:rPr>
        <w:t>、尿液</w:t>
      </w:r>
      <w:r>
        <w:rPr>
          <w:rFonts w:hint="default" w:ascii="Times New Roman" w:hAnsi="Times New Roman" w:eastAsia="宋体" w:cs="Times New Roman"/>
          <w:snapToGrid/>
          <w:kern w:val="2"/>
          <w:sz w:val="24"/>
          <w:szCs w:val="24"/>
          <w:u w:val="single"/>
          <w:lang w:eastAsia="zh-CN"/>
        </w:rPr>
        <w:t>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eastAsia="宋体" w:cs="Times New Roman"/>
          <w:snapToGrid/>
          <w:kern w:val="2"/>
          <w:sz w:val="24"/>
          <w:szCs w:val="24"/>
          <w:u w:val="single"/>
          <w:lang w:eastAsia="zh-CN"/>
        </w:rPr>
        <w:t>根据</w:t>
      </w:r>
      <w:r>
        <w:rPr>
          <w:rFonts w:hint="eastAsia" w:ascii="Times New Roman" w:hAnsi="Times New Roman" w:eastAsia="宋体" w:cs="Times New Roman"/>
          <w:snapToGrid/>
          <w:kern w:val="2"/>
          <w:sz w:val="24"/>
          <w:szCs w:val="24"/>
          <w:u w:val="single"/>
          <w:lang w:val="en-US" w:eastAsia="zh-CN"/>
        </w:rPr>
        <w:t>用水平衡分析可知，</w:t>
      </w:r>
      <w:r>
        <w:rPr>
          <w:rFonts w:hint="eastAsia" w:ascii="Times New Roman" w:hAnsi="Times New Roman" w:eastAsia="宋体" w:cs="Times New Roman"/>
          <w:snapToGrid/>
          <w:kern w:val="2"/>
          <w:sz w:val="24"/>
          <w:szCs w:val="24"/>
          <w:u w:val="single"/>
          <w:lang w:eastAsia="zh-CN"/>
        </w:rPr>
        <w:t>整个厂区</w:t>
      </w:r>
      <w:r>
        <w:rPr>
          <w:rFonts w:hint="default" w:ascii="Times New Roman" w:hAnsi="Times New Roman" w:eastAsia="宋体" w:cs="Times New Roman"/>
          <w:snapToGrid/>
          <w:kern w:val="2"/>
          <w:sz w:val="24"/>
          <w:szCs w:val="24"/>
          <w:u w:val="single"/>
          <w:lang w:eastAsia="zh-CN"/>
        </w:rPr>
        <w:t>屠宰废水产生量为</w:t>
      </w:r>
      <w:r>
        <w:rPr>
          <w:rFonts w:hint="eastAsia" w:ascii="Times New Roman" w:hAnsi="Times New Roman" w:eastAsia="宋体" w:cs="Times New Roman"/>
          <w:snapToGrid/>
          <w:kern w:val="2"/>
          <w:sz w:val="24"/>
          <w:szCs w:val="24"/>
          <w:u w:val="single"/>
          <w:lang w:val="en-US" w:eastAsia="zh-CN"/>
        </w:rPr>
        <w:t>81772.8m</w:t>
      </w:r>
      <w:r>
        <w:rPr>
          <w:rFonts w:hint="eastAsia" w:ascii="Times New Roman" w:hAnsi="Times New Roman" w:eastAsia="宋体" w:cs="Times New Roman"/>
          <w:snapToGrid/>
          <w:kern w:val="2"/>
          <w:sz w:val="24"/>
          <w:szCs w:val="24"/>
          <w:u w:val="single"/>
          <w:vertAlign w:val="superscript"/>
          <w:lang w:val="en-US" w:eastAsia="zh-CN"/>
        </w:rPr>
        <w:t>3</w:t>
      </w:r>
      <w:r>
        <w:rPr>
          <w:rFonts w:hint="default" w:ascii="Times New Roman" w:hAnsi="Times New Roman" w:eastAsia="宋体" w:cs="Times New Roman"/>
          <w:snapToGrid/>
          <w:kern w:val="2"/>
          <w:sz w:val="24"/>
          <w:szCs w:val="24"/>
          <w:u w:val="single"/>
          <w:lang w:eastAsia="zh-CN"/>
        </w:rPr>
        <w:t>/a，</w:t>
      </w:r>
      <w:r>
        <w:rPr>
          <w:rFonts w:hint="eastAsia" w:ascii="Times New Roman" w:hAnsi="Times New Roman" w:eastAsia="宋体" w:cs="Times New Roman"/>
          <w:snapToGrid/>
          <w:kern w:val="2"/>
          <w:sz w:val="24"/>
          <w:szCs w:val="24"/>
          <w:u w:val="single"/>
          <w:lang w:val="en-US" w:eastAsia="zh-CN"/>
        </w:rPr>
        <w:t>255.54</w:t>
      </w:r>
      <w:r>
        <w:rPr>
          <w:rFonts w:hint="eastAsia" w:ascii="Times New Roman" w:hAnsi="Times New Roman" w:eastAsia="宋体" w:cs="Times New Roman"/>
          <w:snapToGrid/>
          <w:kern w:val="2"/>
          <w:sz w:val="24"/>
          <w:szCs w:val="24"/>
          <w:highlight w:val="none"/>
          <w:u w:val="single"/>
          <w:lang w:val="en-US" w:eastAsia="zh-CN"/>
        </w:rPr>
        <w:t>m</w:t>
      </w:r>
      <w:r>
        <w:rPr>
          <w:rFonts w:hint="eastAsia" w:ascii="Times New Roman" w:hAnsi="Times New Roman" w:eastAsia="宋体" w:cs="Times New Roman"/>
          <w:snapToGrid/>
          <w:kern w:val="2"/>
          <w:sz w:val="24"/>
          <w:szCs w:val="24"/>
          <w:highlight w:val="none"/>
          <w:u w:val="single"/>
          <w:vertAlign w:val="superscript"/>
          <w:lang w:val="en-US" w:eastAsia="zh-CN"/>
        </w:rPr>
        <w:t>3</w:t>
      </w:r>
      <w:r>
        <w:rPr>
          <w:rFonts w:hint="default" w:ascii="Times New Roman" w:hAnsi="Times New Roman" w:eastAsia="宋体" w:cs="Times New Roman"/>
          <w:snapToGrid/>
          <w:kern w:val="2"/>
          <w:sz w:val="24"/>
          <w:szCs w:val="24"/>
          <w:highlight w:val="none"/>
          <w:u w:val="single"/>
          <w:lang w:eastAsia="zh-CN"/>
        </w:rPr>
        <w:t>/d</w:t>
      </w:r>
      <w:r>
        <w:rPr>
          <w:rFonts w:hint="default" w:ascii="Times New Roman" w:hAnsi="Times New Roman" w:eastAsia="宋体" w:cs="Times New Roman"/>
          <w:snapToGrid/>
          <w:kern w:val="2"/>
          <w:sz w:val="24"/>
          <w:szCs w:val="24"/>
          <w:u w:val="single"/>
          <w:lang w:eastAsia="zh-CN"/>
        </w:rPr>
        <w:t>。</w:t>
      </w:r>
      <w:r>
        <w:rPr>
          <w:rFonts w:hint="eastAsia" w:ascii="Times New Roman" w:hAnsi="Times New Roman" w:eastAsia="宋体" w:cs="Times New Roman"/>
          <w:b w:val="0"/>
          <w:bCs/>
          <w:snapToGrid/>
          <w:kern w:val="2"/>
          <w:sz w:val="24"/>
          <w:szCs w:val="24"/>
          <w:u w:val="single"/>
          <w:lang w:eastAsia="zh-CN"/>
        </w:rPr>
        <w:t>废水中的污染物主要有</w:t>
      </w:r>
      <w:r>
        <w:rPr>
          <w:rFonts w:hint="eastAsia" w:ascii="Times New Roman" w:hAnsi="Times New Roman" w:eastAsia="宋体" w:cs="Times New Roman"/>
          <w:b w:val="0"/>
          <w:bCs/>
          <w:snapToGrid/>
          <w:kern w:val="2"/>
          <w:sz w:val="24"/>
          <w:szCs w:val="24"/>
          <w:u w:val="single"/>
          <w:lang w:val="en-US" w:eastAsia="zh-CN"/>
        </w:rPr>
        <w:t>COD、BOD、SS、NH</w:t>
      </w:r>
      <w:r>
        <w:rPr>
          <w:rFonts w:hint="eastAsia" w:ascii="Times New Roman" w:hAnsi="Times New Roman" w:eastAsia="宋体" w:cs="Times New Roman"/>
          <w:b w:val="0"/>
          <w:bCs/>
          <w:snapToGrid/>
          <w:kern w:val="2"/>
          <w:sz w:val="24"/>
          <w:szCs w:val="24"/>
          <w:u w:val="single"/>
          <w:vertAlign w:val="subscript"/>
          <w:lang w:val="en-US" w:eastAsia="zh-CN"/>
        </w:rPr>
        <w:t>3</w:t>
      </w:r>
      <w:r>
        <w:rPr>
          <w:rFonts w:hint="eastAsia" w:ascii="Times New Roman" w:hAnsi="Times New Roman" w:eastAsia="宋体" w:cs="Times New Roman"/>
          <w:b w:val="0"/>
          <w:bCs/>
          <w:snapToGrid/>
          <w:kern w:val="2"/>
          <w:sz w:val="24"/>
          <w:szCs w:val="24"/>
          <w:u w:val="single"/>
          <w:lang w:val="en-US" w:eastAsia="zh-CN"/>
        </w:rPr>
        <w:t>-N、动植物油、总磷、总氮和粪大肠菌群</w:t>
      </w:r>
      <w:r>
        <w:rPr>
          <w:rFonts w:hint="eastAsia" w:ascii="Times New Roman" w:hAnsi="Times New Roman" w:eastAsia="宋体" w:cs="Times New Roman"/>
          <w:b w:val="0"/>
          <w:bCs/>
          <w:snapToGrid/>
          <w:kern w:val="2"/>
          <w:sz w:val="24"/>
          <w:szCs w:val="24"/>
          <w:u w:val="single"/>
          <w:lang w:eastAsia="zh-CN"/>
        </w:rPr>
        <w:t>等。</w:t>
      </w:r>
      <w:r>
        <w:rPr>
          <w:rFonts w:hint="default" w:ascii="Times New Roman" w:hAnsi="Times New Roman" w:cs="Times New Roman"/>
          <w:sz w:val="24"/>
          <w:szCs w:val="24"/>
          <w:u w:val="single"/>
        </w:rPr>
        <w:t>参照《屠宰与肉类加工废水治理工程技术规范》（HJ2004-2010）中表3对屠宰废水水质设计取值（见表3-11），</w:t>
      </w:r>
      <w:r>
        <w:rPr>
          <w:rFonts w:hint="eastAsia" w:ascii="Times New Roman" w:hAnsi="Times New Roman" w:eastAsia="宋体" w:cs="Times New Roman"/>
          <w:sz w:val="24"/>
          <w:szCs w:val="24"/>
          <w:u w:val="single"/>
          <w:lang w:eastAsia="zh-CN"/>
        </w:rPr>
        <w:t>并结合</w:t>
      </w:r>
      <w:r>
        <w:rPr>
          <w:rFonts w:hint="default" w:ascii="Times New Roman" w:hAnsi="Times New Roman" w:cs="Times New Roman"/>
          <w:sz w:val="24"/>
          <w:szCs w:val="24"/>
          <w:u w:val="single"/>
        </w:rPr>
        <w:t>《排污许可证申请与核发技术规范农副食品加工工业—屠宰及肉类加工工业》（HJ860.3-2018）附录C</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C1</w:t>
      </w:r>
      <w:r>
        <w:rPr>
          <w:rFonts w:hint="default" w:ascii="Times New Roman" w:hAnsi="Times New Roman" w:cs="Times New Roman"/>
          <w:sz w:val="24"/>
          <w:szCs w:val="24"/>
          <w:u w:val="single"/>
          <w:lang w:val="en-US" w:eastAsia="zh-CN"/>
        </w:rPr>
        <w:t>屠宰工业废水的产污系数</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w:t>
      </w:r>
      <w:r>
        <w:rPr>
          <w:rFonts w:hint="eastAsia" w:ascii="Times New Roman" w:hAnsi="Times New Roman" w:eastAsia="宋体" w:cs="Times New Roman"/>
          <w:sz w:val="24"/>
          <w:szCs w:val="24"/>
          <w:u w:val="single"/>
          <w:lang w:eastAsia="zh-CN"/>
        </w:rPr>
        <w:t>和</w:t>
      </w:r>
      <w:r>
        <w:rPr>
          <w:rFonts w:hint="default" w:ascii="Times New Roman" w:hAnsi="Times New Roman" w:cs="Times New Roman"/>
          <w:sz w:val="24"/>
          <w:szCs w:val="24"/>
          <w:u w:val="single"/>
        </w:rPr>
        <w:t>《排放源统计调查产排污核算方法和系数手册系数手册》（公告2021年第24 号）</w:t>
      </w:r>
      <w:r>
        <w:rPr>
          <w:rFonts w:hint="eastAsia" w:ascii="Times New Roman" w:hAnsi="Times New Roman" w:eastAsia="宋体" w:cs="Times New Roman"/>
          <w:sz w:val="24"/>
          <w:szCs w:val="24"/>
          <w:u w:val="single"/>
          <w:lang w:eastAsia="zh-CN"/>
        </w:rPr>
        <w:t>中的“135屠宰及肉类加工行业系数手册”，</w:t>
      </w:r>
      <w:r>
        <w:rPr>
          <w:rFonts w:hint="default" w:ascii="Times New Roman" w:hAnsi="Times New Roman" w:cs="Times New Roman"/>
          <w:sz w:val="24"/>
          <w:szCs w:val="24"/>
          <w:u w:val="single"/>
        </w:rPr>
        <w:t>确定</w:t>
      </w:r>
      <w:r>
        <w:rPr>
          <w:rFonts w:hint="eastAsia" w:ascii="Times New Roman" w:hAnsi="Times New Roman" w:eastAsia="宋体" w:cs="Times New Roman"/>
          <w:sz w:val="24"/>
          <w:szCs w:val="24"/>
          <w:u w:val="single"/>
          <w:lang w:val="en-US" w:eastAsia="zh-CN"/>
        </w:rPr>
        <w:t>本项目</w:t>
      </w:r>
      <w:r>
        <w:rPr>
          <w:rFonts w:hint="default" w:ascii="Times New Roman" w:hAnsi="Times New Roman" w:cs="Times New Roman"/>
          <w:sz w:val="24"/>
          <w:szCs w:val="24"/>
          <w:u w:val="single"/>
        </w:rPr>
        <w:t>屠宰废水污染物源强为：COD</w:t>
      </w:r>
      <w:r>
        <w:rPr>
          <w:rFonts w:hint="eastAsia" w:ascii="Times New Roman" w:hAnsi="Times New Roman" w:eastAsia="宋体" w:cs="Times New Roman"/>
          <w:sz w:val="24"/>
          <w:szCs w:val="24"/>
          <w:u w:val="single"/>
          <w:lang w:val="en-US" w:eastAsia="zh-CN"/>
        </w:rPr>
        <w:t xml:space="preserve"> </w:t>
      </w:r>
      <w:r>
        <w:rPr>
          <w:rFonts w:hint="default" w:ascii="Times New Roman" w:hAnsi="Times New Roman" w:cs="Times New Roman"/>
          <w:sz w:val="24"/>
          <w:szCs w:val="24"/>
          <w:u w:val="single"/>
        </w:rPr>
        <w:t>2000mg/L、BOD</w:t>
      </w:r>
      <w:r>
        <w:rPr>
          <w:rFonts w:hint="default" w:ascii="Times New Roman" w:hAnsi="Times New Roman" w:cs="Times New Roman"/>
          <w:sz w:val="24"/>
          <w:szCs w:val="24"/>
          <w:u w:val="single"/>
          <w:vertAlign w:val="subscript"/>
        </w:rPr>
        <w:t>5</w:t>
      </w:r>
      <w:r>
        <w:rPr>
          <w:rFonts w:hint="eastAsia" w:ascii="Times New Roman" w:hAnsi="Times New Roman" w:eastAsia="宋体" w:cs="Times New Roman"/>
          <w:sz w:val="24"/>
          <w:szCs w:val="24"/>
          <w:u w:val="single"/>
          <w:lang w:val="en-US" w:eastAsia="zh-CN"/>
        </w:rPr>
        <w:t xml:space="preserve"> </w:t>
      </w:r>
      <w:r>
        <w:rPr>
          <w:rFonts w:hint="default" w:ascii="Times New Roman" w:hAnsi="Times New Roman" w:cs="Times New Roman"/>
          <w:sz w:val="24"/>
          <w:szCs w:val="24"/>
          <w:u w:val="single"/>
        </w:rPr>
        <w:t>900mg/L、SS</w:t>
      </w:r>
      <w:r>
        <w:rPr>
          <w:rFonts w:hint="eastAsia" w:ascii="Times New Roman" w:hAnsi="Times New Roman" w:eastAsia="宋体" w:cs="Times New Roman"/>
          <w:sz w:val="24"/>
          <w:szCs w:val="24"/>
          <w:u w:val="single"/>
          <w:lang w:val="en-US" w:eastAsia="zh-CN"/>
        </w:rPr>
        <w:t xml:space="preserve"> </w:t>
      </w:r>
      <w:r>
        <w:rPr>
          <w:rFonts w:hint="default" w:ascii="Times New Roman" w:hAnsi="Times New Roman" w:cs="Times New Roman"/>
          <w:sz w:val="24"/>
          <w:szCs w:val="24"/>
          <w:u w:val="single"/>
        </w:rPr>
        <w:t>1000mg/L、NH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-N</w:t>
      </w:r>
      <w:r>
        <w:rPr>
          <w:rFonts w:hint="eastAsia" w:ascii="Times New Roman" w:hAnsi="Times New Roman" w:eastAsia="宋体" w:cs="Times New Roman"/>
          <w:sz w:val="24"/>
          <w:szCs w:val="24"/>
          <w:u w:val="single"/>
          <w:lang w:val="en-US" w:eastAsia="zh-CN"/>
        </w:rPr>
        <w:t xml:space="preserve"> </w:t>
      </w:r>
      <w:r>
        <w:rPr>
          <w:rFonts w:hint="default" w:ascii="Times New Roman" w:hAnsi="Times New Roman" w:cs="Times New Roman"/>
          <w:sz w:val="24"/>
          <w:szCs w:val="24"/>
          <w:u w:val="single"/>
        </w:rPr>
        <w:t>100mg/L、动植物油 150mg/L</w:t>
      </w:r>
      <w:r>
        <w:rPr>
          <w:rFonts w:hint="eastAsia" w:ascii="Times New Roman" w:hAnsi="Times New Roman" w:eastAsia="宋体" w:cs="Times New Roman"/>
          <w:sz w:val="24"/>
          <w:szCs w:val="24"/>
          <w:u w:val="single"/>
          <w:lang w:eastAsia="zh-CN"/>
        </w:rPr>
        <w:t>、总磷</w:t>
      </w:r>
      <w:r>
        <w:rPr>
          <w:rFonts w:hint="eastAsia" w:ascii="Times New Roman" w:hAnsi="Times New Roman" w:eastAsia="宋体" w:cs="Times New Roman"/>
          <w:sz w:val="24"/>
          <w:szCs w:val="24"/>
          <w:u w:val="single"/>
          <w:lang w:val="en-US" w:eastAsia="zh-CN"/>
        </w:rPr>
        <w:t>12</w:t>
      </w:r>
      <w:r>
        <w:rPr>
          <w:rFonts w:hint="default" w:ascii="Times New Roman" w:hAnsi="Times New Roman" w:cs="Times New Roman"/>
          <w:sz w:val="24"/>
          <w:szCs w:val="24"/>
          <w:u w:val="single"/>
        </w:rPr>
        <w:t>mg/L</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总氮210</w:t>
      </w:r>
      <w:r>
        <w:rPr>
          <w:rFonts w:hint="default" w:ascii="Times New Roman" w:hAnsi="Times New Roman" w:cs="Times New Roman"/>
          <w:sz w:val="24"/>
          <w:szCs w:val="24"/>
          <w:u w:val="single"/>
        </w:rPr>
        <w:t>mg/L。</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firstLine="480" w:firstLineChars="200"/>
        <w:textAlignment w:val="baseline"/>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③检验</w:t>
      </w:r>
      <w:r>
        <w:rPr>
          <w:rFonts w:hint="eastAsia" w:ascii="Times New Roman" w:hAnsi="Times New Roman" w:eastAsia="宋体" w:cs="Times New Roman"/>
          <w:sz w:val="24"/>
          <w:szCs w:val="24"/>
          <w:lang w:val="en-US" w:eastAsia="zh-CN"/>
        </w:rPr>
        <w:t>废水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val="en-US" w:eastAsia="zh-CN"/>
        </w:rPr>
        <w:t>根据用水平衡分析可知，检验</w:t>
      </w:r>
      <w:r>
        <w:rPr>
          <w:rFonts w:hint="default" w:ascii="Times New Roman" w:hAnsi="Times New Roman" w:cs="Times New Roman"/>
          <w:sz w:val="24"/>
          <w:szCs w:val="24"/>
        </w:rPr>
        <w:t>废水量为0.09m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/d，在微生物检验完成后需先对器皿采用高压蒸气灭菌器进行灭活消毒后，再进行洗刷。主要污染物浓度为：COD</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300mg/L、BOD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 xml:space="preserve"> 180mg/L、NH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30mg/L、SS 200mg/L</w:t>
      </w:r>
      <w:r>
        <w:rPr>
          <w:rFonts w:hint="eastAsia" w:ascii="Times New Roman" w:hAnsi="Times New Roman" w:eastAsia="宋体" w:cs="Times New Roman"/>
          <w:sz w:val="24"/>
          <w:szCs w:val="24"/>
          <w:lang w:eastAsia="zh-CN"/>
        </w:rPr>
        <w:t>、动植物油</w:t>
      </w:r>
      <w:r>
        <w:rPr>
          <w:rFonts w:hint="eastAsia" w:ascii="Times New Roman" w:hAnsi="Times New Roman" w:eastAsia="宋体" w:cs="Times New Roman"/>
          <w:sz w:val="24"/>
          <w:szCs w:val="24"/>
          <w:lang w:val="en-US" w:eastAsia="zh-CN"/>
        </w:rPr>
        <w:t>30</w:t>
      </w:r>
      <w:r>
        <w:rPr>
          <w:rFonts w:hint="default" w:ascii="Times New Roman" w:hAnsi="Times New Roman" w:cs="Times New Roman"/>
          <w:sz w:val="24"/>
          <w:szCs w:val="24"/>
        </w:rPr>
        <w:t>mg/L。</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④车辆冲洗废水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val="en-US" w:eastAsia="zh-CN"/>
        </w:rPr>
        <w:t>根据用水平衡分析可知，</w:t>
      </w:r>
      <w:r>
        <w:rPr>
          <w:rFonts w:hint="default" w:ascii="Times New Roman" w:hAnsi="Times New Roman" w:cs="Times New Roman"/>
          <w:sz w:val="24"/>
          <w:szCs w:val="24"/>
        </w:rPr>
        <w:t>车辆冲洗废水产生量为0.</w:t>
      </w:r>
      <w:r>
        <w:rPr>
          <w:rFonts w:hint="eastAsia" w:ascii="Times New Roman" w:hAnsi="Times New Roman" w:eastAsia="宋体" w:cs="Times New Roman"/>
          <w:sz w:val="24"/>
          <w:szCs w:val="24"/>
          <w:lang w:val="en-US" w:eastAsia="zh-CN"/>
        </w:rPr>
        <w:t>495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eastAsia="宋体" w:cs="Times New Roman"/>
          <w:sz w:val="24"/>
          <w:szCs w:val="24"/>
          <w:lang w:val="en-US" w:eastAsia="zh-CN"/>
        </w:rPr>
        <w:t>类比</w:t>
      </w:r>
      <w:r>
        <w:rPr>
          <w:rFonts w:hint="eastAsia" w:ascii="Times New Roman" w:hAnsi="Times New Roman" w:eastAsia="宋体" w:cs="Times New Roman"/>
          <w:sz w:val="24"/>
          <w:szCs w:val="24"/>
          <w:lang w:eastAsia="zh-CN"/>
        </w:rPr>
        <w:t>《阜新市胜鑫屠宰加工厂年屠宰肉羊15.1万只、肉牛1.1万头建设项目环境影响报告书》（</w:t>
      </w:r>
      <w:r>
        <w:rPr>
          <w:rFonts w:hint="eastAsia" w:ascii="Times New Roman" w:hAnsi="Times New Roman" w:eastAsia="宋体" w:cs="Times New Roman"/>
          <w:sz w:val="24"/>
          <w:szCs w:val="24"/>
          <w:lang w:val="en-US" w:eastAsia="zh-CN"/>
        </w:rPr>
        <w:t>2022年7月1日批复</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中的数据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该废水</w:t>
      </w:r>
      <w:r>
        <w:rPr>
          <w:rFonts w:hint="default" w:ascii="Times New Roman" w:hAnsi="Times New Roman" w:cs="Times New Roman"/>
          <w:sz w:val="24"/>
          <w:szCs w:val="24"/>
        </w:rPr>
        <w:t>主要污染因子浓度为COD</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1200mg/L、BOD</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550mg/L、SS</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 xml:space="preserve">550mg/L、氨氮 55mg/L、总磷 </w:t>
      </w:r>
      <w:r>
        <w:rPr>
          <w:rFonts w:hint="eastAsia" w:ascii="Times New Roman" w:hAnsi="Times New Roman" w:eastAsia="宋体" w:cs="Times New Roman"/>
          <w:sz w:val="24"/>
          <w:szCs w:val="24"/>
          <w:lang w:val="en-US" w:eastAsia="zh-CN"/>
        </w:rPr>
        <w:t>6</w:t>
      </w:r>
      <w:r>
        <w:rPr>
          <w:rFonts w:hint="default" w:ascii="Times New Roman" w:hAnsi="Times New Roman" w:cs="Times New Roman"/>
          <w:sz w:val="24"/>
          <w:szCs w:val="24"/>
        </w:rPr>
        <w:t>mg/L、</w:t>
      </w:r>
      <w:r>
        <w:rPr>
          <w:rFonts w:hint="eastAsia" w:ascii="Times New Roman" w:hAnsi="Times New Roman" w:eastAsia="宋体" w:cs="Times New Roman"/>
          <w:sz w:val="24"/>
          <w:szCs w:val="24"/>
          <w:lang w:eastAsia="zh-CN"/>
        </w:rPr>
        <w:t>总氮</w:t>
      </w:r>
      <w:r>
        <w:rPr>
          <w:rFonts w:hint="default" w:ascii="Times New Roman" w:hAnsi="Times New Roman" w:cs="Times New Roman"/>
          <w:sz w:val="24"/>
          <w:szCs w:val="24"/>
        </w:rPr>
        <w:t xml:space="preserve"> 1</w:t>
      </w:r>
      <w:r>
        <w:rPr>
          <w:rFonts w:hint="eastAsia" w:ascii="Times New Roman" w:hAnsi="Times New Roman" w:eastAsia="宋体" w:cs="Times New Roman"/>
          <w:sz w:val="24"/>
          <w:szCs w:val="24"/>
          <w:lang w:val="en-US" w:eastAsia="zh-CN"/>
        </w:rPr>
        <w:t>10</w:t>
      </w:r>
      <w:r>
        <w:rPr>
          <w:rFonts w:hint="default" w:ascii="Times New Roman" w:hAnsi="Times New Roman" w:cs="Times New Roman"/>
          <w:sz w:val="24"/>
          <w:szCs w:val="24"/>
        </w:rPr>
        <w:t>mg/L</w:t>
      </w:r>
      <w:r>
        <w:rPr>
          <w:rFonts w:hint="eastAsia" w:ascii="Times New Roman" w:hAnsi="Times New Roman" w:eastAsia="宋体" w:cs="Times New Roman"/>
          <w:sz w:val="24"/>
          <w:szCs w:val="24"/>
          <w:lang w:eastAsia="zh-CN"/>
        </w:rPr>
        <w:t>、动植物油</w:t>
      </w:r>
      <w:r>
        <w:rPr>
          <w:rFonts w:hint="eastAsia" w:ascii="Times New Roman" w:hAnsi="Times New Roman" w:eastAsia="宋体" w:cs="Times New Roman"/>
          <w:sz w:val="24"/>
          <w:szCs w:val="24"/>
          <w:lang w:val="en-US" w:eastAsia="zh-CN"/>
        </w:rPr>
        <w:t>15</w:t>
      </w:r>
      <w:r>
        <w:rPr>
          <w:rFonts w:hint="default" w:ascii="Times New Roman" w:hAnsi="Times New Roman" w:cs="Times New Roman"/>
          <w:sz w:val="24"/>
          <w:szCs w:val="24"/>
        </w:rPr>
        <w:t>mg/L。</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（2）生活污水</w:t>
      </w:r>
    </w:p>
    <w:p>
      <w:pPr>
        <w:keepNext w:val="0"/>
        <w:keepLines w:val="0"/>
        <w:pageBreakBefore w:val="0"/>
        <w:widowControl w:val="0"/>
        <w:kinsoku/>
        <w:wordWrap/>
        <w:overflowPunct/>
        <w:topLinePunct/>
        <w:autoSpaceDE/>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val="en-US" w:eastAsia="zh-CN"/>
        </w:rPr>
        <w:t>根据用水平衡分析可知，</w:t>
      </w:r>
      <w:r>
        <w:rPr>
          <w:rFonts w:hint="default" w:ascii="Times New Roman" w:hAnsi="Times New Roman" w:cs="Times New Roman"/>
          <w:sz w:val="24"/>
          <w:szCs w:val="24"/>
        </w:rPr>
        <w:t>本项目生活</w:t>
      </w:r>
      <w:r>
        <w:rPr>
          <w:rFonts w:hint="eastAsia" w:ascii="Times New Roman" w:hAnsi="Times New Roman" w:eastAsia="宋体" w:cs="Times New Roman"/>
          <w:sz w:val="24"/>
          <w:szCs w:val="24"/>
          <w:lang w:val="en-US" w:eastAsia="zh-CN"/>
        </w:rPr>
        <w:t>污水</w:t>
      </w:r>
      <w:r>
        <w:rPr>
          <w:rFonts w:hint="default" w:ascii="Times New Roman" w:hAnsi="Times New Roman" w:cs="Times New Roman"/>
          <w:sz w:val="24"/>
          <w:szCs w:val="24"/>
        </w:rPr>
        <w:t>产生量为</w:t>
      </w:r>
      <w:r>
        <w:rPr>
          <w:rFonts w:hint="eastAsia" w:ascii="Times New Roman" w:hAnsi="Times New Roman" w:eastAsia="宋体" w:cs="Times New Roman"/>
          <w:sz w:val="24"/>
          <w:szCs w:val="24"/>
          <w:lang w:val="en-US" w:eastAsia="zh-CN"/>
        </w:rPr>
        <w:t>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eastAsia="宋体" w:cs="Times New Roman"/>
          <w:sz w:val="24"/>
          <w:szCs w:val="24"/>
          <w:lang w:val="en-US" w:eastAsia="zh-CN"/>
        </w:rPr>
        <w:t>1280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/a，主要污染物产生浓度分别为：COD</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300mg/L、BOD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 xml:space="preserve"> 180mg/L、SS 200mg/L</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 xml:space="preserve">30mg/L、总磷 </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mg/L、</w:t>
      </w:r>
      <w:r>
        <w:rPr>
          <w:rFonts w:hint="eastAsia" w:ascii="Times New Roman" w:hAnsi="Times New Roman" w:eastAsia="宋体" w:cs="Times New Roman"/>
          <w:sz w:val="24"/>
          <w:szCs w:val="24"/>
          <w:lang w:eastAsia="zh-CN"/>
        </w:rPr>
        <w:t>总氮</w:t>
      </w:r>
      <w:r>
        <w:rPr>
          <w:rFonts w:hint="default" w:ascii="Times New Roman" w:hAnsi="Times New Roman" w:cs="Times New Roman"/>
          <w:sz w:val="24"/>
          <w:szCs w:val="24"/>
        </w:rPr>
        <w:t xml:space="preserve"> </w:t>
      </w:r>
      <w:r>
        <w:rPr>
          <w:rFonts w:hint="eastAsia" w:ascii="Times New Roman" w:hAnsi="Times New Roman" w:eastAsia="宋体" w:cs="Times New Roman"/>
          <w:sz w:val="24"/>
          <w:szCs w:val="24"/>
          <w:lang w:val="en-US" w:eastAsia="zh-CN"/>
        </w:rPr>
        <w:t>40</w:t>
      </w:r>
      <w:r>
        <w:rPr>
          <w:rFonts w:hint="default" w:ascii="Times New Roman" w:hAnsi="Times New Roman" w:cs="Times New Roman"/>
          <w:sz w:val="24"/>
          <w:szCs w:val="24"/>
        </w:rPr>
        <w:t>mg/L</w:t>
      </w:r>
      <w:r>
        <w:rPr>
          <w:rFonts w:hint="eastAsia" w:ascii="Times New Roman" w:hAnsi="Times New Roman" w:eastAsia="宋体" w:cs="Times New Roman"/>
          <w:sz w:val="24"/>
          <w:szCs w:val="24"/>
          <w:lang w:eastAsia="zh-CN"/>
        </w:rPr>
        <w:t>、动植物油</w:t>
      </w:r>
      <w:r>
        <w:rPr>
          <w:rFonts w:hint="eastAsia" w:ascii="Times New Roman" w:hAnsi="Times New Roman" w:eastAsia="宋体" w:cs="Times New Roman"/>
          <w:sz w:val="24"/>
          <w:szCs w:val="24"/>
          <w:lang w:val="en-US" w:eastAsia="zh-CN"/>
        </w:rPr>
        <w:t>30</w:t>
      </w:r>
      <w:r>
        <w:rPr>
          <w:rFonts w:hint="default" w:ascii="Times New Roman" w:hAnsi="Times New Roman" w:cs="Times New Roman"/>
          <w:sz w:val="24"/>
          <w:szCs w:val="24"/>
        </w:rPr>
        <w:t>mg/L。</w:t>
      </w:r>
    </w:p>
    <w:p>
      <w:pPr>
        <w:keepNext w:val="0"/>
        <w:keepLines w:val="0"/>
        <w:pageBreakBefore w:val="0"/>
        <w:widowControl w:val="0"/>
        <w:kinsoku/>
        <w:wordWrap/>
        <w:overflowPunct/>
        <w:topLinePunct/>
        <w:autoSpaceDE/>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全厂废水</w:t>
      </w:r>
    </w:p>
    <w:p>
      <w:pPr>
        <w:keepNext w:val="0"/>
        <w:keepLines w:val="0"/>
        <w:pageBreakBefore w:val="0"/>
        <w:widowControl w:val="0"/>
        <w:kinsoku/>
        <w:wordWrap/>
        <w:overflowPunct/>
        <w:topLinePunct/>
        <w:autoSpaceDE/>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全厂废水产生源强汇总见表3-1</w:t>
      </w:r>
      <w:r>
        <w:rPr>
          <w:rFonts w:hint="eastAsia" w:ascii="Times New Roman" w:hAnsi="Times New Roman" w:eastAsia="宋体" w:cs="Times New Roman"/>
          <w:sz w:val="24"/>
          <w:szCs w:val="24"/>
          <w:lang w:val="en-US" w:eastAsia="zh-CN"/>
        </w:rPr>
        <w:t>1</w:t>
      </w:r>
      <w:r>
        <w:rPr>
          <w:rFonts w:hint="default" w:ascii="Times New Roman" w:hAnsi="Times New Roman" w:cs="Times New Roman"/>
          <w:sz w:val="24"/>
          <w:szCs w:val="24"/>
        </w:rPr>
        <w:t>。</w:t>
      </w:r>
    </w:p>
    <w:p>
      <w:pPr>
        <w:jc w:val="center"/>
        <w:rPr>
          <w:rFonts w:hint="default" w:ascii="Times New Roman" w:hAnsi="Times New Roman" w:cs="Times New Roman"/>
          <w:b/>
          <w:bCs/>
        </w:rPr>
      </w:pPr>
      <w:r>
        <w:rPr>
          <w:rFonts w:hint="default" w:ascii="Times New Roman" w:hAnsi="Times New Roman" w:cs="Times New Roman"/>
          <w:b/>
          <w:bCs/>
        </w:rPr>
        <w:t>表3-1</w:t>
      </w:r>
      <w:r>
        <w:rPr>
          <w:rFonts w:hint="eastAsia" w:ascii="Times New Roman" w:hAnsi="Times New Roman" w:eastAsia="宋体" w:cs="Times New Roman"/>
          <w:b/>
          <w:bCs/>
          <w:lang w:val="en-US" w:eastAsia="zh-CN"/>
        </w:rPr>
        <w:t>1</w:t>
      </w:r>
      <w:r>
        <w:rPr>
          <w:rFonts w:hint="default" w:ascii="Times New Roman" w:hAnsi="Times New Roman" w:cs="Times New Roman"/>
          <w:b/>
          <w:bCs/>
        </w:rPr>
        <w:t xml:space="preserve">            全厂废水产生源强汇总一览表</w:t>
      </w:r>
    </w:p>
    <w:tbl>
      <w:tblPr>
        <w:tblStyle w:val="24"/>
        <w:tblW w:w="9184"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801"/>
        <w:gridCol w:w="686"/>
        <w:gridCol w:w="925"/>
        <w:gridCol w:w="921"/>
        <w:gridCol w:w="897"/>
        <w:gridCol w:w="949"/>
        <w:gridCol w:w="936"/>
        <w:gridCol w:w="811"/>
        <w:gridCol w:w="97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4"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废水名称</w:t>
            </w:r>
          </w:p>
        </w:tc>
        <w:tc>
          <w:tcPr>
            <w:tcW w:w="801"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68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9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92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89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9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93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81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9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4"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801"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68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92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89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9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93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81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9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待宰区冲洗废水</w:t>
            </w:r>
          </w:p>
        </w:tc>
        <w:tc>
          <w:tcPr>
            <w:tcW w:w="80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4.05</w:t>
            </w:r>
          </w:p>
        </w:tc>
        <w:tc>
          <w:tcPr>
            <w:tcW w:w="686"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6.5-7.5</w:t>
            </w:r>
          </w:p>
        </w:tc>
        <w:tc>
          <w:tcPr>
            <w:tcW w:w="9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p>
        </w:tc>
        <w:tc>
          <w:tcPr>
            <w:tcW w:w="92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89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9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936"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5</w:t>
            </w:r>
          </w:p>
        </w:tc>
        <w:tc>
          <w:tcPr>
            <w:tcW w:w="81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0</w:t>
            </w:r>
          </w:p>
        </w:tc>
        <w:tc>
          <w:tcPr>
            <w:tcW w:w="9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4"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屠宰废水</w:t>
            </w:r>
          </w:p>
        </w:tc>
        <w:tc>
          <w:tcPr>
            <w:tcW w:w="801"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val="en-US" w:eastAsia="zh-CN"/>
              </w:rPr>
              <w:t>246.9</w:t>
            </w:r>
          </w:p>
        </w:tc>
        <w:tc>
          <w:tcPr>
            <w:tcW w:w="686"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5"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2000</w:t>
            </w:r>
          </w:p>
        </w:tc>
        <w:tc>
          <w:tcPr>
            <w:tcW w:w="921"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900</w:t>
            </w:r>
          </w:p>
        </w:tc>
        <w:tc>
          <w:tcPr>
            <w:tcW w:w="897"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1000</w:t>
            </w:r>
          </w:p>
        </w:tc>
        <w:tc>
          <w:tcPr>
            <w:tcW w:w="949"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100</w:t>
            </w:r>
          </w:p>
        </w:tc>
        <w:tc>
          <w:tcPr>
            <w:tcW w:w="936"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12</w:t>
            </w:r>
          </w:p>
        </w:tc>
        <w:tc>
          <w:tcPr>
            <w:tcW w:w="811"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210</w:t>
            </w:r>
          </w:p>
        </w:tc>
        <w:tc>
          <w:tcPr>
            <w:tcW w:w="974"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4"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检验废水</w:t>
            </w:r>
          </w:p>
        </w:tc>
        <w:tc>
          <w:tcPr>
            <w:tcW w:w="801"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z w:val="21"/>
                <w:szCs w:val="21"/>
              </w:rPr>
              <w:t>0.09</w:t>
            </w:r>
          </w:p>
        </w:tc>
        <w:tc>
          <w:tcPr>
            <w:tcW w:w="686"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5"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300</w:t>
            </w:r>
          </w:p>
        </w:tc>
        <w:tc>
          <w:tcPr>
            <w:tcW w:w="921"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180</w:t>
            </w:r>
          </w:p>
        </w:tc>
        <w:tc>
          <w:tcPr>
            <w:tcW w:w="897"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200</w:t>
            </w:r>
          </w:p>
        </w:tc>
        <w:tc>
          <w:tcPr>
            <w:tcW w:w="949"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30</w:t>
            </w:r>
          </w:p>
        </w:tc>
        <w:tc>
          <w:tcPr>
            <w:tcW w:w="936"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w:t>
            </w:r>
          </w:p>
        </w:tc>
        <w:tc>
          <w:tcPr>
            <w:tcW w:w="811"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w:t>
            </w:r>
          </w:p>
        </w:tc>
        <w:tc>
          <w:tcPr>
            <w:tcW w:w="974"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车辆冲洗废水</w:t>
            </w:r>
          </w:p>
        </w:tc>
        <w:tc>
          <w:tcPr>
            <w:tcW w:w="80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495</w:t>
            </w:r>
          </w:p>
        </w:tc>
        <w:tc>
          <w:tcPr>
            <w:tcW w:w="686"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w:t>
            </w:r>
          </w:p>
        </w:tc>
        <w:tc>
          <w:tcPr>
            <w:tcW w:w="92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550</w:t>
            </w:r>
          </w:p>
        </w:tc>
        <w:tc>
          <w:tcPr>
            <w:tcW w:w="89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550</w:t>
            </w:r>
          </w:p>
        </w:tc>
        <w:tc>
          <w:tcPr>
            <w:tcW w:w="9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36"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6</w:t>
            </w:r>
          </w:p>
        </w:tc>
        <w:tc>
          <w:tcPr>
            <w:tcW w:w="81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0</w:t>
            </w:r>
          </w:p>
        </w:tc>
        <w:tc>
          <w:tcPr>
            <w:tcW w:w="9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801"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w:t>
            </w:r>
          </w:p>
        </w:tc>
        <w:tc>
          <w:tcPr>
            <w:tcW w:w="686"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92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89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9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936"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5</w:t>
            </w:r>
          </w:p>
        </w:tc>
        <w:tc>
          <w:tcPr>
            <w:tcW w:w="81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9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4" w:type="dxa"/>
            <w:tcBorders>
              <w:tl2br w:val="nil"/>
              <w:tr2bl w:val="nil"/>
            </w:tcBorders>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合计</w:t>
            </w:r>
          </w:p>
        </w:tc>
        <w:tc>
          <w:tcPr>
            <w:tcW w:w="80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255.54</w:t>
            </w:r>
          </w:p>
        </w:tc>
        <w:tc>
          <w:tcPr>
            <w:tcW w:w="686"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19</w:t>
            </w:r>
            <w:r>
              <w:rPr>
                <w:rFonts w:hint="eastAsia" w:ascii="Times New Roman" w:hAnsi="Times New Roman" w:eastAsia="宋体" w:cs="Times New Roman"/>
                <w:sz w:val="21"/>
                <w:szCs w:val="21"/>
                <w:lang w:val="en-US" w:eastAsia="zh-CN"/>
              </w:rPr>
              <w:t>18</w:t>
            </w:r>
          </w:p>
        </w:tc>
        <w:tc>
          <w:tcPr>
            <w:tcW w:w="921"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86</w:t>
            </w:r>
            <w:r>
              <w:rPr>
                <w:rFonts w:hint="eastAsia" w:ascii="Times New Roman" w:hAnsi="Times New Roman" w:eastAsia="宋体" w:cs="Times New Roman"/>
                <w:sz w:val="21"/>
                <w:szCs w:val="21"/>
                <w:lang w:val="en-US" w:eastAsia="zh-CN"/>
              </w:rPr>
              <w:t>8</w:t>
            </w:r>
          </w:p>
        </w:tc>
        <w:tc>
          <w:tcPr>
            <w:tcW w:w="897"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w:t>
            </w:r>
            <w:r>
              <w:rPr>
                <w:rFonts w:hint="eastAsia" w:ascii="Times New Roman" w:hAnsi="Times New Roman" w:eastAsia="宋体" w:cs="Times New Roman"/>
                <w:sz w:val="21"/>
                <w:szCs w:val="21"/>
                <w:lang w:val="en-US" w:eastAsia="zh-CN"/>
              </w:rPr>
              <w:t>63</w:t>
            </w:r>
          </w:p>
        </w:tc>
        <w:tc>
          <w:tcPr>
            <w:tcW w:w="949"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9</w:t>
            </w:r>
            <w:r>
              <w:rPr>
                <w:rFonts w:hint="eastAsia" w:ascii="Times New Roman" w:hAnsi="Times New Roman" w:eastAsia="宋体" w:cs="Times New Roman"/>
                <w:sz w:val="21"/>
                <w:szCs w:val="21"/>
                <w:lang w:val="en-US" w:eastAsia="zh-CN"/>
              </w:rPr>
              <w:t>6</w:t>
            </w:r>
          </w:p>
        </w:tc>
        <w:tc>
          <w:tcPr>
            <w:tcW w:w="93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w:t>
            </w:r>
          </w:p>
        </w:tc>
        <w:tc>
          <w:tcPr>
            <w:tcW w:w="81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317</w:t>
            </w:r>
          </w:p>
        </w:tc>
        <w:tc>
          <w:tcPr>
            <w:tcW w:w="974"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44</w:t>
            </w:r>
          </w:p>
        </w:tc>
      </w:tr>
    </w:tbl>
    <w:p>
      <w:pPr>
        <w:keepNext w:val="0"/>
        <w:keepLines w:val="0"/>
        <w:pageBreakBefore w:val="0"/>
        <w:widowControl/>
        <w:kinsoku/>
        <w:wordWrap/>
        <w:overflowPunct/>
        <w:topLinePunct w:val="0"/>
        <w:autoSpaceDE w:val="0"/>
        <w:autoSpaceDN w:val="0"/>
        <w:bidi w:val="0"/>
        <w:adjustRightInd w:val="0"/>
        <w:snapToGrid w:val="0"/>
        <w:spacing w:before="130" w:line="384" w:lineRule="auto"/>
        <w:ind w:left="119" w:right="34" w:firstLine="482"/>
        <w:jc w:val="both"/>
        <w:textAlignment w:val="baseline"/>
        <w:rPr>
          <w:rFonts w:ascii="宋体" w:hAnsi="宋体" w:eastAsia="宋体" w:cs="宋体"/>
          <w:sz w:val="24"/>
          <w:szCs w:val="24"/>
        </w:rPr>
      </w:pPr>
      <w:r>
        <w:rPr>
          <w:rFonts w:ascii="宋体" w:hAnsi="宋体" w:eastAsia="宋体" w:cs="宋体"/>
          <w:spacing w:val="-3"/>
          <w:sz w:val="24"/>
          <w:szCs w:val="24"/>
        </w:rPr>
        <w:t>本项目污水处理站采取“</w:t>
      </w:r>
      <w:r>
        <w:rPr>
          <w:rFonts w:hint="eastAsia" w:ascii="宋体" w:hAnsi="宋体" w:eastAsia="宋体" w:cs="宋体"/>
          <w:spacing w:val="-3"/>
          <w:sz w:val="24"/>
          <w:szCs w:val="24"/>
          <w:lang w:eastAsia="zh-CN"/>
        </w:rPr>
        <w:t>格栅</w:t>
      </w:r>
      <w:r>
        <w:rPr>
          <w:rFonts w:hint="default" w:ascii="宋体" w:hAnsi="宋体" w:eastAsia="宋体" w:cs="宋体"/>
          <w:spacing w:val="-3"/>
          <w:sz w:val="24"/>
          <w:szCs w:val="24"/>
        </w:rPr>
        <w:t>气浮+水解酸化+生物接触氧化</w:t>
      </w:r>
      <w:r>
        <w:rPr>
          <w:rFonts w:hint="eastAsia" w:ascii="宋体" w:hAnsi="宋体" w:eastAsia="宋体" w:cs="宋体"/>
          <w:spacing w:val="-3"/>
          <w:sz w:val="24"/>
          <w:szCs w:val="24"/>
          <w:lang w:val="en-US" w:eastAsia="zh-CN"/>
        </w:rPr>
        <w:t>+消毒</w:t>
      </w:r>
      <w:r>
        <w:rPr>
          <w:rFonts w:ascii="宋体" w:hAnsi="宋体" w:eastAsia="宋体" w:cs="宋体"/>
          <w:spacing w:val="-2"/>
          <w:sz w:val="24"/>
          <w:szCs w:val="24"/>
        </w:rPr>
        <w:t>”工艺进行废水处理，</w:t>
      </w:r>
      <w:r>
        <w:rPr>
          <w:rFonts w:hint="eastAsia" w:ascii="宋体" w:hAnsi="宋体" w:eastAsia="宋体" w:cs="宋体"/>
          <w:spacing w:val="-2"/>
          <w:sz w:val="24"/>
          <w:szCs w:val="24"/>
          <w:lang w:val="en-US" w:eastAsia="zh-CN"/>
        </w:rPr>
        <w:t>类比《安定区牛羊屠宰加工生产线建设项目（香泉屠宰加工线工程）环境影响报告书》</w:t>
      </w:r>
      <w:r>
        <w:rPr>
          <w:rFonts w:hint="default" w:ascii="Times New Roman" w:hAnsi="Times New Roman" w:eastAsia="宋体" w:cs="Times New Roman"/>
          <w:spacing w:val="-2"/>
          <w:sz w:val="24"/>
          <w:szCs w:val="24"/>
          <w:lang w:val="en-US" w:eastAsia="zh-CN"/>
        </w:rPr>
        <w:t>（2023年9月18日</w:t>
      </w:r>
      <w:r>
        <w:rPr>
          <w:rFonts w:hint="eastAsia" w:ascii="Times New Roman" w:hAnsi="Times New Roman" w:eastAsia="宋体" w:cs="Times New Roman"/>
          <w:spacing w:val="-2"/>
          <w:sz w:val="24"/>
          <w:szCs w:val="24"/>
          <w:lang w:val="en-US" w:eastAsia="zh-CN"/>
        </w:rPr>
        <w:t>批复</w:t>
      </w:r>
      <w:r>
        <w:rPr>
          <w:rFonts w:hint="default" w:ascii="Times New Roman" w:hAnsi="Times New Roman" w:eastAsia="宋体" w:cs="Times New Roman"/>
          <w:spacing w:val="-2"/>
          <w:sz w:val="24"/>
          <w:szCs w:val="24"/>
          <w:lang w:val="en-US" w:eastAsia="zh-CN"/>
        </w:rPr>
        <w:t>）</w:t>
      </w:r>
      <w:r>
        <w:rPr>
          <w:rFonts w:hint="eastAsia" w:ascii="宋体" w:hAnsi="宋体" w:eastAsia="宋体" w:cs="宋体"/>
          <w:spacing w:val="-2"/>
          <w:sz w:val="24"/>
          <w:szCs w:val="24"/>
          <w:lang w:val="en-US" w:eastAsia="zh-CN"/>
        </w:rPr>
        <w:t>，本厂区污水处理工艺预计</w:t>
      </w:r>
      <w:r>
        <w:rPr>
          <w:rFonts w:ascii="宋体" w:hAnsi="宋体" w:eastAsia="宋体" w:cs="宋体"/>
          <w:spacing w:val="-2"/>
          <w:sz w:val="24"/>
          <w:szCs w:val="24"/>
        </w:rPr>
        <w:t>对</w:t>
      </w:r>
      <w:r>
        <w:rPr>
          <w:rFonts w:ascii="Times New Roman" w:hAnsi="Times New Roman" w:eastAsia="Times New Roman" w:cs="Times New Roman"/>
          <w:spacing w:val="-2"/>
          <w:sz w:val="24"/>
          <w:szCs w:val="24"/>
        </w:rPr>
        <w:t>COD</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宋体" w:hAnsi="宋体" w:eastAsia="宋体" w:cs="宋体"/>
          <w:spacing w:val="-2"/>
          <w:sz w:val="24"/>
          <w:szCs w:val="24"/>
        </w:rPr>
        <w:t>、</w:t>
      </w:r>
      <w:r>
        <w:rPr>
          <w:rFonts w:ascii="Times New Roman" w:hAnsi="Times New Roman" w:eastAsia="Times New Roman" w:cs="Times New Roman"/>
          <w:spacing w:val="-2"/>
          <w:sz w:val="24"/>
          <w:szCs w:val="24"/>
        </w:rPr>
        <w:t>SS</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、总磷、总氮</w:t>
      </w:r>
      <w:r>
        <w:rPr>
          <w:rFonts w:ascii="宋体" w:hAnsi="宋体" w:eastAsia="宋体" w:cs="宋体"/>
          <w:spacing w:val="-13"/>
          <w:sz w:val="24"/>
          <w:szCs w:val="24"/>
        </w:rPr>
        <w:t>和</w:t>
      </w:r>
      <w:r>
        <w:rPr>
          <w:rFonts w:ascii="宋体" w:hAnsi="宋体" w:eastAsia="宋体" w:cs="宋体"/>
          <w:spacing w:val="-3"/>
          <w:sz w:val="24"/>
          <w:szCs w:val="24"/>
        </w:rPr>
        <w:t>动植物</w:t>
      </w:r>
      <w:r>
        <w:rPr>
          <w:rFonts w:ascii="宋体" w:hAnsi="宋体" w:eastAsia="宋体" w:cs="宋体"/>
          <w:spacing w:val="-13"/>
          <w:sz w:val="24"/>
          <w:szCs w:val="24"/>
        </w:rPr>
        <w:t>油的综合去除效率分别为</w:t>
      </w:r>
      <w:r>
        <w:rPr>
          <w:rFonts w:ascii="Times New Roman" w:hAnsi="Times New Roman" w:eastAsia="Times New Roman" w:cs="Times New Roman"/>
          <w:spacing w:val="0"/>
          <w:sz w:val="24"/>
          <w:szCs w:val="24"/>
        </w:rPr>
        <w:t>88.4%</w:t>
      </w:r>
      <w:r>
        <w:rPr>
          <w:rFonts w:ascii="宋体" w:hAnsi="宋体" w:eastAsia="宋体" w:cs="宋体"/>
          <w:spacing w:val="0"/>
          <w:sz w:val="24"/>
          <w:szCs w:val="24"/>
        </w:rPr>
        <w:t>、</w:t>
      </w:r>
      <w:r>
        <w:rPr>
          <w:rFonts w:ascii="Times New Roman" w:hAnsi="Times New Roman" w:eastAsia="Times New Roman" w:cs="Times New Roman"/>
          <w:spacing w:val="0"/>
          <w:sz w:val="24"/>
          <w:szCs w:val="24"/>
        </w:rPr>
        <w:t>88%</w:t>
      </w:r>
      <w:r>
        <w:rPr>
          <w:rFonts w:ascii="宋体" w:hAnsi="宋体" w:eastAsia="宋体" w:cs="宋体"/>
          <w:spacing w:val="0"/>
          <w:sz w:val="24"/>
          <w:szCs w:val="24"/>
        </w:rPr>
        <w:t>、</w:t>
      </w:r>
      <w:r>
        <w:rPr>
          <w:rFonts w:ascii="Times New Roman" w:hAnsi="Times New Roman" w:eastAsia="Times New Roman" w:cs="Times New Roman"/>
          <w:spacing w:val="0"/>
          <w:sz w:val="24"/>
          <w:szCs w:val="24"/>
        </w:rPr>
        <w:t>90.4%</w:t>
      </w:r>
      <w:r>
        <w:rPr>
          <w:rFonts w:ascii="宋体" w:hAnsi="宋体" w:eastAsia="宋体" w:cs="宋体"/>
          <w:spacing w:val="0"/>
          <w:sz w:val="24"/>
          <w:szCs w:val="24"/>
        </w:rPr>
        <w:t>、</w:t>
      </w:r>
      <w:r>
        <w:rPr>
          <w:rFonts w:ascii="Times New Roman" w:hAnsi="Times New Roman" w:eastAsia="Times New Roman" w:cs="Times New Roman"/>
          <w:spacing w:val="0"/>
          <w:sz w:val="24"/>
          <w:szCs w:val="24"/>
        </w:rPr>
        <w:t>81%</w:t>
      </w:r>
      <w:r>
        <w:rPr>
          <w:rFonts w:ascii="宋体" w:hAnsi="宋体" w:eastAsia="宋体" w:cs="宋体"/>
          <w:spacing w:val="0"/>
          <w:sz w:val="24"/>
          <w:szCs w:val="24"/>
        </w:rPr>
        <w:t>、</w:t>
      </w:r>
      <w:r>
        <w:rPr>
          <w:rFonts w:ascii="Times New Roman" w:hAnsi="Times New Roman" w:eastAsia="Times New Roman" w:cs="Times New Roman"/>
          <w:spacing w:val="0"/>
          <w:sz w:val="24"/>
          <w:szCs w:val="24"/>
        </w:rPr>
        <w:t>84%</w:t>
      </w:r>
      <w:r>
        <w:rPr>
          <w:rFonts w:ascii="宋体" w:hAnsi="宋体" w:eastAsia="宋体" w:cs="宋体"/>
          <w:spacing w:val="0"/>
          <w:sz w:val="24"/>
          <w:szCs w:val="24"/>
        </w:rPr>
        <w:t>、</w:t>
      </w:r>
      <w:r>
        <w:rPr>
          <w:rFonts w:ascii="Times New Roman" w:hAnsi="Times New Roman" w:eastAsia="Times New Roman" w:cs="Times New Roman"/>
          <w:spacing w:val="0"/>
          <w:sz w:val="24"/>
          <w:szCs w:val="24"/>
        </w:rPr>
        <w:t>8</w:t>
      </w:r>
      <w:r>
        <w:rPr>
          <w:rFonts w:hint="eastAsia" w:ascii="Times New Roman" w:hAnsi="Times New Roman" w:eastAsia="宋体" w:cs="Times New Roman"/>
          <w:spacing w:val="0"/>
          <w:sz w:val="24"/>
          <w:szCs w:val="24"/>
          <w:lang w:val="en-US" w:eastAsia="zh-CN"/>
        </w:rPr>
        <w:t>5</w:t>
      </w:r>
      <w:r>
        <w:rPr>
          <w:rFonts w:ascii="Times New Roman" w:hAnsi="Times New Roman" w:eastAsia="Times New Roman" w:cs="Times New Roman"/>
          <w:spacing w:val="0"/>
          <w:sz w:val="24"/>
          <w:szCs w:val="24"/>
        </w:rPr>
        <w:t>%</w:t>
      </w:r>
      <w:r>
        <w:rPr>
          <w:rFonts w:ascii="宋体" w:hAnsi="宋体" w:eastAsia="宋体" w:cs="宋体"/>
          <w:spacing w:val="0"/>
          <w:sz w:val="24"/>
          <w:szCs w:val="24"/>
        </w:rPr>
        <w:t>、</w:t>
      </w:r>
      <w:r>
        <w:rPr>
          <w:rFonts w:ascii="Times New Roman" w:hAnsi="Times New Roman" w:eastAsia="Times New Roman" w:cs="Times New Roman"/>
          <w:spacing w:val="0"/>
          <w:sz w:val="24"/>
          <w:szCs w:val="24"/>
        </w:rPr>
        <w:t>81.1%</w:t>
      </w:r>
      <w:r>
        <w:rPr>
          <w:rFonts w:ascii="宋体" w:hAnsi="宋体" w:eastAsia="宋体" w:cs="宋体"/>
          <w:spacing w:val="-1"/>
          <w:sz w:val="24"/>
          <w:szCs w:val="24"/>
        </w:rPr>
        <w:t>以上，本项目废水经自建污水处理站处理后废水中污染物</w:t>
      </w:r>
      <w:r>
        <w:rPr>
          <w:rFonts w:ascii="宋体" w:hAnsi="宋体" w:eastAsia="宋体" w:cs="宋体"/>
          <w:spacing w:val="-2"/>
          <w:sz w:val="24"/>
          <w:szCs w:val="24"/>
        </w:rPr>
        <w:t>排放情况见表</w:t>
      </w:r>
      <w:r>
        <w:rPr>
          <w:rFonts w:ascii="Times New Roman" w:hAnsi="Times New Roman" w:eastAsia="Times New Roman" w:cs="Times New Roman"/>
          <w:spacing w:val="-2"/>
          <w:sz w:val="24"/>
          <w:szCs w:val="24"/>
        </w:rPr>
        <w:t>3-1</w:t>
      </w:r>
      <w:r>
        <w:rPr>
          <w:rFonts w:hint="eastAsia" w:ascii="Times New Roman" w:hAnsi="Times New Roman" w:eastAsia="宋体" w:cs="Times New Roman"/>
          <w:spacing w:val="-2"/>
          <w:sz w:val="24"/>
          <w:szCs w:val="24"/>
          <w:lang w:val="en-US" w:eastAsia="zh-CN"/>
        </w:rPr>
        <w:t>2</w:t>
      </w:r>
      <w:r>
        <w:rPr>
          <w:rFonts w:ascii="宋体" w:hAnsi="宋体" w:eastAsia="宋体" w:cs="宋体"/>
          <w:spacing w:val="-2"/>
          <w:sz w:val="24"/>
          <w:szCs w:val="24"/>
        </w:rPr>
        <w:t>。</w:t>
      </w:r>
    </w:p>
    <w:p>
      <w:pPr>
        <w:jc w:val="center"/>
        <w:rPr>
          <w:b/>
          <w:bCs/>
          <w:sz w:val="24"/>
          <w:szCs w:val="24"/>
        </w:rPr>
      </w:pPr>
      <w:r>
        <w:rPr>
          <w:b/>
          <w:bCs/>
          <w:sz w:val="24"/>
          <w:szCs w:val="24"/>
        </w:rPr>
        <w:t>表3-1</w:t>
      </w:r>
      <w:r>
        <w:rPr>
          <w:rFonts w:hint="eastAsia" w:eastAsia="宋体"/>
          <w:b/>
          <w:bCs/>
          <w:sz w:val="24"/>
          <w:szCs w:val="24"/>
          <w:lang w:val="en-US" w:eastAsia="zh-CN"/>
        </w:rPr>
        <w:t>2</w:t>
      </w:r>
      <w:r>
        <w:rPr>
          <w:b/>
          <w:bCs/>
          <w:sz w:val="24"/>
          <w:szCs w:val="24"/>
        </w:rPr>
        <w:t xml:space="preserve">            本项目废水中污染物排放情况一览表</w:t>
      </w:r>
    </w:p>
    <w:tbl>
      <w:tblPr>
        <w:tblStyle w:val="24"/>
        <w:tblW w:w="8950"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309"/>
        <w:gridCol w:w="1049"/>
        <w:gridCol w:w="901"/>
        <w:gridCol w:w="871"/>
        <w:gridCol w:w="1208"/>
        <w:gridCol w:w="909"/>
        <w:gridCol w:w="954"/>
        <w:gridCol w:w="871"/>
        <w:gridCol w:w="87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104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90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产生浓</w:t>
            </w:r>
          </w:p>
          <w:p>
            <w:pPr>
              <w:jc w:val="center"/>
              <w:rPr>
                <w:rFonts w:hint="default" w:ascii="Times New Roman" w:hAnsi="Times New Roman" w:cs="Times New Roman"/>
                <w:sz w:val="21"/>
                <w:szCs w:val="21"/>
              </w:rPr>
            </w:pPr>
            <w:r>
              <w:rPr>
                <w:rFonts w:hint="default" w:ascii="Times New Roman" w:hAnsi="Times New Roman" w:cs="Times New Roman"/>
                <w:sz w:val="21"/>
                <w:szCs w:val="21"/>
              </w:rPr>
              <w:t>度mg/L</w:t>
            </w:r>
          </w:p>
        </w:tc>
        <w:tc>
          <w:tcPr>
            <w:tcW w:w="87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产生量 （t/a）</w:t>
            </w:r>
          </w:p>
        </w:tc>
        <w:tc>
          <w:tcPr>
            <w:tcW w:w="1208"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处理</w:t>
            </w:r>
            <w:r>
              <w:rPr>
                <w:rFonts w:hint="eastAsia" w:ascii="Times New Roman" w:hAnsi="Times New Roman" w:eastAsia="宋体" w:cs="Times New Roman"/>
                <w:sz w:val="21"/>
                <w:szCs w:val="21"/>
                <w:lang w:eastAsia="zh-CN"/>
              </w:rPr>
              <w:t>工艺</w:t>
            </w:r>
          </w:p>
        </w:tc>
        <w:tc>
          <w:tcPr>
            <w:tcW w:w="9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去除效率（%）</w:t>
            </w:r>
          </w:p>
        </w:tc>
        <w:tc>
          <w:tcPr>
            <w:tcW w:w="95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排放浓度 mg/L</w:t>
            </w:r>
          </w:p>
        </w:tc>
        <w:tc>
          <w:tcPr>
            <w:tcW w:w="87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排放量 （t/a ）</w:t>
            </w:r>
          </w:p>
        </w:tc>
        <w:tc>
          <w:tcPr>
            <w:tcW w:w="87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污水去向</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09" w:type="dxa"/>
            <w:vMerge w:val="restart"/>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eastAsia="宋体" w:cs="Times New Roman"/>
                <w:sz w:val="21"/>
                <w:szCs w:val="21"/>
                <w:lang w:val="en-US" w:eastAsia="zh-CN"/>
              </w:rPr>
              <w:t>255.54</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/d </w:t>
            </w:r>
            <w:r>
              <w:rPr>
                <w:rFonts w:hint="eastAsia" w:ascii="Times New Roman" w:hAnsi="Times New Roman" w:eastAsia="宋体" w:cs="Times New Roman"/>
                <w:sz w:val="21"/>
                <w:szCs w:val="21"/>
                <w:lang w:val="en-US" w:eastAsia="zh-CN"/>
              </w:rPr>
              <w:t>81772.8</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/a</w:t>
            </w:r>
          </w:p>
        </w:tc>
        <w:tc>
          <w:tcPr>
            <w:tcW w:w="104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90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19</w:t>
            </w:r>
            <w:r>
              <w:rPr>
                <w:rFonts w:hint="eastAsia" w:ascii="Times New Roman" w:hAnsi="Times New Roman" w:eastAsia="宋体" w:cs="Times New Roman"/>
                <w:sz w:val="21"/>
                <w:szCs w:val="21"/>
                <w:lang w:val="en-US" w:eastAsia="zh-CN"/>
              </w:rPr>
              <w:t>18</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156.8</w:t>
            </w:r>
          </w:p>
        </w:tc>
        <w:tc>
          <w:tcPr>
            <w:tcW w:w="1208" w:type="dxa"/>
            <w:vMerge w:val="restart"/>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格栅</w:t>
            </w:r>
            <w:r>
              <w:rPr>
                <w:rFonts w:hint="default" w:ascii="Times New Roman" w:hAnsi="Times New Roman" w:cs="Times New Roman"/>
                <w:sz w:val="21"/>
                <w:szCs w:val="21"/>
              </w:rPr>
              <w:t>气浮+水解酸化+生物接触氧化</w:t>
            </w:r>
            <w:r>
              <w:rPr>
                <w:rFonts w:hint="default" w:ascii="Times New Roman" w:hAnsi="Times New Roman" w:cs="Times New Roman"/>
                <w:sz w:val="21"/>
                <w:szCs w:val="21"/>
                <w:lang w:val="en-US" w:eastAsia="zh-CN"/>
              </w:rPr>
              <w:t>+消毒</w:t>
            </w:r>
          </w:p>
        </w:tc>
        <w:tc>
          <w:tcPr>
            <w:tcW w:w="9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88.4</w:t>
            </w:r>
          </w:p>
        </w:tc>
        <w:tc>
          <w:tcPr>
            <w:tcW w:w="954"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222</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18.2</w:t>
            </w:r>
          </w:p>
        </w:tc>
        <w:tc>
          <w:tcPr>
            <w:tcW w:w="878" w:type="dxa"/>
            <w:vMerge w:val="restart"/>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排入</w:t>
            </w:r>
            <w:r>
              <w:rPr>
                <w:rFonts w:hint="eastAsia" w:ascii="Times New Roman" w:hAnsi="Times New Roman" w:eastAsia="宋体" w:cs="Times New Roman"/>
                <w:sz w:val="21"/>
                <w:szCs w:val="21"/>
                <w:lang w:eastAsia="zh-CN"/>
              </w:rPr>
              <w:t>叶县县城</w:t>
            </w:r>
            <w:r>
              <w:rPr>
                <w:rFonts w:hint="default" w:ascii="Times New Roman" w:hAnsi="Times New Roman" w:cs="Times New Roman"/>
                <w:sz w:val="21"/>
                <w:szCs w:val="21"/>
              </w:rPr>
              <w:t>污水处理厂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09" w:type="dxa"/>
            <w:vMerge w:val="continue"/>
            <w:tcBorders>
              <w:tl2br w:val="nil"/>
              <w:tr2bl w:val="nil"/>
            </w:tcBorders>
            <w:vAlign w:val="center"/>
          </w:tcPr>
          <w:p>
            <w:pPr>
              <w:jc w:val="center"/>
              <w:rPr>
                <w:rFonts w:hint="default" w:ascii="Times New Roman" w:hAnsi="Times New Roman" w:cs="Times New Roman"/>
                <w:sz w:val="21"/>
                <w:szCs w:val="21"/>
              </w:rPr>
            </w:pPr>
          </w:p>
        </w:tc>
        <w:tc>
          <w:tcPr>
            <w:tcW w:w="104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901"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86</w:t>
            </w:r>
            <w:r>
              <w:rPr>
                <w:rFonts w:hint="eastAsia" w:ascii="Times New Roman" w:hAnsi="Times New Roman" w:eastAsia="宋体" w:cs="Times New Roman"/>
                <w:sz w:val="21"/>
                <w:szCs w:val="21"/>
                <w:lang w:val="en-US" w:eastAsia="zh-CN"/>
              </w:rPr>
              <w:t>8</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71.0</w:t>
            </w:r>
          </w:p>
        </w:tc>
        <w:tc>
          <w:tcPr>
            <w:tcW w:w="120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88.0</w:t>
            </w:r>
          </w:p>
        </w:tc>
        <w:tc>
          <w:tcPr>
            <w:tcW w:w="954"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10</w:t>
            </w:r>
            <w:r>
              <w:rPr>
                <w:rFonts w:hint="eastAsia" w:ascii="Times New Roman" w:hAnsi="Times New Roman" w:eastAsia="宋体" w:cs="Times New Roman"/>
                <w:sz w:val="21"/>
                <w:szCs w:val="21"/>
                <w:lang w:val="en-US" w:eastAsia="zh-CN"/>
              </w:rPr>
              <w:t>4</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8.5</w:t>
            </w:r>
          </w:p>
        </w:tc>
        <w:tc>
          <w:tcPr>
            <w:tcW w:w="878" w:type="dxa"/>
            <w:vMerge w:val="continue"/>
            <w:tcBorders>
              <w:tl2br w:val="nil"/>
              <w:tr2bl w:val="nil"/>
            </w:tcBorders>
            <w:vAlign w:val="center"/>
          </w:tcPr>
          <w:p>
            <w:pPr>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09" w:type="dxa"/>
            <w:vMerge w:val="continue"/>
            <w:tcBorders>
              <w:tl2br w:val="nil"/>
              <w:tr2bl w:val="nil"/>
            </w:tcBorders>
            <w:vAlign w:val="center"/>
          </w:tcPr>
          <w:p>
            <w:pPr>
              <w:jc w:val="center"/>
              <w:rPr>
                <w:rFonts w:hint="default" w:ascii="Times New Roman" w:hAnsi="Times New Roman" w:cs="Times New Roman"/>
                <w:sz w:val="21"/>
                <w:szCs w:val="21"/>
              </w:rPr>
            </w:pPr>
          </w:p>
        </w:tc>
        <w:tc>
          <w:tcPr>
            <w:tcW w:w="104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SS</w:t>
            </w:r>
          </w:p>
        </w:tc>
        <w:tc>
          <w:tcPr>
            <w:tcW w:w="90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9</w:t>
            </w:r>
            <w:r>
              <w:rPr>
                <w:rFonts w:hint="eastAsia" w:ascii="Times New Roman" w:hAnsi="Times New Roman" w:eastAsia="宋体" w:cs="Times New Roman"/>
                <w:sz w:val="21"/>
                <w:szCs w:val="21"/>
                <w:lang w:val="en-US" w:eastAsia="zh-CN"/>
              </w:rPr>
              <w:t>63</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78.7</w:t>
            </w:r>
          </w:p>
        </w:tc>
        <w:tc>
          <w:tcPr>
            <w:tcW w:w="120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90.4</w:t>
            </w:r>
          </w:p>
        </w:tc>
        <w:tc>
          <w:tcPr>
            <w:tcW w:w="954"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92.4</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w:t>
            </w:r>
          </w:p>
        </w:tc>
        <w:tc>
          <w:tcPr>
            <w:tcW w:w="878" w:type="dxa"/>
            <w:vMerge w:val="continue"/>
            <w:tcBorders>
              <w:tl2br w:val="nil"/>
              <w:tr2bl w:val="nil"/>
            </w:tcBorders>
            <w:vAlign w:val="center"/>
          </w:tcPr>
          <w:p>
            <w:pPr>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09" w:type="dxa"/>
            <w:vMerge w:val="continue"/>
            <w:tcBorders>
              <w:tl2br w:val="nil"/>
              <w:tr2bl w:val="nil"/>
            </w:tcBorders>
            <w:vAlign w:val="center"/>
          </w:tcPr>
          <w:p>
            <w:pPr>
              <w:jc w:val="center"/>
              <w:rPr>
                <w:rFonts w:hint="default" w:ascii="Times New Roman" w:hAnsi="Times New Roman" w:cs="Times New Roman"/>
                <w:sz w:val="21"/>
                <w:szCs w:val="21"/>
              </w:rPr>
            </w:pPr>
          </w:p>
        </w:tc>
        <w:tc>
          <w:tcPr>
            <w:tcW w:w="104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tc>
        <w:tc>
          <w:tcPr>
            <w:tcW w:w="901"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96</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7.85</w:t>
            </w:r>
          </w:p>
        </w:tc>
        <w:tc>
          <w:tcPr>
            <w:tcW w:w="120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81.0</w:t>
            </w:r>
          </w:p>
        </w:tc>
        <w:tc>
          <w:tcPr>
            <w:tcW w:w="954"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18.2</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1.49</w:t>
            </w:r>
          </w:p>
        </w:tc>
        <w:tc>
          <w:tcPr>
            <w:tcW w:w="878" w:type="dxa"/>
            <w:vMerge w:val="continue"/>
            <w:tcBorders>
              <w:tl2br w:val="nil"/>
              <w:tr2bl w:val="nil"/>
            </w:tcBorders>
            <w:vAlign w:val="center"/>
          </w:tcPr>
          <w:p>
            <w:pPr>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09" w:type="dxa"/>
            <w:vMerge w:val="continue"/>
            <w:tcBorders>
              <w:tl2br w:val="nil"/>
              <w:tr2bl w:val="nil"/>
            </w:tcBorders>
            <w:vAlign w:val="center"/>
          </w:tcPr>
          <w:p>
            <w:pPr>
              <w:jc w:val="center"/>
              <w:rPr>
                <w:rFonts w:hint="default" w:ascii="Times New Roman" w:hAnsi="Times New Roman" w:cs="Times New Roman"/>
                <w:sz w:val="21"/>
                <w:szCs w:val="21"/>
              </w:rPr>
            </w:pPr>
          </w:p>
        </w:tc>
        <w:tc>
          <w:tcPr>
            <w:tcW w:w="104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总磷</w:t>
            </w:r>
          </w:p>
        </w:tc>
        <w:tc>
          <w:tcPr>
            <w:tcW w:w="90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eastAsia" w:ascii="Times New Roman" w:hAnsi="Times New Roman" w:eastAsia="宋体" w:cs="Times New Roman"/>
                <w:sz w:val="21"/>
                <w:szCs w:val="21"/>
                <w:lang w:val="en-US" w:eastAsia="zh-CN"/>
              </w:rPr>
              <w:t>95</w:t>
            </w:r>
          </w:p>
        </w:tc>
        <w:tc>
          <w:tcPr>
            <w:tcW w:w="120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84.0</w:t>
            </w:r>
          </w:p>
        </w:tc>
        <w:tc>
          <w:tcPr>
            <w:tcW w:w="954"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eastAsia" w:ascii="Times New Roman" w:hAnsi="Times New Roman" w:eastAsia="宋体" w:cs="Times New Roman"/>
                <w:sz w:val="21"/>
                <w:szCs w:val="21"/>
                <w:lang w:val="en-US" w:eastAsia="zh-CN"/>
              </w:rPr>
              <w:t>15</w:t>
            </w:r>
          </w:p>
        </w:tc>
        <w:tc>
          <w:tcPr>
            <w:tcW w:w="878" w:type="dxa"/>
            <w:vMerge w:val="continue"/>
            <w:tcBorders>
              <w:tl2br w:val="nil"/>
              <w:tr2bl w:val="nil"/>
            </w:tcBorders>
            <w:vAlign w:val="center"/>
          </w:tcPr>
          <w:p>
            <w:pPr>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09" w:type="dxa"/>
            <w:vMerge w:val="continue"/>
            <w:tcBorders>
              <w:tl2br w:val="nil"/>
              <w:tr2bl w:val="nil"/>
            </w:tcBorders>
            <w:vAlign w:val="center"/>
          </w:tcPr>
          <w:p>
            <w:pPr>
              <w:jc w:val="center"/>
              <w:rPr>
                <w:rFonts w:hint="default" w:ascii="Times New Roman" w:hAnsi="Times New Roman" w:cs="Times New Roman"/>
                <w:sz w:val="21"/>
                <w:szCs w:val="21"/>
              </w:rPr>
            </w:pPr>
          </w:p>
        </w:tc>
        <w:tc>
          <w:tcPr>
            <w:tcW w:w="104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总氮</w:t>
            </w:r>
          </w:p>
        </w:tc>
        <w:tc>
          <w:tcPr>
            <w:tcW w:w="90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204</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16.7</w:t>
            </w:r>
          </w:p>
        </w:tc>
        <w:tc>
          <w:tcPr>
            <w:tcW w:w="120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w:t>
            </w:r>
            <w:r>
              <w:rPr>
                <w:rFonts w:hint="eastAsia" w:ascii="Times New Roman" w:hAnsi="Times New Roman" w:eastAsia="宋体" w:cs="Times New Roman"/>
                <w:sz w:val="21"/>
                <w:szCs w:val="21"/>
                <w:lang w:val="en-US" w:eastAsia="zh-CN"/>
              </w:rPr>
              <w:t>5</w:t>
            </w:r>
            <w:r>
              <w:rPr>
                <w:rFonts w:hint="default" w:ascii="Times New Roman" w:hAnsi="Times New Roman" w:cs="Times New Roman"/>
                <w:sz w:val="21"/>
                <w:szCs w:val="21"/>
              </w:rPr>
              <w:t>.0</w:t>
            </w:r>
          </w:p>
        </w:tc>
        <w:tc>
          <w:tcPr>
            <w:tcW w:w="954"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30.6</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878" w:type="dxa"/>
            <w:vMerge w:val="continue"/>
            <w:tcBorders>
              <w:tl2br w:val="nil"/>
              <w:tr2bl w:val="nil"/>
            </w:tcBorders>
            <w:vAlign w:val="center"/>
          </w:tcPr>
          <w:p>
            <w:pPr>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09" w:type="dxa"/>
            <w:vMerge w:val="continue"/>
            <w:tcBorders>
              <w:tl2br w:val="nil"/>
              <w:tr2bl w:val="nil"/>
            </w:tcBorders>
            <w:vAlign w:val="center"/>
          </w:tcPr>
          <w:p>
            <w:pPr>
              <w:jc w:val="center"/>
              <w:rPr>
                <w:rFonts w:hint="default" w:ascii="Times New Roman" w:hAnsi="Times New Roman" w:cs="Times New Roman"/>
                <w:sz w:val="21"/>
                <w:szCs w:val="21"/>
              </w:rPr>
            </w:pPr>
          </w:p>
        </w:tc>
        <w:tc>
          <w:tcPr>
            <w:tcW w:w="104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动植物油</w:t>
            </w:r>
          </w:p>
        </w:tc>
        <w:tc>
          <w:tcPr>
            <w:tcW w:w="90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144</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11.8</w:t>
            </w:r>
          </w:p>
        </w:tc>
        <w:tc>
          <w:tcPr>
            <w:tcW w:w="120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0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81.1</w:t>
            </w:r>
          </w:p>
        </w:tc>
        <w:tc>
          <w:tcPr>
            <w:tcW w:w="954"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27.2</w:t>
            </w:r>
          </w:p>
        </w:tc>
        <w:tc>
          <w:tcPr>
            <w:tcW w:w="87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878" w:type="dxa"/>
            <w:vMerge w:val="continue"/>
            <w:tcBorders>
              <w:tl2br w:val="nil"/>
              <w:tr2bl w:val="nil"/>
            </w:tcBorders>
            <w:vAlign w:val="center"/>
          </w:tcPr>
          <w:p>
            <w:pPr>
              <w:jc w:val="center"/>
              <w:rPr>
                <w:rFonts w:hint="default" w:ascii="Times New Roman" w:hAnsi="Times New Roman" w:cs="Times New Roman"/>
                <w:sz w:val="21"/>
                <w:szCs w:val="21"/>
              </w:rPr>
            </w:pPr>
          </w:p>
        </w:tc>
      </w:tr>
    </w:tbl>
    <w:p>
      <w:pPr>
        <w:keepNext w:val="0"/>
        <w:keepLines w:val="0"/>
        <w:pageBreakBefore w:val="0"/>
        <w:widowControl w:val="0"/>
        <w:kinsoku/>
        <w:wordWrap/>
        <w:overflowPunct/>
        <w:topLinePunct w:val="0"/>
        <w:autoSpaceDE w:val="0"/>
        <w:autoSpaceDN w:val="0"/>
        <w:bidi w:val="0"/>
        <w:adjustRightInd w:val="0"/>
        <w:snapToGrid w:val="0"/>
        <w:spacing w:before="129" w:line="384" w:lineRule="auto"/>
        <w:ind w:left="119" w:right="34" w:firstLine="516"/>
        <w:jc w:val="both"/>
        <w:textAlignment w:val="baseline"/>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由</w:t>
      </w:r>
      <w:r>
        <w:rPr>
          <w:rFonts w:hint="eastAsia" w:ascii="宋体" w:hAnsi="宋体" w:eastAsia="宋体" w:cs="宋体"/>
          <w:spacing w:val="0"/>
          <w:w w:val="100"/>
          <w:position w:val="0"/>
          <w:sz w:val="24"/>
          <w:szCs w:val="24"/>
          <w:lang w:eastAsia="zh-CN"/>
        </w:rPr>
        <w:t>上表</w:t>
      </w:r>
      <w:r>
        <w:rPr>
          <w:rFonts w:ascii="宋体" w:hAnsi="宋体" w:eastAsia="宋体" w:cs="宋体"/>
          <w:spacing w:val="0"/>
          <w:w w:val="100"/>
          <w:position w:val="0"/>
          <w:sz w:val="24"/>
          <w:szCs w:val="24"/>
        </w:rPr>
        <w:t>可知，本项目污水处理站出水水质中</w:t>
      </w:r>
      <w:r>
        <w:rPr>
          <w:rFonts w:ascii="Times New Roman" w:hAnsi="Times New Roman" w:eastAsia="Times New Roman" w:cs="Times New Roman"/>
          <w:spacing w:val="0"/>
          <w:w w:val="100"/>
          <w:position w:val="0"/>
          <w:sz w:val="24"/>
          <w:szCs w:val="24"/>
        </w:rPr>
        <w:t>COD</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BOD</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SS</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NH</w:t>
      </w:r>
      <w:r>
        <w:rPr>
          <w:rFonts w:ascii="Times New Roman" w:hAnsi="Times New Roman" w:eastAsia="Times New Roman" w:cs="Times New Roman"/>
          <w:spacing w:val="0"/>
          <w:w w:val="100"/>
          <w:position w:val="0"/>
          <w:sz w:val="15"/>
          <w:szCs w:val="15"/>
        </w:rPr>
        <w:t>3</w:t>
      </w:r>
      <w:r>
        <w:rPr>
          <w:rFonts w:ascii="Times New Roman" w:hAnsi="Times New Roman" w:eastAsia="Times New Roman" w:cs="Times New Roman"/>
          <w:spacing w:val="0"/>
          <w:w w:val="100"/>
          <w:position w:val="0"/>
          <w:sz w:val="24"/>
          <w:szCs w:val="24"/>
        </w:rPr>
        <w:t>-N</w:t>
      </w:r>
      <w:r>
        <w:rPr>
          <w:rFonts w:ascii="宋体" w:hAnsi="宋体" w:eastAsia="宋体" w:cs="宋体"/>
          <w:spacing w:val="0"/>
          <w:w w:val="100"/>
          <w:position w:val="0"/>
          <w:sz w:val="24"/>
          <w:szCs w:val="24"/>
        </w:rPr>
        <w:t>、总磷、总氮、动植物油排放浓度分别为</w:t>
      </w:r>
      <w:r>
        <w:rPr>
          <w:rFonts w:ascii="Times New Roman" w:hAnsi="Times New Roman" w:eastAsia="Times New Roman" w:cs="Times New Roman"/>
          <w:spacing w:val="0"/>
          <w:w w:val="100"/>
          <w:position w:val="0"/>
          <w:sz w:val="24"/>
          <w:szCs w:val="24"/>
        </w:rPr>
        <w:t>222mg/L</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10</w:t>
      </w:r>
      <w:r>
        <w:rPr>
          <w:rFonts w:hint="eastAsia" w:ascii="Times New Roman" w:hAnsi="Times New Roman" w:eastAsia="宋体" w:cs="Times New Roman"/>
          <w:spacing w:val="0"/>
          <w:w w:val="100"/>
          <w:position w:val="0"/>
          <w:sz w:val="24"/>
          <w:szCs w:val="24"/>
          <w:lang w:val="en-US" w:eastAsia="zh-CN"/>
        </w:rPr>
        <w:t>4</w:t>
      </w:r>
      <w:r>
        <w:rPr>
          <w:rFonts w:ascii="Times New Roman" w:hAnsi="Times New Roman" w:eastAsia="Times New Roman" w:cs="Times New Roman"/>
          <w:spacing w:val="0"/>
          <w:w w:val="100"/>
          <w:position w:val="0"/>
          <w:sz w:val="24"/>
          <w:szCs w:val="24"/>
        </w:rPr>
        <w:t>mg/L</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9</w:t>
      </w:r>
      <w:r>
        <w:rPr>
          <w:rFonts w:hint="eastAsia" w:ascii="Times New Roman" w:hAnsi="Times New Roman" w:eastAsia="宋体" w:cs="Times New Roman"/>
          <w:spacing w:val="0"/>
          <w:w w:val="100"/>
          <w:position w:val="0"/>
          <w:sz w:val="24"/>
          <w:szCs w:val="24"/>
          <w:lang w:val="en-US" w:eastAsia="zh-CN"/>
        </w:rPr>
        <w:t>2.4</w:t>
      </w:r>
      <w:r>
        <w:rPr>
          <w:rFonts w:ascii="Times New Roman" w:hAnsi="Times New Roman" w:eastAsia="Times New Roman" w:cs="Times New Roman"/>
          <w:spacing w:val="0"/>
          <w:w w:val="100"/>
          <w:position w:val="0"/>
          <w:sz w:val="24"/>
          <w:szCs w:val="24"/>
        </w:rPr>
        <w:t>mg/L</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1</w:t>
      </w:r>
      <w:r>
        <w:rPr>
          <w:rFonts w:hint="eastAsia" w:ascii="Times New Roman" w:hAnsi="Times New Roman" w:eastAsia="宋体" w:cs="Times New Roman"/>
          <w:spacing w:val="0"/>
          <w:w w:val="100"/>
          <w:position w:val="0"/>
          <w:sz w:val="24"/>
          <w:szCs w:val="24"/>
          <w:lang w:val="en-US" w:eastAsia="zh-CN"/>
        </w:rPr>
        <w:t>8.2</w:t>
      </w:r>
      <w:r>
        <w:rPr>
          <w:rFonts w:ascii="Times New Roman" w:hAnsi="Times New Roman" w:eastAsia="Times New Roman" w:cs="Times New Roman"/>
          <w:spacing w:val="0"/>
          <w:w w:val="100"/>
          <w:position w:val="0"/>
          <w:sz w:val="24"/>
          <w:szCs w:val="24"/>
        </w:rPr>
        <w:t>mg/L</w:t>
      </w:r>
      <w:r>
        <w:rPr>
          <w:rFonts w:ascii="宋体" w:hAnsi="宋体" w:eastAsia="宋体" w:cs="宋体"/>
          <w:spacing w:val="0"/>
          <w:w w:val="100"/>
          <w:position w:val="0"/>
          <w:sz w:val="24"/>
          <w:szCs w:val="24"/>
        </w:rPr>
        <w:t>、</w:t>
      </w:r>
      <w:r>
        <w:rPr>
          <w:rFonts w:hint="default" w:ascii="Times New Roman" w:hAnsi="Times New Roman" w:eastAsia="宋体" w:cs="Times New Roman"/>
          <w:spacing w:val="0"/>
          <w:w w:val="100"/>
          <w:position w:val="0"/>
          <w:sz w:val="24"/>
          <w:szCs w:val="24"/>
          <w:lang w:val="en-US" w:eastAsia="zh-CN"/>
        </w:rPr>
        <w:t>1.</w:t>
      </w:r>
      <w:r>
        <w:rPr>
          <w:rFonts w:hint="eastAsia" w:ascii="Times New Roman" w:hAnsi="Times New Roman" w:eastAsia="宋体" w:cs="Times New Roman"/>
          <w:spacing w:val="0"/>
          <w:w w:val="100"/>
          <w:position w:val="0"/>
          <w:sz w:val="24"/>
          <w:szCs w:val="24"/>
          <w:lang w:val="en-US" w:eastAsia="zh-CN"/>
        </w:rPr>
        <w:t>8</w:t>
      </w:r>
      <w:r>
        <w:rPr>
          <w:rFonts w:ascii="Times New Roman" w:hAnsi="Times New Roman" w:eastAsia="Times New Roman" w:cs="Times New Roman"/>
          <w:spacing w:val="0"/>
          <w:w w:val="100"/>
          <w:position w:val="0"/>
          <w:sz w:val="24"/>
          <w:szCs w:val="24"/>
        </w:rPr>
        <w:t>mg/L</w:t>
      </w:r>
      <w:r>
        <w:rPr>
          <w:rFonts w:ascii="宋体" w:hAnsi="宋体" w:eastAsia="宋体" w:cs="宋体"/>
          <w:spacing w:val="0"/>
          <w:w w:val="100"/>
          <w:position w:val="0"/>
          <w:sz w:val="24"/>
          <w:szCs w:val="24"/>
        </w:rPr>
        <w:t>、</w:t>
      </w:r>
      <w:r>
        <w:rPr>
          <w:rFonts w:hint="eastAsia" w:ascii="Times New Roman" w:hAnsi="Times New Roman" w:eastAsia="宋体" w:cs="Times New Roman"/>
          <w:spacing w:val="0"/>
          <w:w w:val="100"/>
          <w:position w:val="0"/>
          <w:sz w:val="24"/>
          <w:szCs w:val="24"/>
          <w:highlight w:val="none"/>
          <w:lang w:val="en-US" w:eastAsia="zh-CN"/>
        </w:rPr>
        <w:t>30.6</w:t>
      </w:r>
      <w:r>
        <w:rPr>
          <w:rFonts w:ascii="Times New Roman" w:hAnsi="Times New Roman" w:eastAsia="Times New Roman" w:cs="Times New Roman"/>
          <w:spacing w:val="0"/>
          <w:w w:val="100"/>
          <w:position w:val="0"/>
          <w:sz w:val="24"/>
          <w:szCs w:val="24"/>
          <w:highlight w:val="none"/>
        </w:rPr>
        <w:t>mg/L</w:t>
      </w:r>
      <w:r>
        <w:rPr>
          <w:rFonts w:ascii="宋体" w:hAnsi="宋体" w:eastAsia="宋体" w:cs="宋体"/>
          <w:spacing w:val="0"/>
          <w:w w:val="100"/>
          <w:position w:val="0"/>
          <w:sz w:val="24"/>
          <w:szCs w:val="24"/>
        </w:rPr>
        <w:t>、</w:t>
      </w:r>
      <w:r>
        <w:rPr>
          <w:rFonts w:hint="eastAsia" w:ascii="Times New Roman" w:hAnsi="Times New Roman" w:eastAsia="宋体" w:cs="Times New Roman"/>
          <w:spacing w:val="0"/>
          <w:w w:val="100"/>
          <w:position w:val="0"/>
          <w:sz w:val="24"/>
          <w:szCs w:val="24"/>
          <w:lang w:val="en-US" w:eastAsia="zh-CN"/>
        </w:rPr>
        <w:t>27.2</w:t>
      </w:r>
      <w:r>
        <w:rPr>
          <w:rFonts w:ascii="Times New Roman" w:hAnsi="Times New Roman" w:eastAsia="Times New Roman" w:cs="Times New Roman"/>
          <w:spacing w:val="0"/>
          <w:w w:val="100"/>
          <w:position w:val="0"/>
          <w:sz w:val="24"/>
          <w:szCs w:val="24"/>
        </w:rPr>
        <w:t>mg/L</w:t>
      </w:r>
      <w:r>
        <w:rPr>
          <w:rFonts w:ascii="宋体" w:hAnsi="宋体" w:eastAsia="宋体" w:cs="宋体"/>
          <w:spacing w:val="0"/>
          <w:w w:val="100"/>
          <w:position w:val="0"/>
          <w:sz w:val="24"/>
          <w:szCs w:val="24"/>
        </w:rPr>
        <w:t>，均</w:t>
      </w:r>
      <w:r>
        <w:rPr>
          <w:rFonts w:hint="eastAsia" w:ascii="宋体" w:hAnsi="宋体" w:eastAsia="宋体" w:cs="宋体"/>
          <w:spacing w:val="0"/>
          <w:w w:val="100"/>
          <w:position w:val="0"/>
          <w:sz w:val="24"/>
          <w:szCs w:val="24"/>
          <w:lang w:eastAsia="zh-CN"/>
        </w:rPr>
        <w:t>符合</w:t>
      </w:r>
      <w:r>
        <w:rPr>
          <w:rFonts w:ascii="宋体" w:hAnsi="宋体" w:eastAsia="宋体" w:cs="宋体"/>
          <w:spacing w:val="0"/>
          <w:w w:val="100"/>
          <w:position w:val="0"/>
          <w:sz w:val="24"/>
          <w:szCs w:val="24"/>
        </w:rPr>
        <w:t>《肉类加工工业水污染物排放标准》（</w:t>
      </w:r>
      <w:r>
        <w:rPr>
          <w:rFonts w:ascii="Times New Roman" w:hAnsi="Times New Roman" w:eastAsia="Times New Roman" w:cs="Times New Roman"/>
          <w:spacing w:val="0"/>
          <w:w w:val="100"/>
          <w:position w:val="0"/>
          <w:sz w:val="24"/>
          <w:szCs w:val="24"/>
        </w:rPr>
        <w:t>GB13457-92</w:t>
      </w:r>
      <w:r>
        <w:rPr>
          <w:rFonts w:ascii="宋体" w:hAnsi="宋体" w:eastAsia="宋体" w:cs="宋体"/>
          <w:spacing w:val="0"/>
          <w:w w:val="100"/>
          <w:position w:val="0"/>
          <w:sz w:val="24"/>
          <w:szCs w:val="24"/>
        </w:rPr>
        <w:t>）表</w:t>
      </w:r>
      <w:r>
        <w:rPr>
          <w:rFonts w:ascii="Times New Roman" w:hAnsi="Times New Roman" w:eastAsia="Times New Roman" w:cs="Times New Roman"/>
          <w:spacing w:val="0"/>
          <w:w w:val="100"/>
          <w:position w:val="0"/>
          <w:sz w:val="24"/>
          <w:szCs w:val="24"/>
        </w:rPr>
        <w:t>3</w:t>
      </w:r>
      <w:r>
        <w:rPr>
          <w:rFonts w:ascii="宋体" w:hAnsi="宋体" w:eastAsia="宋体" w:cs="宋体"/>
          <w:spacing w:val="0"/>
          <w:w w:val="100"/>
          <w:position w:val="0"/>
          <w:sz w:val="24"/>
          <w:szCs w:val="24"/>
        </w:rPr>
        <w:t>中畜类屠宰加工三级标准限值要求（</w:t>
      </w:r>
      <w:r>
        <w:rPr>
          <w:rFonts w:ascii="Times New Roman" w:hAnsi="Times New Roman" w:eastAsia="Times New Roman" w:cs="Times New Roman"/>
          <w:spacing w:val="0"/>
          <w:w w:val="100"/>
          <w:position w:val="0"/>
          <w:sz w:val="24"/>
          <w:szCs w:val="24"/>
        </w:rPr>
        <w:t>pH</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6.0~8.5</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COD</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500mg/L</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BOD</w:t>
      </w:r>
      <w:r>
        <w:rPr>
          <w:rFonts w:ascii="Times New Roman" w:hAnsi="Times New Roman" w:eastAsia="Times New Roman" w:cs="Times New Roman"/>
          <w:spacing w:val="0"/>
          <w:w w:val="100"/>
          <w:position w:val="0"/>
          <w:sz w:val="15"/>
          <w:szCs w:val="15"/>
        </w:rPr>
        <w:t xml:space="preserve">5 </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 xml:space="preserve">300mg/L </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SS</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400mg/L</w:t>
      </w:r>
      <w:r>
        <w:rPr>
          <w:rFonts w:ascii="宋体" w:hAnsi="宋体" w:eastAsia="宋体" w:cs="宋体"/>
          <w:spacing w:val="0"/>
          <w:w w:val="100"/>
          <w:position w:val="0"/>
          <w:sz w:val="24"/>
          <w:szCs w:val="24"/>
        </w:rPr>
        <w:t>、动植物油：</w:t>
      </w:r>
      <w:r>
        <w:rPr>
          <w:rFonts w:ascii="Times New Roman" w:hAnsi="Times New Roman" w:eastAsia="Times New Roman" w:cs="Times New Roman"/>
          <w:spacing w:val="0"/>
          <w:w w:val="100"/>
          <w:position w:val="0"/>
          <w:sz w:val="24"/>
          <w:szCs w:val="24"/>
        </w:rPr>
        <w:t>60mg/L</w:t>
      </w:r>
      <w:r>
        <w:rPr>
          <w:rFonts w:ascii="宋体" w:hAnsi="宋体" w:eastAsia="宋体" w:cs="宋体"/>
          <w:spacing w:val="0"/>
          <w:w w:val="100"/>
          <w:position w:val="0"/>
          <w:sz w:val="24"/>
          <w:szCs w:val="24"/>
        </w:rPr>
        <w:t>）和</w:t>
      </w:r>
      <w:r>
        <w:rPr>
          <w:rFonts w:hint="eastAsia" w:ascii="宋体" w:hAnsi="宋体" w:eastAsia="宋体" w:cs="宋体"/>
          <w:spacing w:val="0"/>
          <w:w w:val="100"/>
          <w:position w:val="0"/>
          <w:sz w:val="24"/>
          <w:szCs w:val="24"/>
          <w:highlight w:val="none"/>
          <w:lang w:eastAsia="zh-CN"/>
        </w:rPr>
        <w:t>叶县县城</w:t>
      </w:r>
      <w:r>
        <w:rPr>
          <w:rFonts w:ascii="宋体" w:hAnsi="宋体" w:eastAsia="宋体" w:cs="宋体"/>
          <w:spacing w:val="0"/>
          <w:w w:val="100"/>
          <w:position w:val="0"/>
          <w:sz w:val="24"/>
          <w:szCs w:val="24"/>
          <w:highlight w:val="none"/>
        </w:rPr>
        <w:t>污水处理厂进水水质要求</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COD</w:t>
      </w:r>
      <w:r>
        <w:rPr>
          <w:rFonts w:ascii="宋体" w:hAnsi="宋体" w:eastAsia="宋体" w:cs="宋体"/>
          <w:spacing w:val="0"/>
          <w:w w:val="100"/>
          <w:position w:val="0"/>
          <w:sz w:val="24"/>
          <w:szCs w:val="24"/>
        </w:rPr>
        <w:t>：</w:t>
      </w:r>
      <w:r>
        <w:rPr>
          <w:rFonts w:hint="eastAsia" w:ascii="Times New Roman" w:hAnsi="Times New Roman" w:eastAsia="宋体" w:cs="Times New Roman"/>
          <w:spacing w:val="0"/>
          <w:w w:val="100"/>
          <w:position w:val="0"/>
          <w:sz w:val="24"/>
          <w:szCs w:val="24"/>
          <w:lang w:val="en-US" w:eastAsia="zh-CN"/>
        </w:rPr>
        <w:t>35</w:t>
      </w:r>
      <w:r>
        <w:rPr>
          <w:rFonts w:ascii="Times New Roman" w:hAnsi="Times New Roman" w:eastAsia="Times New Roman" w:cs="Times New Roman"/>
          <w:spacing w:val="0"/>
          <w:w w:val="100"/>
          <w:position w:val="0"/>
          <w:sz w:val="24"/>
          <w:szCs w:val="24"/>
        </w:rPr>
        <w:t>0mg/L</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BOD</w:t>
      </w:r>
      <w:r>
        <w:rPr>
          <w:rFonts w:ascii="Times New Roman" w:hAnsi="Times New Roman" w:eastAsia="Times New Roman" w:cs="Times New Roman"/>
          <w:spacing w:val="0"/>
          <w:w w:val="100"/>
          <w:position w:val="0"/>
          <w:sz w:val="15"/>
          <w:szCs w:val="15"/>
        </w:rPr>
        <w:t>5</w:t>
      </w:r>
      <w:r>
        <w:rPr>
          <w:rFonts w:ascii="宋体" w:hAnsi="宋体" w:eastAsia="宋体" w:cs="宋体"/>
          <w:spacing w:val="0"/>
          <w:w w:val="100"/>
          <w:position w:val="0"/>
          <w:sz w:val="24"/>
          <w:szCs w:val="24"/>
        </w:rPr>
        <w:t>：</w:t>
      </w:r>
      <w:r>
        <w:rPr>
          <w:rFonts w:hint="eastAsia" w:ascii="Times New Roman" w:hAnsi="Times New Roman" w:eastAsia="宋体" w:cs="Times New Roman"/>
          <w:spacing w:val="0"/>
          <w:w w:val="100"/>
          <w:position w:val="0"/>
          <w:sz w:val="24"/>
          <w:szCs w:val="24"/>
          <w:lang w:val="en-US" w:eastAsia="zh-CN"/>
        </w:rPr>
        <w:t>16</w:t>
      </w:r>
      <w:r>
        <w:rPr>
          <w:rFonts w:ascii="Times New Roman" w:hAnsi="Times New Roman" w:eastAsia="Times New Roman" w:cs="Times New Roman"/>
          <w:spacing w:val="0"/>
          <w:w w:val="100"/>
          <w:position w:val="0"/>
          <w:sz w:val="24"/>
          <w:szCs w:val="24"/>
        </w:rPr>
        <w:t>0mg/L</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SS</w:t>
      </w:r>
      <w:r>
        <w:rPr>
          <w:rFonts w:ascii="宋体" w:hAnsi="宋体" w:eastAsia="宋体" w:cs="宋体"/>
          <w:spacing w:val="0"/>
          <w:w w:val="100"/>
          <w:position w:val="0"/>
          <w:sz w:val="24"/>
          <w:szCs w:val="24"/>
        </w:rPr>
        <w:t>：</w:t>
      </w:r>
      <w:r>
        <w:rPr>
          <w:rFonts w:hint="eastAsia" w:ascii="Times New Roman" w:hAnsi="Times New Roman" w:eastAsia="宋体" w:cs="Times New Roman"/>
          <w:spacing w:val="0"/>
          <w:w w:val="100"/>
          <w:position w:val="0"/>
          <w:sz w:val="24"/>
          <w:szCs w:val="24"/>
          <w:lang w:val="en-US" w:eastAsia="zh-CN"/>
        </w:rPr>
        <w:t>18</w:t>
      </w:r>
      <w:r>
        <w:rPr>
          <w:rFonts w:ascii="Times New Roman" w:hAnsi="Times New Roman" w:eastAsia="Times New Roman" w:cs="Times New Roman"/>
          <w:spacing w:val="0"/>
          <w:w w:val="100"/>
          <w:position w:val="0"/>
          <w:sz w:val="24"/>
          <w:szCs w:val="24"/>
        </w:rPr>
        <w:t>0mg/L</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NH</w:t>
      </w:r>
      <w:r>
        <w:rPr>
          <w:rFonts w:ascii="Times New Roman" w:hAnsi="Times New Roman" w:eastAsia="Times New Roman" w:cs="Times New Roman"/>
          <w:spacing w:val="0"/>
          <w:w w:val="100"/>
          <w:position w:val="0"/>
          <w:sz w:val="15"/>
          <w:szCs w:val="15"/>
        </w:rPr>
        <w:t>3</w:t>
      </w:r>
      <w:r>
        <w:rPr>
          <w:rFonts w:ascii="Times New Roman" w:hAnsi="Times New Roman" w:eastAsia="Times New Roman" w:cs="Times New Roman"/>
          <w:spacing w:val="0"/>
          <w:w w:val="100"/>
          <w:position w:val="0"/>
          <w:sz w:val="24"/>
          <w:szCs w:val="24"/>
        </w:rPr>
        <w:t>-N</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3</w:t>
      </w:r>
      <w:r>
        <w:rPr>
          <w:rFonts w:hint="eastAsia" w:ascii="Times New Roman" w:hAnsi="Times New Roman" w:eastAsia="宋体" w:cs="Times New Roman"/>
          <w:spacing w:val="0"/>
          <w:w w:val="100"/>
          <w:position w:val="0"/>
          <w:sz w:val="24"/>
          <w:szCs w:val="24"/>
          <w:lang w:val="en-US" w:eastAsia="zh-CN"/>
        </w:rPr>
        <w:t>0</w:t>
      </w:r>
      <w:r>
        <w:rPr>
          <w:rFonts w:ascii="Times New Roman" w:hAnsi="Times New Roman" w:eastAsia="Times New Roman" w:cs="Times New Roman"/>
          <w:spacing w:val="0"/>
          <w:w w:val="100"/>
          <w:position w:val="0"/>
          <w:sz w:val="24"/>
          <w:szCs w:val="24"/>
        </w:rPr>
        <w:t>mg/L</w:t>
      </w:r>
      <w:r>
        <w:rPr>
          <w:rFonts w:hint="eastAsia" w:ascii="Times New Roman" w:hAnsi="Times New Roman" w:eastAsia="宋体" w:cs="Times New Roman"/>
          <w:spacing w:val="0"/>
          <w:w w:val="100"/>
          <w:position w:val="0"/>
          <w:sz w:val="24"/>
          <w:szCs w:val="24"/>
          <w:lang w:eastAsia="zh-CN"/>
        </w:rPr>
        <w:t>、</w:t>
      </w:r>
      <w:r>
        <w:rPr>
          <w:rFonts w:hint="eastAsia" w:ascii="Times New Roman" w:hAnsi="Times New Roman" w:eastAsia="宋体" w:cs="Times New Roman"/>
          <w:spacing w:val="0"/>
          <w:w w:val="100"/>
          <w:position w:val="0"/>
          <w:sz w:val="24"/>
          <w:szCs w:val="24"/>
          <w:lang w:val="en-US" w:eastAsia="zh-CN"/>
        </w:rPr>
        <w:t>TP 4</w:t>
      </w:r>
      <w:r>
        <w:rPr>
          <w:rFonts w:ascii="Times New Roman" w:hAnsi="Times New Roman" w:eastAsia="Times New Roman" w:cs="Times New Roman"/>
          <w:spacing w:val="0"/>
          <w:w w:val="100"/>
          <w:position w:val="0"/>
          <w:sz w:val="24"/>
          <w:szCs w:val="24"/>
        </w:rPr>
        <w:t>mg/L</w:t>
      </w:r>
      <w:r>
        <w:rPr>
          <w:rFonts w:hint="eastAsia" w:ascii="Times New Roman" w:hAnsi="Times New Roman" w:eastAsia="宋体" w:cs="Times New Roman"/>
          <w:spacing w:val="0"/>
          <w:w w:val="100"/>
          <w:position w:val="0"/>
          <w:sz w:val="24"/>
          <w:szCs w:val="24"/>
          <w:lang w:eastAsia="zh-CN"/>
        </w:rPr>
        <w:t>、</w:t>
      </w:r>
      <w:r>
        <w:rPr>
          <w:rFonts w:hint="eastAsia" w:ascii="Times New Roman" w:hAnsi="Times New Roman" w:eastAsia="宋体" w:cs="Times New Roman"/>
          <w:spacing w:val="0"/>
          <w:w w:val="100"/>
          <w:position w:val="0"/>
          <w:sz w:val="24"/>
          <w:szCs w:val="24"/>
          <w:lang w:val="en-US" w:eastAsia="zh-CN"/>
        </w:rPr>
        <w:t>TN 40</w:t>
      </w:r>
      <w:r>
        <w:rPr>
          <w:rFonts w:ascii="Times New Roman" w:hAnsi="Times New Roman" w:eastAsia="Times New Roman" w:cs="Times New Roman"/>
          <w:spacing w:val="0"/>
          <w:w w:val="100"/>
          <w:position w:val="0"/>
          <w:sz w:val="24"/>
          <w:szCs w:val="24"/>
        </w:rPr>
        <w:t>mg/L</w:t>
      </w:r>
      <w:r>
        <w:rPr>
          <w:rFonts w:ascii="宋体" w:hAnsi="宋体" w:eastAsia="宋体" w:cs="宋体"/>
          <w:spacing w:val="0"/>
          <w:w w:val="100"/>
          <w:position w:val="0"/>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07"/>
        <w:textAlignment w:val="baseline"/>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二、废气污染源强分析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本项目运行过程中产生的大气污染物主要为</w:t>
      </w:r>
      <w:r>
        <w:rPr>
          <w:rFonts w:hint="default" w:ascii="Times New Roman" w:hAnsi="Times New Roman" w:cs="Times New Roman"/>
          <w:sz w:val="24"/>
          <w:szCs w:val="24"/>
          <w:lang w:eastAsia="zh-CN"/>
        </w:rPr>
        <w:t>待宰间、</w:t>
      </w:r>
      <w:r>
        <w:rPr>
          <w:rFonts w:hint="default" w:ascii="Times New Roman" w:hAnsi="Times New Roman" w:cs="Times New Roman"/>
          <w:sz w:val="24"/>
          <w:szCs w:val="24"/>
        </w:rPr>
        <w:t>屠宰加工线以及污水处理站产生的恶臭以及职工饮食油烟。</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）恶臭气体</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本项目运行过程中</w:t>
      </w:r>
      <w:r>
        <w:rPr>
          <w:rFonts w:hint="default" w:ascii="Times New Roman" w:hAnsi="Times New Roman" w:cs="Times New Roman"/>
          <w:sz w:val="24"/>
          <w:szCs w:val="24"/>
          <w:lang w:eastAsia="zh-CN"/>
        </w:rPr>
        <w:t>待宰间、</w:t>
      </w:r>
      <w:r>
        <w:rPr>
          <w:rFonts w:hint="default" w:ascii="Times New Roman" w:hAnsi="Times New Roman" w:cs="Times New Roman"/>
          <w:sz w:val="24"/>
          <w:szCs w:val="24"/>
        </w:rPr>
        <w:t>屠宰加工线以及污水处理站在运行过程中会产生一定量的混合性恶臭气体，主要成分包括挥发性脂肪酸、醇类、酚类以及氨气、硫化氢等。</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cs="Times New Roman"/>
          <w:sz w:val="24"/>
          <w:szCs w:val="24"/>
        </w:rPr>
      </w:pPr>
      <w:r>
        <w:rPr>
          <w:rFonts w:hint="default" w:ascii="Times New Roman" w:hAnsi="Times New Roman" w:cs="Times New Roman"/>
          <w:b w:val="0"/>
          <w:bCs/>
          <w:sz w:val="24"/>
          <w:lang w:val="en-US" w:eastAsia="zh-CN"/>
        </w:rPr>
        <w:t>因恶臭气体目前尚无</w:t>
      </w:r>
      <w:r>
        <w:rPr>
          <w:rFonts w:hint="eastAsia" w:ascii="Times New Roman" w:hAnsi="Times New Roman" w:cs="Times New Roman"/>
          <w:b w:val="0"/>
          <w:bCs/>
          <w:sz w:val="24"/>
          <w:lang w:val="en-US" w:eastAsia="zh-CN"/>
        </w:rPr>
        <w:t>直接</w:t>
      </w:r>
      <w:r>
        <w:rPr>
          <w:rFonts w:hint="default" w:ascii="Times New Roman" w:hAnsi="Times New Roman" w:cs="Times New Roman"/>
          <w:b w:val="0"/>
          <w:bCs/>
          <w:sz w:val="24"/>
          <w:lang w:val="en-US" w:eastAsia="zh-CN"/>
        </w:rPr>
        <w:t>成熟的定量计算源强方法，根据《污染源源强计算技术指南 准则》（HJ884-2018）和《排污许可证申请与核发技术规范 农副食品加工工业-屠宰及肉类加工工业》（HJ860.3-2018）中的相关要求，本评价</w:t>
      </w:r>
      <w:r>
        <w:rPr>
          <w:rFonts w:hint="eastAsia" w:ascii="Times New Roman" w:hAnsi="Times New Roman" w:cs="Times New Roman"/>
          <w:b w:val="0"/>
          <w:bCs/>
          <w:sz w:val="24"/>
          <w:lang w:val="en-US" w:eastAsia="zh-CN"/>
        </w:rPr>
        <w:t>以氨和硫化氢为主要特征污染物，</w:t>
      </w:r>
      <w:r>
        <w:rPr>
          <w:rFonts w:hint="default" w:ascii="Times New Roman" w:hAnsi="Times New Roman" w:cs="Times New Roman"/>
          <w:b w:val="0"/>
          <w:bCs/>
          <w:sz w:val="24"/>
          <w:lang w:val="en-US" w:eastAsia="zh-CN"/>
        </w:rPr>
        <w:t>通过查询相关文献、对比同类型项目等方法进行源强核算</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①</w:t>
      </w:r>
      <w:r>
        <w:rPr>
          <w:rFonts w:hint="eastAsia" w:ascii="宋体" w:hAnsi="宋体" w:eastAsia="宋体" w:cs="宋体"/>
          <w:spacing w:val="-2"/>
          <w:sz w:val="24"/>
          <w:szCs w:val="24"/>
        </w:rPr>
        <w:t>待宰间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该项目待宰间</w:t>
      </w:r>
      <w:r>
        <w:rPr>
          <w:rFonts w:hint="eastAsia" w:cs="Times New Roman"/>
          <w:sz w:val="24"/>
          <w:lang w:val="en-US" w:eastAsia="zh-CN"/>
        </w:rPr>
        <w:t>分为牛、羊两个区</w:t>
      </w:r>
      <w:r>
        <w:rPr>
          <w:rFonts w:hint="default" w:ascii="Times New Roman" w:hAnsi="Times New Roman" w:cs="Times New Roman"/>
          <w:sz w:val="24"/>
          <w:lang w:val="en-US" w:eastAsia="zh-CN"/>
        </w:rPr>
        <w:t>，与屠宰加工车间</w:t>
      </w:r>
      <w:r>
        <w:rPr>
          <w:rFonts w:hint="eastAsia" w:cs="Times New Roman"/>
          <w:sz w:val="24"/>
          <w:lang w:val="en-US" w:eastAsia="zh-CN"/>
        </w:rPr>
        <w:t>内的牛、羊屠宰线</w:t>
      </w:r>
      <w:r>
        <w:rPr>
          <w:rFonts w:hint="default" w:ascii="Times New Roman" w:hAnsi="Times New Roman" w:cs="Times New Roman"/>
          <w:sz w:val="24"/>
          <w:lang w:val="en-US" w:eastAsia="zh-CN"/>
        </w:rPr>
        <w:t>相</w:t>
      </w:r>
      <w:r>
        <w:rPr>
          <w:rFonts w:hint="eastAsia" w:cs="Times New Roman"/>
          <w:sz w:val="24"/>
          <w:lang w:val="en-US" w:eastAsia="zh-CN"/>
        </w:rPr>
        <w:t>对应</w:t>
      </w:r>
      <w:r>
        <w:rPr>
          <w:rFonts w:hint="default" w:ascii="Times New Roman" w:hAnsi="Times New Roman" w:cs="Times New Roman"/>
          <w:sz w:val="24"/>
          <w:lang w:val="en-US" w:eastAsia="zh-CN"/>
        </w:rPr>
        <w:t>。待宰圈的恶臭主要来自牲畜的粪便，这些粪便会产生氨、硫化氢、胺等恶臭有害气体，若未及时清除或清除后不能及时处理，将会使臭味成倍增加，进一步产生甲基硫醇、二甲基二硫醚、甲硫醚、二甲胺等恶臭气体，并会孳生大量蚊蝇，影响周围环境卫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a、初始源强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r>
        <w:rPr>
          <w:rFonts w:hint="default" w:ascii="Times New Roman" w:hAnsi="Times New Roman" w:cs="Times New Roman"/>
          <w:sz w:val="24"/>
          <w:lang w:val="en-US" w:eastAsia="zh-CN"/>
        </w:rPr>
        <w:t>本次环评牛羊待宰间恶臭源强参照《安定区牛羊屠宰加工生产线建设项目（香泉屠宰加工线工程）环境影响报告书》（2023年9月18日批复）</w:t>
      </w:r>
      <w:r>
        <w:rPr>
          <w:rFonts w:hint="eastAsia" w:ascii="Times New Roman" w:hAnsi="Times New Roman" w:cs="Times New Roman"/>
          <w:sz w:val="24"/>
          <w:lang w:val="en-US" w:eastAsia="zh-CN"/>
        </w:rPr>
        <w:t>中的产污系数</w:t>
      </w:r>
      <w:r>
        <w:rPr>
          <w:rFonts w:hint="default" w:ascii="Times New Roman" w:hAnsi="Times New Roman" w:cs="Times New Roman"/>
          <w:sz w:val="24"/>
          <w:lang w:val="en-US" w:eastAsia="zh-CN"/>
        </w:rPr>
        <w:t>：生猪NH</w:t>
      </w:r>
      <w:r>
        <w:rPr>
          <w:rFonts w:hint="default" w:ascii="Times New Roman" w:hAnsi="Times New Roman" w:cs="Times New Roman"/>
          <w:sz w:val="24"/>
          <w:vertAlign w:val="subscript"/>
          <w:lang w:val="en-US" w:eastAsia="zh-CN"/>
        </w:rPr>
        <w:t>3</w:t>
      </w:r>
      <w:r>
        <w:rPr>
          <w:rFonts w:hint="default" w:ascii="Times New Roman" w:hAnsi="Times New Roman" w:cs="Times New Roman"/>
          <w:sz w:val="24"/>
          <w:lang w:val="en-US" w:eastAsia="zh-CN"/>
        </w:rPr>
        <w:t>的产生量5.65g/（头•d），H</w:t>
      </w:r>
      <w:r>
        <w:rPr>
          <w:rFonts w:hint="default" w:ascii="Times New Roman" w:hAnsi="Times New Roman" w:cs="Times New Roman"/>
          <w:sz w:val="24"/>
          <w:vertAlign w:val="subscript"/>
          <w:lang w:val="en-US" w:eastAsia="zh-CN"/>
        </w:rPr>
        <w:t>2</w:t>
      </w:r>
      <w:r>
        <w:rPr>
          <w:rFonts w:hint="default" w:ascii="Times New Roman" w:hAnsi="Times New Roman" w:cs="Times New Roman"/>
          <w:sz w:val="24"/>
          <w:lang w:val="en-US" w:eastAsia="zh-CN"/>
        </w:rPr>
        <w:t>S的产生量为 0.5g/（头•d）。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u w:val="single"/>
          <w:lang w:eastAsia="zh-CN"/>
        </w:rPr>
      </w:pPr>
      <w:r>
        <w:rPr>
          <w:rFonts w:hint="default" w:ascii="Times New Roman" w:hAnsi="Times New Roman" w:cs="Times New Roman"/>
          <w:sz w:val="24"/>
          <w:u w:val="single"/>
          <w:lang w:val="en-US" w:eastAsia="zh-CN"/>
        </w:rPr>
        <w:t>根据《畜禽养殖业污染物排放标准》(GB18596-2001)，1头肉牛折算成5头猪，3只羊换算成1头猪。活牛、羊在待宰间实行24小时的待宰管理，待宰间最大存栏量为</w:t>
      </w:r>
      <w:r>
        <w:rPr>
          <w:rFonts w:hint="eastAsia" w:ascii="Times New Roman" w:hAnsi="Times New Roman" w:cs="Times New Roman"/>
          <w:sz w:val="24"/>
          <w:u w:val="single"/>
          <w:lang w:val="en-US" w:eastAsia="zh-CN"/>
        </w:rPr>
        <w:t>两天</w:t>
      </w:r>
      <w:r>
        <w:rPr>
          <w:rFonts w:hint="default" w:ascii="Times New Roman" w:hAnsi="Times New Roman" w:cs="Times New Roman"/>
          <w:sz w:val="24"/>
          <w:u w:val="single"/>
          <w:lang w:val="en-US" w:eastAsia="zh-CN"/>
        </w:rPr>
        <w:t>天的屠宰量</w:t>
      </w:r>
      <w:r>
        <w:rPr>
          <w:rFonts w:hint="eastAsia" w:ascii="Times New Roman" w:hAnsi="Times New Roman" w:cs="Times New Roman"/>
          <w:sz w:val="24"/>
          <w:u w:val="single"/>
          <w:lang w:val="en-US" w:eastAsia="zh-CN"/>
        </w:rPr>
        <w:t>938</w:t>
      </w:r>
      <w:r>
        <w:rPr>
          <w:rFonts w:hint="default" w:ascii="Times New Roman" w:hAnsi="Times New Roman" w:cs="Times New Roman"/>
          <w:sz w:val="24"/>
          <w:u w:val="single"/>
          <w:lang w:val="en-US" w:eastAsia="zh-CN"/>
        </w:rPr>
        <w:t>只羊和</w:t>
      </w:r>
      <w:r>
        <w:rPr>
          <w:rFonts w:hint="eastAsia" w:ascii="Times New Roman" w:hAnsi="Times New Roman" w:cs="Times New Roman"/>
          <w:sz w:val="24"/>
          <w:u w:val="single"/>
          <w:lang w:val="en-US" w:eastAsia="zh-CN"/>
        </w:rPr>
        <w:t>64</w:t>
      </w:r>
      <w:r>
        <w:rPr>
          <w:rFonts w:hint="default" w:ascii="Times New Roman" w:hAnsi="Times New Roman" w:cs="Times New Roman"/>
          <w:sz w:val="24"/>
          <w:u w:val="single"/>
          <w:lang w:val="en-US" w:eastAsia="zh-CN"/>
        </w:rPr>
        <w:t>头牛，折算为</w:t>
      </w:r>
      <w:r>
        <w:rPr>
          <w:rFonts w:hint="eastAsia" w:ascii="Times New Roman" w:hAnsi="Times New Roman" w:cs="Times New Roman"/>
          <w:sz w:val="24"/>
          <w:u w:val="single"/>
          <w:lang w:val="en-US" w:eastAsia="zh-CN"/>
        </w:rPr>
        <w:t>633</w:t>
      </w:r>
      <w:r>
        <w:rPr>
          <w:rFonts w:hint="default" w:ascii="Times New Roman" w:hAnsi="Times New Roman" w:cs="Times New Roman"/>
          <w:sz w:val="24"/>
          <w:u w:val="single"/>
          <w:lang w:val="en-US" w:eastAsia="zh-CN"/>
        </w:rPr>
        <w:t>头猪。因此，经过计算可得待宰圈恶臭污染物产生源强分别为NH</w:t>
      </w:r>
      <w:r>
        <w:rPr>
          <w:rFonts w:hint="default" w:ascii="Times New Roman" w:hAnsi="Times New Roman" w:cs="Times New Roman"/>
          <w:sz w:val="24"/>
          <w:u w:val="single"/>
          <w:vertAlign w:val="subscript"/>
          <w:lang w:val="en-US" w:eastAsia="zh-CN"/>
        </w:rPr>
        <w:t>3</w:t>
      </w:r>
      <w:r>
        <w:rPr>
          <w:rFonts w:hint="default" w:ascii="Times New Roman" w:hAnsi="Times New Roman" w:cs="Times New Roman"/>
          <w:sz w:val="24"/>
          <w:u w:val="single"/>
          <w:lang w:val="en-US" w:eastAsia="zh-CN"/>
        </w:rPr>
        <w:t>：</w:t>
      </w:r>
      <w:r>
        <w:rPr>
          <w:rFonts w:hint="eastAsia" w:ascii="Times New Roman" w:hAnsi="Times New Roman" w:cs="Times New Roman"/>
          <w:sz w:val="24"/>
          <w:u w:val="single"/>
          <w:lang w:val="en-US" w:eastAsia="zh-CN"/>
        </w:rPr>
        <w:t>3.576</w:t>
      </w:r>
      <w:r>
        <w:rPr>
          <w:rFonts w:hint="default" w:ascii="Times New Roman" w:hAnsi="Times New Roman" w:cs="Times New Roman"/>
          <w:sz w:val="24"/>
          <w:u w:val="single"/>
          <w:lang w:val="en-US" w:eastAsia="zh-CN"/>
        </w:rPr>
        <w:t>kg/d，</w:t>
      </w:r>
      <w:r>
        <w:rPr>
          <w:rFonts w:hint="eastAsia" w:ascii="Times New Roman" w:hAnsi="Times New Roman" w:cs="Times New Roman"/>
          <w:sz w:val="24"/>
          <w:u w:val="single"/>
          <w:lang w:val="en-US" w:eastAsia="zh-CN"/>
        </w:rPr>
        <w:t>1.14</w:t>
      </w:r>
      <w:r>
        <w:rPr>
          <w:rFonts w:hint="default" w:ascii="Times New Roman" w:hAnsi="Times New Roman" w:cs="Times New Roman"/>
          <w:sz w:val="24"/>
          <w:u w:val="single"/>
          <w:lang w:val="en-US" w:eastAsia="zh-CN"/>
        </w:rPr>
        <w:t>t/a；H</w:t>
      </w:r>
      <w:r>
        <w:rPr>
          <w:rFonts w:hint="default" w:ascii="Times New Roman" w:hAnsi="Times New Roman" w:cs="Times New Roman"/>
          <w:sz w:val="24"/>
          <w:u w:val="single"/>
          <w:vertAlign w:val="subscript"/>
          <w:lang w:val="en-US" w:eastAsia="zh-CN"/>
        </w:rPr>
        <w:t>2</w:t>
      </w:r>
      <w:r>
        <w:rPr>
          <w:rFonts w:hint="default" w:ascii="Times New Roman" w:hAnsi="Times New Roman" w:cs="Times New Roman"/>
          <w:sz w:val="24"/>
          <w:u w:val="single"/>
          <w:lang w:val="en-US" w:eastAsia="zh-CN"/>
        </w:rPr>
        <w:t>S：0.</w:t>
      </w:r>
      <w:r>
        <w:rPr>
          <w:rFonts w:hint="eastAsia" w:ascii="Times New Roman" w:hAnsi="Times New Roman" w:cs="Times New Roman"/>
          <w:sz w:val="24"/>
          <w:u w:val="single"/>
          <w:lang w:val="en-US" w:eastAsia="zh-CN"/>
        </w:rPr>
        <w:t>316</w:t>
      </w:r>
      <w:r>
        <w:rPr>
          <w:rFonts w:hint="default" w:ascii="Times New Roman" w:hAnsi="Times New Roman" w:cs="Times New Roman"/>
          <w:sz w:val="24"/>
          <w:u w:val="single"/>
          <w:lang w:val="en-US" w:eastAsia="zh-CN"/>
        </w:rPr>
        <w:t>kg/d，0.</w:t>
      </w:r>
      <w:r>
        <w:rPr>
          <w:rFonts w:hint="eastAsia" w:ascii="Times New Roman" w:hAnsi="Times New Roman" w:cs="Times New Roman"/>
          <w:sz w:val="24"/>
          <w:u w:val="single"/>
          <w:lang w:val="en-US" w:eastAsia="zh-CN"/>
        </w:rPr>
        <w:t>101</w:t>
      </w:r>
      <w:r>
        <w:rPr>
          <w:rFonts w:hint="default" w:ascii="Times New Roman" w:hAnsi="Times New Roman" w:cs="Times New Roman"/>
          <w:sz w:val="24"/>
          <w:u w:val="singl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u w:val="single"/>
          <w:lang w:val="en-US" w:eastAsia="zh-CN"/>
        </w:rPr>
      </w:pPr>
      <w:r>
        <w:rPr>
          <w:rFonts w:hint="eastAsia" w:ascii="Times New Roman" w:hAnsi="Times New Roman" w:cs="Times New Roman"/>
          <w:sz w:val="24"/>
          <w:u w:val="single"/>
          <w:lang w:val="en-US" w:eastAsia="zh-CN"/>
        </w:rPr>
        <w:t>b、污染控制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u w:val="single"/>
          <w:lang w:val="en-US" w:eastAsia="zh-CN"/>
        </w:rPr>
      </w:pPr>
      <w:r>
        <w:rPr>
          <w:rFonts w:hint="default" w:ascii="Times New Roman" w:hAnsi="Times New Roman" w:cs="Times New Roman"/>
          <w:sz w:val="24"/>
          <w:u w:val="single"/>
          <w:lang w:val="en-US" w:eastAsia="zh-CN"/>
        </w:rPr>
        <w:t>Ⅰ</w:t>
      </w:r>
      <w:r>
        <w:rPr>
          <w:rFonts w:hint="eastAsia" w:ascii="Times New Roman" w:hAnsi="Times New Roman" w:cs="Times New Roman"/>
          <w:sz w:val="24"/>
          <w:u w:val="single"/>
          <w:lang w:val="en-US" w:eastAsia="zh-CN"/>
        </w:rPr>
        <w:t>）生物除臭剂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u w:val="single"/>
          <w:lang w:val="en-US" w:eastAsia="zh-CN"/>
        </w:rPr>
      </w:pPr>
      <w:r>
        <w:rPr>
          <w:rFonts w:hint="eastAsia" w:ascii="Times New Roman" w:hAnsi="Times New Roman" w:cs="Times New Roman"/>
          <w:sz w:val="24"/>
          <w:u w:val="single"/>
          <w:lang w:val="en-US" w:eastAsia="zh-CN"/>
        </w:rPr>
        <w:t>参照</w:t>
      </w:r>
      <w:r>
        <w:rPr>
          <w:rFonts w:hint="default" w:ascii="Times New Roman" w:hAnsi="Times New Roman" w:cs="Times New Roman"/>
          <w:sz w:val="24"/>
          <w:u w:val="single"/>
          <w:lang w:val="en-US" w:eastAsia="zh-CN"/>
        </w:rPr>
        <w:t>《安定区牛羊屠宰加工生产线建设项目（香泉屠宰加工线工程）环境影响报告书》（2023年9月18日批复），将除臭剂放置在底部透气的扁平铁丝盘中，悬挂于畜舍上方进行除臭试验，结果表明猪舍内NH</w:t>
      </w:r>
      <w:r>
        <w:rPr>
          <w:rFonts w:hint="default" w:ascii="Times New Roman" w:hAnsi="Times New Roman" w:cs="Times New Roman"/>
          <w:sz w:val="24"/>
          <w:u w:val="single"/>
          <w:vertAlign w:val="subscript"/>
          <w:lang w:val="en-US" w:eastAsia="zh-CN"/>
        </w:rPr>
        <w:t>3</w:t>
      </w:r>
      <w:r>
        <w:rPr>
          <w:rFonts w:hint="default" w:ascii="Times New Roman" w:hAnsi="Times New Roman" w:cs="Times New Roman"/>
          <w:sz w:val="24"/>
          <w:u w:val="single"/>
          <w:lang w:val="en-US" w:eastAsia="zh-CN"/>
        </w:rPr>
        <w:t>、H</w:t>
      </w:r>
      <w:r>
        <w:rPr>
          <w:rFonts w:hint="default" w:ascii="Times New Roman" w:hAnsi="Times New Roman" w:cs="Times New Roman"/>
          <w:sz w:val="24"/>
          <w:u w:val="single"/>
          <w:vertAlign w:val="subscript"/>
          <w:lang w:val="en-US" w:eastAsia="zh-CN"/>
        </w:rPr>
        <w:t>2</w:t>
      </w:r>
      <w:r>
        <w:rPr>
          <w:rFonts w:hint="default" w:ascii="Times New Roman" w:hAnsi="Times New Roman" w:cs="Times New Roman"/>
          <w:sz w:val="24"/>
          <w:u w:val="single"/>
          <w:lang w:val="en-US" w:eastAsia="zh-CN"/>
        </w:rPr>
        <w:t>S和恶臭浓度分别降低了78.4%、66.7%和83.3%；同时根据《污水处理厂利用天然植物提取液进行分散除臭治理》（石峰、顾玉祥，上海建设科技，2006年，第2期），采用植物提取液进行分散除臭，空间除臭效率可达60%~90%。根据以上相关文献研究，使用除臭剂可以减少恶臭气体的排放，本项目在待宰间配合喷</w:t>
      </w:r>
      <w:r>
        <w:rPr>
          <w:rFonts w:hint="eastAsia" w:ascii="Times New Roman" w:hAnsi="Times New Roman" w:cs="Times New Roman"/>
          <w:sz w:val="24"/>
          <w:u w:val="single"/>
          <w:lang w:val="en-US" w:eastAsia="zh-CN"/>
        </w:rPr>
        <w:t>洒</w:t>
      </w:r>
      <w:r>
        <w:rPr>
          <w:rFonts w:hint="default" w:ascii="Times New Roman" w:hAnsi="Times New Roman" w:cs="Times New Roman"/>
          <w:sz w:val="24"/>
          <w:u w:val="single"/>
          <w:lang w:val="en-US" w:eastAsia="zh-CN"/>
        </w:rPr>
        <w:t>除臭剂，对恶臭气体的除臭效率取70%进行计算，从而估算出待宰车间NH</w:t>
      </w:r>
      <w:r>
        <w:rPr>
          <w:rFonts w:hint="default" w:ascii="Times New Roman" w:hAnsi="Times New Roman" w:cs="Times New Roman"/>
          <w:sz w:val="24"/>
          <w:u w:val="single"/>
          <w:vertAlign w:val="subscript"/>
          <w:lang w:val="en-US" w:eastAsia="zh-CN"/>
        </w:rPr>
        <w:t>3</w:t>
      </w:r>
      <w:r>
        <w:rPr>
          <w:rFonts w:hint="default" w:ascii="Times New Roman" w:hAnsi="Times New Roman" w:cs="Times New Roman"/>
          <w:sz w:val="24"/>
          <w:u w:val="single"/>
          <w:lang w:val="en-US" w:eastAsia="zh-CN"/>
        </w:rPr>
        <w:t>、H</w:t>
      </w:r>
      <w:r>
        <w:rPr>
          <w:rFonts w:hint="default" w:ascii="Times New Roman" w:hAnsi="Times New Roman" w:cs="Times New Roman"/>
          <w:sz w:val="24"/>
          <w:u w:val="single"/>
          <w:vertAlign w:val="subscript"/>
          <w:lang w:val="en-US" w:eastAsia="zh-CN"/>
        </w:rPr>
        <w:t>2</w:t>
      </w:r>
      <w:r>
        <w:rPr>
          <w:rFonts w:hint="default" w:ascii="Times New Roman" w:hAnsi="Times New Roman" w:cs="Times New Roman"/>
          <w:sz w:val="24"/>
          <w:u w:val="single"/>
          <w:lang w:val="en-US" w:eastAsia="zh-CN"/>
        </w:rPr>
        <w:t>S的排</w:t>
      </w:r>
      <w:r>
        <w:rPr>
          <w:rFonts w:hint="eastAsia" w:ascii="Times New Roman" w:hAnsi="Times New Roman" w:cs="Times New Roman"/>
          <w:sz w:val="24"/>
          <w:u w:val="single"/>
          <w:lang w:val="en-US" w:eastAsia="zh-CN"/>
        </w:rPr>
        <w:t>源强</w:t>
      </w:r>
      <w:r>
        <w:rPr>
          <w:rFonts w:hint="default" w:ascii="Times New Roman" w:hAnsi="Times New Roman" w:cs="Times New Roman"/>
          <w:sz w:val="24"/>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u w:val="single"/>
          <w:lang w:val="en-US" w:eastAsia="zh-CN"/>
        </w:rPr>
      </w:pPr>
      <w:r>
        <w:rPr>
          <w:rFonts w:hint="default" w:ascii="Times New Roman" w:hAnsi="Times New Roman" w:cs="Times New Roman"/>
          <w:sz w:val="24"/>
          <w:u w:val="single"/>
          <w:lang w:val="en-US" w:eastAsia="zh-CN"/>
        </w:rPr>
        <w:t>Ⅱ</w:t>
      </w:r>
      <w:r>
        <w:rPr>
          <w:rFonts w:hint="eastAsia" w:ascii="Times New Roman" w:hAnsi="Times New Roman" w:cs="Times New Roman"/>
          <w:sz w:val="24"/>
          <w:u w:val="single"/>
          <w:lang w:val="en-US" w:eastAsia="zh-CN"/>
        </w:rPr>
        <w:t>）负压收集集中处理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sz w:val="24"/>
          <w:u w:val="single"/>
          <w:lang w:eastAsia="zh-CN"/>
        </w:rPr>
      </w:pPr>
      <w:r>
        <w:rPr>
          <w:rFonts w:hint="eastAsia" w:cs="Times New Roman"/>
          <w:sz w:val="24"/>
          <w:u w:val="single"/>
          <w:lang w:val="en-US" w:eastAsia="zh-CN"/>
        </w:rPr>
        <w:t>为降低待宰间恶臭，项目待宰间设计为全封闭式。其中待宰间天花板全封闭，不设置换气天窗，四周墙壁为全封闭，安装固定密闭式采光玻璃，保证待宰间的明亮、通透。待宰间安装机械通风系统，保证待宰间良好的通风。在车间设置若干个抽风点，各个吸风口由支管汇总至车间外引风机，使车间处于负压状态，减少待宰间恶臭散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u w:val="single"/>
          <w:lang w:eastAsia="zh-CN"/>
        </w:rPr>
      </w:pPr>
      <w:r>
        <w:rPr>
          <w:rFonts w:hint="default" w:ascii="Times New Roman" w:hAnsi="Times New Roman" w:cs="Times New Roman"/>
          <w:sz w:val="24"/>
          <w:u w:val="single"/>
          <w:lang w:val="en-US" w:eastAsia="zh-CN"/>
        </w:rPr>
        <w:t>本项目待宰间面积</w:t>
      </w:r>
      <w:r>
        <w:rPr>
          <w:rFonts w:hint="eastAsia" w:ascii="Times New Roman" w:hAnsi="Times New Roman" w:cs="Times New Roman"/>
          <w:sz w:val="24"/>
          <w:u w:val="single"/>
          <w:lang w:val="en-US" w:eastAsia="zh-CN"/>
        </w:rPr>
        <w:t>9</w:t>
      </w:r>
      <w:r>
        <w:rPr>
          <w:rFonts w:hint="default" w:ascii="Times New Roman" w:hAnsi="Times New Roman" w:cs="Times New Roman"/>
          <w:sz w:val="24"/>
          <w:u w:val="single"/>
          <w:lang w:val="en-US" w:eastAsia="zh-CN"/>
        </w:rPr>
        <w:t>00m</w:t>
      </w:r>
      <w:r>
        <w:rPr>
          <w:rFonts w:hint="default" w:ascii="Times New Roman" w:hAnsi="Times New Roman" w:cs="Times New Roman"/>
          <w:sz w:val="24"/>
          <w:u w:val="single"/>
          <w:vertAlign w:val="superscript"/>
          <w:lang w:val="en-US" w:eastAsia="zh-CN"/>
        </w:rPr>
        <w:t>2</w:t>
      </w:r>
      <w:r>
        <w:rPr>
          <w:rFonts w:hint="default" w:ascii="Times New Roman" w:hAnsi="Times New Roman" w:cs="Times New Roman"/>
          <w:sz w:val="24"/>
          <w:u w:val="single"/>
          <w:lang w:val="en-US" w:eastAsia="zh-CN"/>
        </w:rPr>
        <w:t>，车间有效高度5m，排风量按</w:t>
      </w:r>
      <w:r>
        <w:rPr>
          <w:rFonts w:hint="eastAsia" w:ascii="Times New Roman" w:hAnsi="Times New Roman" w:cs="Times New Roman"/>
          <w:sz w:val="24"/>
          <w:u w:val="single"/>
          <w:lang w:val="en-US" w:eastAsia="zh-CN"/>
        </w:rPr>
        <w:t>2</w:t>
      </w:r>
      <w:r>
        <w:rPr>
          <w:rFonts w:hint="default" w:ascii="Times New Roman" w:hAnsi="Times New Roman" w:cs="Times New Roman"/>
          <w:sz w:val="24"/>
          <w:u w:val="single"/>
          <w:lang w:val="en-US" w:eastAsia="zh-CN"/>
        </w:rPr>
        <w:t>次/h换气计算所得风量，经计算，待宰车间每小时风量不低于为</w:t>
      </w:r>
      <w:r>
        <w:rPr>
          <w:rFonts w:hint="eastAsia" w:ascii="Times New Roman" w:hAnsi="Times New Roman" w:cs="Times New Roman"/>
          <w:sz w:val="24"/>
          <w:u w:val="single"/>
          <w:lang w:val="en-US" w:eastAsia="zh-CN"/>
        </w:rPr>
        <w:t>9</w:t>
      </w:r>
      <w:r>
        <w:rPr>
          <w:rFonts w:hint="default" w:ascii="Times New Roman" w:hAnsi="Times New Roman" w:cs="Times New Roman"/>
          <w:sz w:val="24"/>
          <w:u w:val="single"/>
          <w:lang w:val="en-US" w:eastAsia="zh-CN"/>
        </w:rPr>
        <w:t>000m</w:t>
      </w:r>
      <w:r>
        <w:rPr>
          <w:rFonts w:hint="default" w:ascii="Times New Roman" w:hAnsi="Times New Roman" w:cs="Times New Roman"/>
          <w:sz w:val="24"/>
          <w:u w:val="single"/>
          <w:vertAlign w:val="superscript"/>
          <w:lang w:val="en-US" w:eastAsia="zh-CN"/>
        </w:rPr>
        <w:t>3</w:t>
      </w:r>
      <w:r>
        <w:rPr>
          <w:rFonts w:hint="default" w:ascii="Times New Roman" w:hAnsi="Times New Roman" w:cs="Times New Roman"/>
          <w:sz w:val="24"/>
          <w:u w:val="single"/>
          <w:lang w:val="en-US" w:eastAsia="zh-CN"/>
        </w:rPr>
        <w:t>/h，为确保项目待宰车间恶臭污染物的有效收集，拟采取1台风机对待宰车间进行负压抽风，经负压抽风抽出的废气经“喷淋塔+生物过滤除臭系统”处理后经15m高排气筒（</w:t>
      </w:r>
      <w:r>
        <w:rPr>
          <w:rFonts w:hint="eastAsia" w:ascii="Times New Roman" w:hAnsi="Times New Roman" w:cs="Times New Roman"/>
          <w:sz w:val="24"/>
          <w:u w:val="single"/>
          <w:lang w:val="en-US" w:eastAsia="zh-CN"/>
        </w:rPr>
        <w:t>DA001</w:t>
      </w:r>
      <w:r>
        <w:rPr>
          <w:rFonts w:hint="default" w:ascii="Times New Roman" w:hAnsi="Times New Roman" w:cs="Times New Roman"/>
          <w:sz w:val="24"/>
          <w:u w:val="single"/>
          <w:lang w:val="en-US" w:eastAsia="zh-CN"/>
        </w:rPr>
        <w:t>）进行排放。</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eastAsia" w:ascii="Times New Roman" w:hAnsi="Times New Roman" w:cs="Times New Roman"/>
          <w:sz w:val="24"/>
          <w:u w:val="single"/>
          <w:lang w:val="en-US" w:eastAsia="zh-CN"/>
        </w:rPr>
      </w:pPr>
      <w:r>
        <w:rPr>
          <w:rFonts w:hint="eastAsia" w:ascii="Times New Roman" w:hAnsi="Times New Roman" w:cs="Times New Roman"/>
          <w:sz w:val="24"/>
          <w:u w:val="single"/>
          <w:lang w:val="en-US" w:eastAsia="zh-CN"/>
        </w:rPr>
        <w:t>根据《排污许可证申请与核发技术规范农副食品加工工业—屠宰及肉类加工工业》（HJ860.3-2018）中表3屠宰废气污染治理设施主要为喷淋、生物除臭、活性炭吸附、UV高效光解除臭等。本项目待宰间废气治理设施选用“喷淋塔+生物过滤除臭系统”，符合排污许可申请与核发技术规范的要求。</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cs="Times New Roman"/>
          <w:sz w:val="24"/>
          <w:u w:val="single"/>
          <w:lang w:val="en-US" w:eastAsia="zh-CN"/>
        </w:rPr>
      </w:pPr>
      <w:r>
        <w:rPr>
          <w:rFonts w:hint="default" w:ascii="Times New Roman" w:hAnsi="Times New Roman" w:cs="Times New Roman"/>
          <w:sz w:val="24"/>
          <w:u w:val="single"/>
          <w:lang w:val="en-US" w:eastAsia="zh-CN"/>
        </w:rPr>
        <w:t>待宰间全封闭，通过设置集气系统收集恶臭气体，全封闭加上机械通风的集气设施收集效率为90%，其余</w:t>
      </w:r>
      <w:r>
        <w:rPr>
          <w:rFonts w:hint="eastAsia" w:ascii="Times New Roman" w:hAnsi="Times New Roman" w:cs="Times New Roman"/>
          <w:sz w:val="24"/>
          <w:u w:val="single"/>
          <w:lang w:val="en-US" w:eastAsia="zh-CN"/>
        </w:rPr>
        <w:t>10%</w:t>
      </w:r>
      <w:r>
        <w:rPr>
          <w:rFonts w:hint="default" w:ascii="Times New Roman" w:hAnsi="Times New Roman" w:cs="Times New Roman"/>
          <w:sz w:val="24"/>
          <w:u w:val="single"/>
          <w:lang w:val="en-US" w:eastAsia="zh-CN"/>
        </w:rPr>
        <w:t>为无组织排放。经收集的废气采用引风机引至1套“喷淋塔+生物过滤除臭系统”进行处理，处理效率为90%，处理后的废气经过1根15m高排气筒</w:t>
      </w:r>
      <w:r>
        <w:rPr>
          <w:rFonts w:hint="eastAsia" w:ascii="Times New Roman" w:hAnsi="Times New Roman" w:cs="Times New Roman"/>
          <w:sz w:val="24"/>
          <w:u w:val="single"/>
          <w:lang w:val="en-US" w:eastAsia="zh-CN"/>
        </w:rPr>
        <w:t>（DA001）</w:t>
      </w:r>
      <w:r>
        <w:rPr>
          <w:rFonts w:hint="default" w:ascii="Times New Roman" w:hAnsi="Times New Roman" w:cs="Times New Roman"/>
          <w:sz w:val="24"/>
          <w:u w:val="single"/>
          <w:lang w:val="en-US" w:eastAsia="zh-CN"/>
        </w:rPr>
        <w:t>排放。</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cs="Times New Roman"/>
          <w:sz w:val="24"/>
          <w:u w:val="single"/>
          <w:lang w:val="en-US" w:eastAsia="zh-CN"/>
        </w:rPr>
      </w:pPr>
      <w:r>
        <w:rPr>
          <w:rFonts w:hint="eastAsia" w:ascii="Times New Roman" w:hAnsi="Times New Roman" w:cs="Times New Roman"/>
          <w:sz w:val="24"/>
          <w:u w:val="single"/>
          <w:lang w:val="en-US" w:eastAsia="zh-CN"/>
        </w:rPr>
        <w:t>c、产生及排放情况</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cs="Times New Roman"/>
          <w:sz w:val="24"/>
          <w:u w:val="single"/>
          <w:lang w:val="en-US" w:eastAsia="zh-CN"/>
        </w:rPr>
      </w:pPr>
      <w:r>
        <w:rPr>
          <w:rFonts w:hint="eastAsia" w:ascii="Times New Roman" w:hAnsi="Times New Roman" w:cs="Times New Roman"/>
          <w:sz w:val="24"/>
          <w:u w:val="single"/>
          <w:lang w:val="en-US" w:eastAsia="zh-CN"/>
        </w:rPr>
        <w:t>待宰间恶臭气体产生及排放情况间表3-13。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4"/>
          <w:u w:val="single"/>
          <w:lang w:eastAsia="zh-CN"/>
        </w:rPr>
      </w:pPr>
      <w:r>
        <w:rPr>
          <w:rFonts w:hint="eastAsia" w:ascii="Times New Roman" w:hAnsi="Times New Roman" w:cs="Times New Roman"/>
          <w:b/>
          <w:bCs/>
          <w:sz w:val="24"/>
          <w:u w:val="single"/>
          <w:lang w:val="en-US" w:eastAsia="zh-CN"/>
        </w:rPr>
        <w:t>表3-13    项目待宰间恶臭污染物产生源强一览表</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34"/>
        <w:gridCol w:w="2054"/>
        <w:gridCol w:w="1562"/>
        <w:gridCol w:w="1562"/>
        <w:gridCol w:w="1562"/>
        <w:gridCol w:w="1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8"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排放单元</w:t>
            </w:r>
          </w:p>
        </w:tc>
        <w:tc>
          <w:tcPr>
            <w:tcW w:w="20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项目</w:t>
            </w:r>
          </w:p>
        </w:tc>
        <w:tc>
          <w:tcPr>
            <w:tcW w:w="312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p>
        </w:tc>
        <w:tc>
          <w:tcPr>
            <w:tcW w:w="312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8"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0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速率</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数量</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eastAsia="zh-CN"/>
              </w:rPr>
              <w:t>速率</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待宰间</w:t>
            </w:r>
          </w:p>
        </w:tc>
        <w:tc>
          <w:tcPr>
            <w:tcW w:w="5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产生</w:t>
            </w: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default" w:ascii="Times New Roman" w:hAnsi="Times New Roman" w:cs="Times New Roman"/>
                <w:sz w:val="21"/>
                <w:szCs w:val="21"/>
                <w:u w:val="single"/>
                <w:vertAlign w:val="baseline"/>
                <w:lang w:eastAsia="zh-CN"/>
              </w:rPr>
              <w:t>初始源强</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3.5716</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1.14</w:t>
            </w:r>
            <w:r>
              <w:rPr>
                <w:rFonts w:hint="default" w:ascii="Times New Roman" w:hAnsi="Times New Roman" w:cs="Times New Roman"/>
                <w:sz w:val="21"/>
                <w:szCs w:val="21"/>
                <w:u w:val="singl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0.316</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0.101</w:t>
            </w:r>
            <w:r>
              <w:rPr>
                <w:rFonts w:hint="default" w:ascii="Times New Roman" w:hAnsi="Times New Roman" w:cs="Times New Roman"/>
                <w:sz w:val="21"/>
                <w:szCs w:val="21"/>
                <w:u w:val="singl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控制措施及去除率</w:t>
            </w:r>
          </w:p>
        </w:tc>
        <w:tc>
          <w:tcPr>
            <w:tcW w:w="624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微生物除臭剂，70%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最终</w:t>
            </w:r>
            <w:r>
              <w:rPr>
                <w:rFonts w:hint="default" w:ascii="Times New Roman" w:hAnsi="Times New Roman" w:cs="Times New Roman"/>
                <w:sz w:val="21"/>
                <w:szCs w:val="21"/>
                <w:u w:val="single"/>
                <w:vertAlign w:val="baseline"/>
                <w:lang w:eastAsia="zh-CN"/>
              </w:rPr>
              <w:t>源强</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1.07148</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lang w:val="en-US" w:eastAsia="zh-CN"/>
              </w:rPr>
              <w:t>0.342</w:t>
            </w:r>
            <w:r>
              <w:rPr>
                <w:rFonts w:hint="default" w:ascii="Times New Roman" w:hAnsi="Times New Roman" w:cs="Times New Roman"/>
                <w:sz w:val="21"/>
                <w:szCs w:val="21"/>
                <w:u w:val="singl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0.0948</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0.0303</w:t>
            </w:r>
            <w:r>
              <w:rPr>
                <w:rFonts w:hint="default" w:ascii="Times New Roman" w:hAnsi="Times New Roman" w:cs="Times New Roman"/>
                <w:sz w:val="21"/>
                <w:szCs w:val="21"/>
                <w:u w:val="singl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收集效率</w:t>
            </w:r>
          </w:p>
        </w:tc>
        <w:tc>
          <w:tcPr>
            <w:tcW w:w="624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有组织</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0.964332</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0.3078</w:t>
            </w:r>
            <w:r>
              <w:rPr>
                <w:rFonts w:hint="default" w:ascii="Times New Roman" w:hAnsi="Times New Roman" w:cs="Times New Roman"/>
                <w:sz w:val="21"/>
                <w:szCs w:val="21"/>
                <w:u w:val="singl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lang w:val="en-US" w:eastAsia="zh-CN"/>
              </w:rPr>
              <w:t>0.08532</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lang w:val="en-US" w:eastAsia="zh-CN"/>
              </w:rPr>
              <w:t>0.02727</w:t>
            </w:r>
            <w:r>
              <w:rPr>
                <w:rFonts w:hint="default" w:ascii="Times New Roman" w:hAnsi="Times New Roman" w:cs="Times New Roman"/>
                <w:sz w:val="21"/>
                <w:szCs w:val="21"/>
                <w:u w:val="singl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无组织</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0.107148</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0.0342</w:t>
            </w:r>
            <w:r>
              <w:rPr>
                <w:rFonts w:hint="default" w:ascii="Times New Roman" w:hAnsi="Times New Roman" w:cs="Times New Roman"/>
                <w:sz w:val="21"/>
                <w:szCs w:val="21"/>
                <w:u w:val="singl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0.00948</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0.00303</w:t>
            </w:r>
            <w:r>
              <w:rPr>
                <w:rFonts w:hint="default" w:ascii="Times New Roman" w:hAnsi="Times New Roman" w:cs="Times New Roman"/>
                <w:sz w:val="21"/>
                <w:szCs w:val="21"/>
                <w:u w:val="singl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5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排放</w:t>
            </w: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控制措施及去除率</w:t>
            </w:r>
          </w:p>
        </w:tc>
        <w:tc>
          <w:tcPr>
            <w:tcW w:w="624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集中收集+喷淋塔+生物过滤除臭系统，90%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eastAsia="zh-CN"/>
              </w:rPr>
              <w:t>有组织（</w:t>
            </w:r>
            <w:r>
              <w:rPr>
                <w:rFonts w:hint="eastAsia" w:ascii="Times New Roman" w:hAnsi="Times New Roman" w:cs="Times New Roman"/>
                <w:sz w:val="21"/>
                <w:szCs w:val="21"/>
                <w:u w:val="single"/>
                <w:vertAlign w:val="baseline"/>
                <w:lang w:val="en-US" w:eastAsia="zh-CN"/>
              </w:rPr>
              <w:t>DA001</w:t>
            </w:r>
            <w:r>
              <w:rPr>
                <w:rFonts w:hint="eastAsia" w:ascii="Times New Roman" w:hAnsi="Times New Roman" w:cs="Times New Roman"/>
                <w:sz w:val="21"/>
                <w:szCs w:val="21"/>
                <w:u w:val="single"/>
                <w:vertAlign w:val="baseline"/>
                <w:lang w:eastAsia="zh-CN"/>
              </w:rPr>
              <w:t>）</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0.096433</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0.03078</w:t>
            </w:r>
            <w:r>
              <w:rPr>
                <w:rFonts w:hint="default" w:ascii="Times New Roman" w:hAnsi="Times New Roman" w:cs="Times New Roman"/>
                <w:sz w:val="21"/>
                <w:szCs w:val="21"/>
                <w:u w:val="singl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lang w:val="en-US" w:eastAsia="zh-CN"/>
              </w:rPr>
              <w:t>0.008532</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0.002727</w:t>
            </w:r>
            <w:r>
              <w:rPr>
                <w:rFonts w:hint="default" w:ascii="Times New Roman" w:hAnsi="Times New Roman" w:cs="Times New Roman"/>
                <w:sz w:val="21"/>
                <w:szCs w:val="21"/>
                <w:u w:val="singl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5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0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eastAsia="zh-CN"/>
              </w:rPr>
              <w:t>无组织</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0.107148</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lang w:val="en-US" w:eastAsia="zh-CN" w:bidi="ar-SA"/>
              </w:rPr>
            </w:pPr>
            <w:r>
              <w:rPr>
                <w:rFonts w:hint="eastAsia" w:ascii="Times New Roman" w:hAnsi="Times New Roman" w:cs="Times New Roman"/>
                <w:sz w:val="21"/>
                <w:szCs w:val="21"/>
                <w:u w:val="single"/>
                <w:lang w:val="en-US" w:eastAsia="zh-CN"/>
              </w:rPr>
              <w:t>0.0342</w:t>
            </w:r>
            <w:r>
              <w:rPr>
                <w:rFonts w:hint="default" w:ascii="Times New Roman" w:hAnsi="Times New Roman" w:cs="Times New Roman"/>
                <w:sz w:val="21"/>
                <w:szCs w:val="21"/>
                <w:u w:val="singl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0.00948</w:t>
            </w:r>
            <w:r>
              <w:rPr>
                <w:rFonts w:hint="default" w:ascii="Times New Roman" w:hAnsi="Times New Roman" w:cs="Times New Roman"/>
                <w:sz w:val="21"/>
                <w:szCs w:val="21"/>
                <w:u w:val="single"/>
                <w:lang w:val="en-US" w:eastAsia="zh-CN"/>
              </w:rPr>
              <w:t>kg/d</w:t>
            </w:r>
          </w:p>
        </w:tc>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0.00303</w:t>
            </w:r>
            <w:r>
              <w:rPr>
                <w:rFonts w:hint="default" w:ascii="Times New Roman" w:hAnsi="Times New Roman" w:cs="Times New Roman"/>
                <w:sz w:val="21"/>
                <w:szCs w:val="21"/>
                <w:u w:val="single"/>
                <w:lang w:val="en-US" w:eastAsia="zh-CN"/>
              </w:rPr>
              <w:t>t/a</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4"/>
          <w:u w:val="singl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4"/>
          <w:u w:val="single"/>
          <w:lang w:eastAsia="zh-CN"/>
        </w:rPr>
      </w:pPr>
      <w:r>
        <w:rPr>
          <w:rFonts w:hint="default" w:ascii="Times New Roman" w:hAnsi="Times New Roman" w:cs="Times New Roman"/>
          <w:b/>
          <w:bCs/>
          <w:sz w:val="24"/>
          <w:u w:val="single"/>
          <w:lang w:val="en-US" w:eastAsia="zh-CN"/>
        </w:rPr>
        <w:t>表</w:t>
      </w:r>
      <w:r>
        <w:rPr>
          <w:rFonts w:hint="eastAsia" w:ascii="Times New Roman" w:hAnsi="Times New Roman" w:cs="Times New Roman"/>
          <w:b/>
          <w:bCs/>
          <w:sz w:val="24"/>
          <w:u w:val="single"/>
          <w:lang w:val="en-US" w:eastAsia="zh-CN"/>
        </w:rPr>
        <w:t>3</w:t>
      </w:r>
      <w:r>
        <w:rPr>
          <w:rFonts w:hint="default" w:ascii="Times New Roman" w:hAnsi="Times New Roman" w:cs="Times New Roman"/>
          <w:b/>
          <w:bCs/>
          <w:sz w:val="24"/>
          <w:u w:val="single"/>
          <w:lang w:val="en-US" w:eastAsia="zh-CN"/>
        </w:rPr>
        <w:t>-1</w:t>
      </w:r>
      <w:r>
        <w:rPr>
          <w:rFonts w:hint="eastAsia" w:ascii="Times New Roman" w:hAnsi="Times New Roman" w:cs="Times New Roman"/>
          <w:b/>
          <w:bCs/>
          <w:sz w:val="24"/>
          <w:u w:val="single"/>
          <w:lang w:val="en-US" w:eastAsia="zh-CN"/>
        </w:rPr>
        <w:t xml:space="preserve">4    </w:t>
      </w:r>
      <w:r>
        <w:rPr>
          <w:rFonts w:hint="default" w:ascii="Times New Roman" w:hAnsi="Times New Roman" w:cs="Times New Roman"/>
          <w:b/>
          <w:bCs/>
          <w:sz w:val="24"/>
          <w:u w:val="single"/>
          <w:lang w:val="en-US" w:eastAsia="zh-CN"/>
        </w:rPr>
        <w:t>项目待宰间恶臭气体排放情况</w:t>
      </w:r>
    </w:p>
    <w:tbl>
      <w:tblPr>
        <w:tblStyle w:val="21"/>
        <w:tblW w:w="936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815"/>
        <w:gridCol w:w="2070"/>
        <w:gridCol w:w="2044"/>
        <w:gridCol w:w="18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污染源</w:t>
            </w: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污染物</w:t>
            </w:r>
          </w:p>
        </w:tc>
        <w:tc>
          <w:tcPr>
            <w:tcW w:w="20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val="en-US" w:eastAsia="zh-CN"/>
              </w:rPr>
              <w:t>排放量</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排放速率</w:t>
            </w:r>
          </w:p>
        </w:tc>
        <w:tc>
          <w:tcPr>
            <w:tcW w:w="18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待宰间</w:t>
            </w: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p>
        </w:tc>
        <w:tc>
          <w:tcPr>
            <w:tcW w:w="20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0.03078t/a</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0.004018kg/h</w:t>
            </w:r>
          </w:p>
        </w:tc>
        <w:tc>
          <w:tcPr>
            <w:tcW w:w="18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有组织DA001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w:t>
            </w:r>
          </w:p>
        </w:tc>
        <w:tc>
          <w:tcPr>
            <w:tcW w:w="20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0.002727t/a</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0.000355kg/h</w:t>
            </w:r>
          </w:p>
        </w:tc>
        <w:tc>
          <w:tcPr>
            <w:tcW w:w="18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p>
        </w:tc>
        <w:tc>
          <w:tcPr>
            <w:tcW w:w="20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lang w:val="en-US" w:eastAsia="zh-CN"/>
              </w:rPr>
              <w:t>0.0342</w:t>
            </w:r>
            <w:r>
              <w:rPr>
                <w:rFonts w:hint="default" w:ascii="Times New Roman" w:hAnsi="Times New Roman" w:cs="Times New Roman"/>
                <w:sz w:val="21"/>
                <w:szCs w:val="21"/>
                <w:u w:val="single"/>
                <w:lang w:val="en-US" w:eastAsia="zh-CN"/>
              </w:rPr>
              <w:t>t/a</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0.004464kg/h</w:t>
            </w:r>
          </w:p>
        </w:tc>
        <w:tc>
          <w:tcPr>
            <w:tcW w:w="18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w:t>
            </w:r>
          </w:p>
        </w:tc>
        <w:tc>
          <w:tcPr>
            <w:tcW w:w="20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0.00303</w:t>
            </w:r>
            <w:r>
              <w:rPr>
                <w:rFonts w:hint="default" w:ascii="Times New Roman" w:hAnsi="Times New Roman" w:cs="Times New Roman"/>
                <w:sz w:val="21"/>
                <w:szCs w:val="21"/>
                <w:u w:val="single"/>
                <w:lang w:val="en-US" w:eastAsia="zh-CN"/>
              </w:rPr>
              <w:t>t/a</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napToGrid w:val="0"/>
                <w:color w:val="000000"/>
                <w:kern w:val="0"/>
                <w:sz w:val="21"/>
                <w:szCs w:val="21"/>
                <w:u w:val="single"/>
                <w:vertAlign w:val="baseline"/>
                <w:lang w:val="en-US" w:eastAsia="zh-CN" w:bidi="ar-SA"/>
              </w:rPr>
              <w:t>0.000395</w:t>
            </w:r>
            <w:r>
              <w:rPr>
                <w:rFonts w:hint="eastAsia" w:ascii="Times New Roman" w:hAnsi="Times New Roman" w:cs="Times New Roman"/>
                <w:sz w:val="21"/>
                <w:szCs w:val="21"/>
                <w:u w:val="single"/>
                <w:vertAlign w:val="baseline"/>
                <w:lang w:val="en-US" w:eastAsia="zh-CN"/>
              </w:rPr>
              <w:t>kg/h</w:t>
            </w:r>
          </w:p>
        </w:tc>
        <w:tc>
          <w:tcPr>
            <w:tcW w:w="18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val="en-US" w:eastAsia="zh-CN"/>
              </w:rPr>
            </w:pP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right="0" w:firstLine="472" w:firstLineChars="200"/>
        <w:textAlignment w:val="baseline"/>
        <w:rPr>
          <w:rFonts w:ascii="宋体" w:hAnsi="宋体" w:eastAsia="宋体" w:cs="宋体"/>
          <w:sz w:val="24"/>
          <w:szCs w:val="24"/>
        </w:rPr>
      </w:pPr>
      <w:r>
        <w:rPr>
          <w:rFonts w:ascii="宋体" w:hAnsi="宋体" w:eastAsia="宋体" w:cs="宋体"/>
          <w:spacing w:val="-2"/>
          <w:sz w:val="24"/>
          <w:szCs w:val="24"/>
        </w:rPr>
        <w:t>②屠宰车间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8" w:firstLineChars="200"/>
        <w:textAlignment w:val="baseline"/>
        <w:rPr>
          <w:rFonts w:ascii="宋体" w:hAnsi="宋体" w:eastAsia="宋体" w:cs="宋体"/>
          <w:sz w:val="24"/>
          <w:szCs w:val="24"/>
        </w:rPr>
      </w:pPr>
      <w:r>
        <w:rPr>
          <w:rFonts w:ascii="宋体" w:hAnsi="宋体" w:eastAsia="宋体" w:cs="宋体"/>
          <w:spacing w:val="2"/>
          <w:sz w:val="24"/>
          <w:szCs w:val="24"/>
        </w:rPr>
        <w:t>屠宰加工车间内许多工段使用水冲作业，因此地面上容易积水，室内空气湿度高。同时车间内室温各处相差悬殊，屠宰车间工作场所温度最高，而冷却间的温度</w:t>
      </w:r>
      <w:r>
        <w:rPr>
          <w:rFonts w:ascii="宋体" w:hAnsi="宋体" w:eastAsia="宋体" w:cs="宋体"/>
          <w:spacing w:val="1"/>
          <w:sz w:val="24"/>
          <w:szCs w:val="24"/>
        </w:rPr>
        <w:t>保持较低。由于工作场所之间又无隔墙，牲畜的血、胃内容物和粪尿</w:t>
      </w:r>
      <w:r>
        <w:rPr>
          <w:rFonts w:ascii="宋体" w:hAnsi="宋体" w:eastAsia="宋体" w:cs="宋体"/>
          <w:sz w:val="24"/>
          <w:szCs w:val="24"/>
        </w:rPr>
        <w:t>等的臭气混杂</w:t>
      </w:r>
      <w:r>
        <w:rPr>
          <w:rFonts w:ascii="宋体" w:hAnsi="宋体" w:eastAsia="宋体" w:cs="宋体"/>
          <w:spacing w:val="2"/>
          <w:sz w:val="24"/>
          <w:szCs w:val="24"/>
        </w:rPr>
        <w:t>在一起，产生刺鼻的腥臭味，并扩散至整个厂区及周围地区。如果有血、肉或脂肪</w:t>
      </w:r>
      <w:r>
        <w:rPr>
          <w:rFonts w:ascii="宋体" w:hAnsi="宋体" w:eastAsia="宋体" w:cs="宋体"/>
          <w:spacing w:val="-1"/>
          <w:sz w:val="24"/>
          <w:szCs w:val="24"/>
        </w:rPr>
        <w:t>残留而不及时处理，便会迅速腐烂，恶臭更为严重。</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评价认为恶臭气味是屠宰加工类项目大气特征污染物，也是此类项目主要的环境污染因素之一。其表现特征为无组织排放，源强难以准确计算，只能通过类比监测调查获取相对准确的源强数据。因此，评价经过收集资料，类比</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安定区牛羊屠宰加工生产线建设项目（香泉屠宰加工线工程）环境影响报告书</w:t>
      </w:r>
      <w:r>
        <w:rPr>
          <w:rFonts w:hint="eastAsia" w:ascii="Times New Roman" w:hAnsi="Times New Roman" w:eastAsia="宋体" w:cs="Times New Roman"/>
          <w:sz w:val="24"/>
          <w:szCs w:val="24"/>
          <w:lang w:eastAsia="zh-CN"/>
        </w:rPr>
        <w:t>》（定西市生态环境局安定分局，</w:t>
      </w:r>
      <w:r>
        <w:rPr>
          <w:rFonts w:hint="eastAsia" w:ascii="Times New Roman" w:hAnsi="Times New Roman" w:eastAsia="宋体" w:cs="Times New Roman"/>
          <w:sz w:val="24"/>
          <w:szCs w:val="24"/>
          <w:lang w:val="en-US" w:eastAsia="zh-CN"/>
        </w:rPr>
        <w:t>2023.09.18批复</w:t>
      </w:r>
      <w:r>
        <w:rPr>
          <w:rFonts w:hint="eastAsia" w:ascii="Times New Roman" w:hAnsi="Times New Roman" w:eastAsia="宋体" w:cs="Times New Roman"/>
          <w:sz w:val="24"/>
          <w:szCs w:val="24"/>
          <w:lang w:eastAsia="zh-CN"/>
        </w:rPr>
        <w:t>）中</w:t>
      </w:r>
      <w:r>
        <w:rPr>
          <w:rFonts w:hint="default" w:ascii="Times New Roman" w:hAnsi="Times New Roman" w:cs="Times New Roman"/>
          <w:sz w:val="24"/>
          <w:szCs w:val="24"/>
        </w:rPr>
        <w:t>的数据资料</w:t>
      </w:r>
      <w:r>
        <w:rPr>
          <w:rFonts w:hint="eastAsia" w:ascii="Times New Roman" w:hAnsi="Times New Roman" w:eastAsia="宋体" w:cs="Times New Roman"/>
          <w:sz w:val="24"/>
          <w:szCs w:val="24"/>
          <w:lang w:eastAsia="zh-CN"/>
        </w:rPr>
        <w:t>，折算本项目屠宰间恶臭污染物产生源强。具体产生情况见下表：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表</w:t>
      </w:r>
      <w:r>
        <w:rPr>
          <w:rFonts w:hint="eastAsia" w:ascii="宋体" w:hAnsi="宋体" w:eastAsia="宋体" w:cs="宋体"/>
          <w:b/>
          <w:bCs/>
          <w:sz w:val="24"/>
          <w:szCs w:val="24"/>
          <w:lang w:val="en-US" w:eastAsia="zh-CN"/>
        </w:rPr>
        <w:t xml:space="preserve">3-15  </w:t>
      </w:r>
      <w:r>
        <w:rPr>
          <w:rFonts w:hint="eastAsia" w:ascii="宋体" w:hAnsi="宋体" w:eastAsia="宋体" w:cs="宋体"/>
          <w:b/>
          <w:bCs/>
          <w:sz w:val="24"/>
          <w:szCs w:val="24"/>
          <w:lang w:eastAsia="zh-CN"/>
        </w:rPr>
        <w:t>项目屠宰间恶臭污染物产生源强一览表</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2685"/>
        <w:gridCol w:w="2340"/>
        <w:gridCol w:w="24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7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eastAsia="zh-CN"/>
              </w:rPr>
            </w:pPr>
            <w:r>
              <w:rPr>
                <w:rFonts w:hint="eastAsia" w:ascii="Times New Roman" w:hAnsi="Times New Roman" w:eastAsia="宋体" w:cs="Times New Roman"/>
                <w:sz w:val="21"/>
                <w:szCs w:val="21"/>
                <w:u w:val="single"/>
                <w:vertAlign w:val="baseline"/>
                <w:lang w:eastAsia="zh-CN"/>
              </w:rPr>
              <w:t>分类</w:t>
            </w:r>
          </w:p>
        </w:tc>
        <w:tc>
          <w:tcPr>
            <w:tcW w:w="26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eastAsia="zh-CN"/>
              </w:rPr>
            </w:pPr>
            <w:r>
              <w:rPr>
                <w:rFonts w:hint="eastAsia" w:ascii="Times New Roman" w:hAnsi="Times New Roman" w:eastAsia="宋体" w:cs="Times New Roman"/>
                <w:sz w:val="21"/>
                <w:szCs w:val="21"/>
                <w:u w:val="single"/>
                <w:vertAlign w:val="baseline"/>
                <w:lang w:eastAsia="zh-CN"/>
              </w:rPr>
              <w:t>每天屠宰量</w:t>
            </w:r>
          </w:p>
        </w:tc>
        <w:tc>
          <w:tcPr>
            <w:tcW w:w="23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u w:val="single"/>
                <w:vertAlign w:val="baseline"/>
              </w:rPr>
            </w:pPr>
            <w:r>
              <w:rPr>
                <w:rFonts w:hint="default" w:ascii="Times New Roman" w:hAnsi="Times New Roman" w:cs="Times New Roman"/>
                <w:sz w:val="21"/>
                <w:szCs w:val="21"/>
                <w:u w:val="single"/>
              </w:rPr>
              <w:t>NH</w:t>
            </w:r>
            <w:r>
              <w:rPr>
                <w:rFonts w:hint="default" w:ascii="Times New Roman" w:hAnsi="Times New Roman" w:cs="Times New Roman"/>
                <w:sz w:val="21"/>
                <w:szCs w:val="21"/>
                <w:u w:val="single"/>
                <w:vertAlign w:val="subscript"/>
              </w:rPr>
              <w:t>3</w:t>
            </w:r>
            <w:r>
              <w:rPr>
                <w:rFonts w:hint="eastAsia" w:ascii="Times New Roman" w:hAnsi="Times New Roman" w:eastAsia="宋体" w:cs="Times New Roman"/>
                <w:sz w:val="21"/>
                <w:szCs w:val="21"/>
                <w:u w:val="single"/>
                <w:lang w:eastAsia="zh-CN"/>
              </w:rPr>
              <w:t>产生速率</w:t>
            </w:r>
            <w:r>
              <w:rPr>
                <w:rFonts w:hint="default" w:ascii="Times New Roman" w:hAnsi="Times New Roman" w:cs="Times New Roman"/>
                <w:sz w:val="21"/>
                <w:szCs w:val="21"/>
                <w:u w:val="single"/>
              </w:rPr>
              <w:t>kg/h</w:t>
            </w:r>
          </w:p>
        </w:tc>
        <w:tc>
          <w:tcPr>
            <w:tcW w:w="24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u w:val="single"/>
                <w:vertAlign w:val="baseline"/>
              </w:rPr>
            </w:pPr>
            <w:r>
              <w:rPr>
                <w:rFonts w:hint="default" w:ascii="Times New Roman" w:hAnsi="Times New Roman" w:cs="Times New Roman"/>
                <w:sz w:val="21"/>
                <w:szCs w:val="21"/>
                <w:u w:val="single"/>
              </w:rPr>
              <w:t>H</w:t>
            </w:r>
            <w:r>
              <w:rPr>
                <w:rFonts w:hint="default" w:ascii="Times New Roman" w:hAnsi="Times New Roman" w:cs="Times New Roman"/>
                <w:sz w:val="21"/>
                <w:szCs w:val="21"/>
                <w:u w:val="single"/>
                <w:vertAlign w:val="subscript"/>
              </w:rPr>
              <w:t>2</w:t>
            </w:r>
            <w:r>
              <w:rPr>
                <w:rFonts w:hint="default" w:ascii="Times New Roman" w:hAnsi="Times New Roman" w:cs="Times New Roman"/>
                <w:sz w:val="21"/>
                <w:szCs w:val="21"/>
                <w:u w:val="single"/>
              </w:rPr>
              <w:t>S</w:t>
            </w:r>
            <w:r>
              <w:rPr>
                <w:rFonts w:hint="eastAsia" w:ascii="Times New Roman" w:hAnsi="Times New Roman" w:eastAsia="宋体" w:cs="Times New Roman"/>
                <w:sz w:val="21"/>
                <w:szCs w:val="21"/>
                <w:u w:val="single"/>
                <w:lang w:eastAsia="zh-CN"/>
              </w:rPr>
              <w:t>产生速率</w:t>
            </w:r>
            <w:r>
              <w:rPr>
                <w:rFonts w:hint="default" w:ascii="Times New Roman" w:hAnsi="Times New Roman" w:cs="Times New Roman"/>
                <w:sz w:val="21"/>
                <w:szCs w:val="21"/>
                <w:u w:val="single"/>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7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eastAsia="zh-CN"/>
              </w:rPr>
            </w:pPr>
            <w:r>
              <w:rPr>
                <w:rFonts w:hint="eastAsia" w:ascii="Times New Roman" w:hAnsi="Times New Roman" w:eastAsia="宋体" w:cs="Times New Roman"/>
                <w:sz w:val="21"/>
                <w:szCs w:val="21"/>
                <w:u w:val="single"/>
                <w:vertAlign w:val="baseline"/>
                <w:lang w:val="en-US" w:eastAsia="zh-CN"/>
              </w:rPr>
              <w:t>安定区牛羊屠宰加工生产线建设项目</w:t>
            </w:r>
          </w:p>
        </w:tc>
        <w:tc>
          <w:tcPr>
            <w:tcW w:w="26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eastAsia="zh-CN"/>
              </w:rPr>
            </w:pPr>
            <w:r>
              <w:rPr>
                <w:rFonts w:hint="eastAsia" w:ascii="Times New Roman" w:hAnsi="Times New Roman" w:eastAsia="宋体" w:cs="Times New Roman"/>
                <w:sz w:val="21"/>
                <w:szCs w:val="21"/>
                <w:u w:val="single"/>
                <w:vertAlign w:val="baseline"/>
                <w:lang w:eastAsia="zh-CN"/>
              </w:rPr>
              <w:t>肉牛</w:t>
            </w:r>
            <w:r>
              <w:rPr>
                <w:rFonts w:hint="eastAsia" w:ascii="Times New Roman" w:hAnsi="Times New Roman" w:eastAsia="宋体" w:cs="Times New Roman"/>
                <w:sz w:val="21"/>
                <w:szCs w:val="21"/>
                <w:u w:val="single"/>
                <w:vertAlign w:val="baseline"/>
                <w:lang w:val="en-US" w:eastAsia="zh-CN"/>
              </w:rPr>
              <w:t>100</w:t>
            </w:r>
            <w:r>
              <w:rPr>
                <w:rFonts w:hint="eastAsia" w:ascii="Times New Roman" w:hAnsi="Times New Roman" w:eastAsia="宋体" w:cs="Times New Roman"/>
                <w:sz w:val="21"/>
                <w:szCs w:val="21"/>
                <w:u w:val="single"/>
                <w:vertAlign w:val="baseline"/>
                <w:lang w:eastAsia="zh-CN"/>
              </w:rPr>
              <w:t>头，肉羊</w:t>
            </w:r>
            <w:r>
              <w:rPr>
                <w:rFonts w:hint="eastAsia" w:ascii="Times New Roman" w:hAnsi="Times New Roman" w:eastAsia="宋体" w:cs="Times New Roman"/>
                <w:sz w:val="21"/>
                <w:szCs w:val="21"/>
                <w:u w:val="single"/>
                <w:vertAlign w:val="baseline"/>
                <w:lang w:val="en-US" w:eastAsia="zh-CN"/>
              </w:rPr>
              <w:t>334</w:t>
            </w:r>
            <w:r>
              <w:rPr>
                <w:rFonts w:hint="eastAsia" w:ascii="Times New Roman" w:hAnsi="Times New Roman" w:eastAsia="宋体" w:cs="Times New Roman"/>
                <w:sz w:val="21"/>
                <w:szCs w:val="21"/>
                <w:u w:val="single"/>
                <w:vertAlign w:val="baseline"/>
                <w:lang w:eastAsia="zh-CN"/>
              </w:rPr>
              <w:t>只（折合肉羊</w:t>
            </w:r>
            <w:r>
              <w:rPr>
                <w:rFonts w:hint="eastAsia" w:ascii="Times New Roman" w:hAnsi="Times New Roman" w:eastAsia="宋体" w:cs="Times New Roman"/>
                <w:sz w:val="21"/>
                <w:szCs w:val="21"/>
                <w:u w:val="single"/>
                <w:vertAlign w:val="baseline"/>
                <w:lang w:val="en-US" w:eastAsia="zh-CN"/>
              </w:rPr>
              <w:t>1834只</w:t>
            </w:r>
            <w:r>
              <w:rPr>
                <w:rFonts w:hint="eastAsia" w:ascii="Times New Roman" w:hAnsi="Times New Roman" w:eastAsia="宋体" w:cs="Times New Roman"/>
                <w:sz w:val="21"/>
                <w:szCs w:val="21"/>
                <w:u w:val="single"/>
                <w:vertAlign w:val="baseline"/>
                <w:lang w:eastAsia="zh-CN"/>
              </w:rPr>
              <w:t>）</w:t>
            </w:r>
          </w:p>
        </w:tc>
        <w:tc>
          <w:tcPr>
            <w:tcW w:w="23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0.11</w:t>
            </w:r>
          </w:p>
        </w:tc>
        <w:tc>
          <w:tcPr>
            <w:tcW w:w="24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7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eastAsia="zh-CN"/>
              </w:rPr>
            </w:pPr>
            <w:r>
              <w:rPr>
                <w:rFonts w:hint="eastAsia" w:ascii="Times New Roman" w:hAnsi="Times New Roman" w:eastAsia="宋体" w:cs="Times New Roman"/>
                <w:sz w:val="21"/>
                <w:szCs w:val="21"/>
                <w:u w:val="single"/>
                <w:vertAlign w:val="baseline"/>
                <w:lang w:eastAsia="zh-CN"/>
              </w:rPr>
              <w:t>本项目</w:t>
            </w:r>
          </w:p>
        </w:tc>
        <w:tc>
          <w:tcPr>
            <w:tcW w:w="26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eastAsia="zh-CN"/>
              </w:rPr>
              <w:t>肉牛</w:t>
            </w:r>
            <w:r>
              <w:rPr>
                <w:rFonts w:hint="eastAsia" w:ascii="Times New Roman" w:hAnsi="Times New Roman" w:eastAsia="宋体" w:cs="Times New Roman"/>
                <w:sz w:val="21"/>
                <w:szCs w:val="21"/>
                <w:u w:val="single"/>
                <w:vertAlign w:val="baseline"/>
                <w:lang w:val="en-US" w:eastAsia="zh-CN"/>
              </w:rPr>
              <w:t>32头，肉羊469只</w:t>
            </w:r>
          </w:p>
          <w:p>
            <w:pPr>
              <w:pStyle w:val="13"/>
              <w:widowControl w:val="0"/>
              <w:ind w:left="0" w:leftChars="0" w:firstLine="0" w:firstLineChars="0"/>
              <w:jc w:val="center"/>
              <w:rPr>
                <w:rFonts w:hint="default"/>
                <w:u w:val="single"/>
                <w:lang w:val="en-US" w:eastAsia="zh-CN"/>
              </w:rPr>
            </w:pPr>
            <w:r>
              <w:rPr>
                <w:rFonts w:hint="eastAsia" w:ascii="Times New Roman" w:hAnsi="Times New Roman" w:eastAsia="宋体" w:cs="Times New Roman"/>
                <w:sz w:val="21"/>
                <w:szCs w:val="21"/>
                <w:u w:val="single"/>
                <w:vertAlign w:val="baseline"/>
                <w:lang w:eastAsia="zh-CN"/>
              </w:rPr>
              <w:t>（折合肉羊</w:t>
            </w:r>
            <w:r>
              <w:rPr>
                <w:rFonts w:hint="eastAsia" w:ascii="Times New Roman" w:hAnsi="Times New Roman" w:eastAsia="宋体" w:cs="Times New Roman"/>
                <w:sz w:val="21"/>
                <w:szCs w:val="21"/>
                <w:u w:val="single"/>
                <w:vertAlign w:val="baseline"/>
                <w:lang w:val="en-US" w:eastAsia="zh-CN"/>
              </w:rPr>
              <w:t>949只</w:t>
            </w:r>
            <w:r>
              <w:rPr>
                <w:rFonts w:hint="eastAsia" w:ascii="Times New Roman" w:hAnsi="Times New Roman" w:eastAsia="宋体" w:cs="Times New Roman"/>
                <w:sz w:val="21"/>
                <w:szCs w:val="21"/>
                <w:u w:val="single"/>
                <w:vertAlign w:val="baseline"/>
                <w:lang w:eastAsia="zh-CN"/>
              </w:rPr>
              <w:t>）</w:t>
            </w:r>
          </w:p>
        </w:tc>
        <w:tc>
          <w:tcPr>
            <w:tcW w:w="23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0.0569</w:t>
            </w:r>
          </w:p>
        </w:tc>
        <w:tc>
          <w:tcPr>
            <w:tcW w:w="24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0.00152</w:t>
            </w:r>
          </w:p>
        </w:tc>
      </w:tr>
    </w:tbl>
    <w:p>
      <w:pPr>
        <w:keepNext w:val="0"/>
        <w:keepLines w:val="0"/>
        <w:pageBreakBefore w:val="0"/>
        <w:widowControl/>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屠宰间为全封闭结构，屠宰间内的内脏处理间为全封闭结构，内脏处理间产生的臭气通过集气收集系统收集，收集效率按90%计，经收集后恶臭后通过1#“喷淋塔+生物过滤除臭系统”装置处理后排放。屠宰间收集的废气采用引风机引</w:t>
      </w:r>
      <w:r>
        <w:rPr>
          <w:rFonts w:hint="eastAsia" w:ascii="Times New Roman" w:hAnsi="Times New Roman" w:eastAsia="宋体" w:cs="Times New Roman"/>
          <w:sz w:val="24"/>
          <w:szCs w:val="24"/>
          <w:lang w:eastAsia="zh-CN"/>
        </w:rPr>
        <w:t>出</w:t>
      </w:r>
      <w:r>
        <w:rPr>
          <w:rFonts w:hint="default" w:ascii="Times New Roman" w:hAnsi="Times New Roman" w:cs="Times New Roman"/>
          <w:sz w:val="24"/>
          <w:szCs w:val="24"/>
        </w:rPr>
        <w:t>与待宰车间废气一起经1#“喷淋塔+生物过滤除臭系统”进行处理，处理效率为90%，处理后的废气经过1根15m高排气筒</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DA001</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为了保证屠宰车间污区废气能尽可能的被收集处理，本项目将在击晕、放血、清洗、剥皮及头、蹄、尾和肠胃加工区等主要产臭工序上方设置集气罩对臭气进行收集，恶臭气体经</w:t>
      </w:r>
      <w:r>
        <w:rPr>
          <w:rFonts w:hint="eastAsia" w:ascii="Times New Roman" w:hAnsi="Times New Roman" w:eastAsia="宋体" w:cs="Times New Roman"/>
          <w:sz w:val="24"/>
          <w:szCs w:val="24"/>
          <w:lang w:eastAsia="zh-CN"/>
        </w:rPr>
        <w:t>引风机</w:t>
      </w:r>
      <w:r>
        <w:rPr>
          <w:rFonts w:hint="default" w:ascii="Times New Roman" w:hAnsi="Times New Roman" w:cs="Times New Roman"/>
          <w:sz w:val="24"/>
          <w:szCs w:val="24"/>
        </w:rPr>
        <w:t>负压收集后，采用生物除臭装置处理，屠宰车间恶臭气体收集率约90%，生物除臭法对恶臭污染物的去除率可达到90%以上，恶臭气体经处理后通过15m排气筒排放。未被收集的恶臭气体通过车间以无组织形式排放。</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项目屠宰间工作时间为</w:t>
      </w:r>
      <w:r>
        <w:rPr>
          <w:rFonts w:hint="eastAsia" w:ascii="Times New Roman" w:hAnsi="Times New Roman" w:eastAsia="宋体" w:cs="Times New Roman"/>
          <w:sz w:val="24"/>
          <w:szCs w:val="24"/>
          <w:lang w:val="en-US" w:eastAsia="zh-CN"/>
        </w:rPr>
        <w:t>1</w:t>
      </w:r>
      <w:r>
        <w:rPr>
          <w:rFonts w:hint="default" w:ascii="Times New Roman" w:hAnsi="Times New Roman" w:cs="Times New Roman"/>
          <w:sz w:val="24"/>
          <w:szCs w:val="24"/>
        </w:rPr>
        <w:t>6h/d，由此可估算出屠宰间的恶臭污染物排放情况，详见表</w:t>
      </w:r>
      <w:r>
        <w:rPr>
          <w:rFonts w:hint="eastAsia" w:ascii="Times New Roman" w:hAnsi="Times New Roman" w:eastAsia="宋体" w:cs="Times New Roman"/>
          <w:sz w:val="24"/>
          <w:szCs w:val="24"/>
          <w:highlight w:val="none"/>
          <w:lang w:val="en-US" w:eastAsia="zh-CN"/>
        </w:rPr>
        <w:t>3</w:t>
      </w:r>
      <w:r>
        <w:rPr>
          <w:rFonts w:hint="default" w:ascii="Times New Roman" w:hAnsi="Times New Roman" w:cs="Times New Roman"/>
          <w:sz w:val="24"/>
          <w:szCs w:val="24"/>
          <w:highlight w:val="none"/>
        </w:rPr>
        <w:t>-1</w:t>
      </w:r>
      <w:r>
        <w:rPr>
          <w:rFonts w:hint="eastAsia" w:ascii="Times New Roman" w:hAnsi="Times New Roman" w:eastAsia="宋体" w:cs="Times New Roman"/>
          <w:sz w:val="24"/>
          <w:szCs w:val="24"/>
          <w:highlight w:val="none"/>
          <w:lang w:val="en-US" w:eastAsia="zh-CN"/>
        </w:rPr>
        <w:t>6</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表</w:t>
      </w:r>
      <w:r>
        <w:rPr>
          <w:rFonts w:hint="eastAsia" w:ascii="宋体" w:hAnsi="宋体" w:eastAsia="宋体" w:cs="宋体"/>
          <w:b/>
          <w:bCs/>
          <w:sz w:val="24"/>
          <w:szCs w:val="24"/>
          <w:lang w:val="en-US" w:eastAsia="zh-CN"/>
        </w:rPr>
        <w:t xml:space="preserve">3-16    </w:t>
      </w:r>
      <w:r>
        <w:rPr>
          <w:rFonts w:hint="eastAsia" w:ascii="宋体" w:hAnsi="宋体" w:eastAsia="宋体" w:cs="宋体"/>
          <w:b/>
          <w:bCs/>
          <w:sz w:val="24"/>
          <w:szCs w:val="24"/>
          <w:lang w:eastAsia="zh-CN"/>
        </w:rPr>
        <w:t>项目屠宰间恶臭污染物产生源强一览表</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043"/>
        <w:gridCol w:w="1562"/>
        <w:gridCol w:w="1562"/>
        <w:gridCol w:w="1562"/>
        <w:gridCol w:w="1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来源</w:t>
            </w:r>
          </w:p>
        </w:tc>
        <w:tc>
          <w:tcPr>
            <w:tcW w:w="204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项目</w:t>
            </w:r>
          </w:p>
        </w:tc>
        <w:tc>
          <w:tcPr>
            <w:tcW w:w="3124"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3124"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lang w:eastAsia="zh-CN"/>
              </w:rPr>
              <w:t>速率</w:t>
            </w:r>
            <w:r>
              <w:rPr>
                <w:rFonts w:hint="default" w:ascii="Times New Roman" w:hAnsi="Times New Roman" w:cs="Times New Roman"/>
                <w:sz w:val="21"/>
                <w:szCs w:val="21"/>
              </w:rPr>
              <w:t>kg/h</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产生量</w:t>
            </w:r>
            <w:r>
              <w:rPr>
                <w:rFonts w:hint="eastAsia" w:ascii="Times New Roman" w:hAnsi="Times New Roman" w:eastAsia="宋体" w:cs="Times New Roman"/>
                <w:sz w:val="21"/>
                <w:szCs w:val="21"/>
                <w:vertAlign w:val="baselin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vertAlign w:val="baseline"/>
                <w:lang w:val="en-US" w:eastAsia="en-US" w:bidi="ar-SA"/>
              </w:rPr>
            </w:pPr>
            <w:r>
              <w:rPr>
                <w:rFonts w:hint="eastAsia" w:ascii="Times New Roman" w:hAnsi="Times New Roman" w:eastAsia="宋体" w:cs="Times New Roman"/>
                <w:sz w:val="21"/>
                <w:szCs w:val="21"/>
                <w:lang w:eastAsia="zh-CN"/>
              </w:rPr>
              <w:t>速率</w:t>
            </w:r>
            <w:r>
              <w:rPr>
                <w:rFonts w:hint="default" w:ascii="Times New Roman" w:hAnsi="Times New Roman" w:cs="Times New Roman"/>
                <w:sz w:val="21"/>
                <w:szCs w:val="21"/>
              </w:rPr>
              <w:t>kg/h</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vertAlign w:val="baseline"/>
                <w:lang w:val="en-US" w:eastAsia="zh-CN" w:bidi="ar-SA"/>
              </w:rPr>
            </w:pPr>
            <w:r>
              <w:rPr>
                <w:rFonts w:hint="eastAsia" w:ascii="Times New Roman" w:hAnsi="Times New Roman" w:eastAsia="宋体" w:cs="Times New Roman"/>
                <w:sz w:val="21"/>
                <w:szCs w:val="21"/>
                <w:vertAlign w:val="baseline"/>
                <w:lang w:eastAsia="zh-CN"/>
              </w:rPr>
              <w:t>产生量</w:t>
            </w:r>
            <w:r>
              <w:rPr>
                <w:rFonts w:hint="eastAsia" w:ascii="Times New Roman" w:hAnsi="Times New Roman" w:eastAsia="宋体" w:cs="Times New Roman"/>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屠宰间</w:t>
            </w: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初始产生源强</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0.0569</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0.291</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0.00152</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0.00778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有组织收集效率</w:t>
            </w:r>
          </w:p>
        </w:tc>
        <w:tc>
          <w:tcPr>
            <w:tcW w:w="6248"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有组织废气产生量</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0.0512</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0.262</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0.00137</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eastAsia="zh-CN"/>
              </w:rPr>
              <w:t>无组织废气产生量</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0.0057</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0.029</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0.00015</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0.00078</w:t>
            </w:r>
          </w:p>
        </w:tc>
      </w:tr>
    </w:tbl>
    <w:p>
      <w:pPr>
        <w:keepNext w:val="0"/>
        <w:keepLines w:val="0"/>
        <w:pageBreakBefore w:val="0"/>
        <w:widowControl/>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本项目屠宰车间（污区）面积1200m</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，车间有效高度6m，排风量按3次/h换气计算所得风量，经计算，待宰车间每小时风量不低于为21600m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/h，为确保项目屠宰车间恶臭污染物的有效收集，拟采取1台风机对屠宰车间进行负压抽风，经负压抽风抽出的废气经“喷淋塔+生物过滤除臭系统”处理后经15m高排气筒（DA001）进行排放。</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表</w:t>
      </w:r>
      <w:r>
        <w:rPr>
          <w:rFonts w:hint="eastAsia" w:ascii="宋体" w:hAnsi="宋体" w:eastAsia="宋体" w:cs="宋体"/>
          <w:b/>
          <w:bCs/>
          <w:sz w:val="24"/>
          <w:szCs w:val="24"/>
          <w:lang w:val="en-US" w:eastAsia="zh-CN"/>
        </w:rPr>
        <w:t xml:space="preserve">3-17  </w:t>
      </w:r>
      <w:r>
        <w:rPr>
          <w:rFonts w:hint="eastAsia" w:ascii="宋体" w:hAnsi="宋体" w:eastAsia="宋体" w:cs="宋体"/>
          <w:b/>
          <w:bCs/>
          <w:sz w:val="24"/>
          <w:szCs w:val="24"/>
          <w:lang w:eastAsia="zh-CN"/>
        </w:rPr>
        <w:t>项目屠宰间有组织恶臭气体产生及排放情况</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3"/>
        <w:gridCol w:w="821"/>
        <w:gridCol w:w="1017"/>
        <w:gridCol w:w="1088"/>
        <w:gridCol w:w="1114"/>
        <w:gridCol w:w="1114"/>
        <w:gridCol w:w="1114"/>
        <w:gridCol w:w="1114"/>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3"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污染源</w:t>
            </w:r>
          </w:p>
        </w:tc>
        <w:tc>
          <w:tcPr>
            <w:tcW w:w="821"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污染物</w:t>
            </w:r>
          </w:p>
        </w:tc>
        <w:tc>
          <w:tcPr>
            <w:tcW w:w="2105" w:type="dxa"/>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eastAsia="zh-CN"/>
              </w:rPr>
              <w:t>产生量</w:t>
            </w:r>
          </w:p>
        </w:tc>
        <w:tc>
          <w:tcPr>
            <w:tcW w:w="1114"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治理措施</w:t>
            </w:r>
          </w:p>
        </w:tc>
        <w:tc>
          <w:tcPr>
            <w:tcW w:w="1114"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去除效率</w:t>
            </w:r>
          </w:p>
        </w:tc>
        <w:tc>
          <w:tcPr>
            <w:tcW w:w="2228" w:type="dxa"/>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eastAsia="zh-CN"/>
              </w:rPr>
              <w:t>排放量</w:t>
            </w:r>
          </w:p>
        </w:tc>
        <w:tc>
          <w:tcPr>
            <w:tcW w:w="1115"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3"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821"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01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kg/h</w:t>
            </w:r>
          </w:p>
        </w:tc>
        <w:tc>
          <w:tcPr>
            <w:tcW w:w="108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t/a</w:t>
            </w:r>
          </w:p>
        </w:tc>
        <w:tc>
          <w:tcPr>
            <w:tcW w:w="1114"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114"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val="en-US" w:eastAsia="zh-CN"/>
              </w:rPr>
              <w:t>kg/h</w:t>
            </w: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val="en-US" w:eastAsia="zh-CN"/>
              </w:rPr>
              <w:t>t/a</w:t>
            </w:r>
          </w:p>
        </w:tc>
        <w:tc>
          <w:tcPr>
            <w:tcW w:w="1115"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3"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屠宰间</w:t>
            </w:r>
          </w:p>
        </w:tc>
        <w:tc>
          <w:tcPr>
            <w:tcW w:w="82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NH</w:t>
            </w:r>
            <w:r>
              <w:rPr>
                <w:rFonts w:hint="eastAsia" w:ascii="Times New Roman" w:hAnsi="Times New Roman" w:eastAsia="宋体" w:cs="Times New Roman"/>
                <w:sz w:val="21"/>
                <w:szCs w:val="21"/>
                <w:vertAlign w:val="subscript"/>
                <w:lang w:val="en-US" w:eastAsia="zh-CN"/>
              </w:rPr>
              <w:t>3</w:t>
            </w:r>
          </w:p>
        </w:tc>
        <w:tc>
          <w:tcPr>
            <w:tcW w:w="101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0.0512</w:t>
            </w:r>
          </w:p>
        </w:tc>
        <w:tc>
          <w:tcPr>
            <w:tcW w:w="108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0.262</w:t>
            </w:r>
          </w:p>
        </w:tc>
        <w:tc>
          <w:tcPr>
            <w:tcW w:w="1114"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0"/>
                <w:szCs w:val="20"/>
                <w:vertAlign w:val="baseline"/>
                <w:lang w:eastAsia="zh-CN"/>
              </w:rPr>
              <w:t>“集气收集+</w:t>
            </w:r>
            <w:r>
              <w:rPr>
                <w:rFonts w:hint="eastAsia" w:ascii="Times New Roman" w:hAnsi="Times New Roman" w:eastAsia="宋体" w:cs="Times New Roman"/>
                <w:sz w:val="20"/>
                <w:szCs w:val="20"/>
                <w:vertAlign w:val="baseline"/>
                <w:lang w:val="en-US" w:eastAsia="zh-CN"/>
              </w:rPr>
              <w:t>喷淋塔+生物过滤除臭系统</w:t>
            </w:r>
            <w:r>
              <w:rPr>
                <w:rFonts w:hint="eastAsia" w:ascii="Times New Roman" w:hAnsi="Times New Roman" w:eastAsia="宋体" w:cs="Times New Roman"/>
                <w:sz w:val="20"/>
                <w:szCs w:val="20"/>
                <w:vertAlign w:val="baseline"/>
                <w:lang w:eastAsia="zh-CN"/>
              </w:rPr>
              <w:t>”</w:t>
            </w:r>
          </w:p>
        </w:tc>
        <w:tc>
          <w:tcPr>
            <w:tcW w:w="1114"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0.00512</w:t>
            </w: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0.0262</w:t>
            </w:r>
          </w:p>
        </w:tc>
        <w:tc>
          <w:tcPr>
            <w:tcW w:w="1115"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DA001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3"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82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H</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vertAlign w:val="baseline"/>
                <w:lang w:val="en-US" w:eastAsia="zh-CN"/>
              </w:rPr>
              <w:t>S</w:t>
            </w:r>
          </w:p>
        </w:tc>
        <w:tc>
          <w:tcPr>
            <w:tcW w:w="101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0.00137</w:t>
            </w:r>
          </w:p>
        </w:tc>
        <w:tc>
          <w:tcPr>
            <w:tcW w:w="108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0.007</w:t>
            </w:r>
          </w:p>
        </w:tc>
        <w:tc>
          <w:tcPr>
            <w:tcW w:w="1114"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114"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0.000137</w:t>
            </w: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0.0007</w:t>
            </w:r>
          </w:p>
        </w:tc>
        <w:tc>
          <w:tcPr>
            <w:tcW w:w="1115"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firstLineChars="200"/>
        <w:textAlignment w:val="auto"/>
        <w:rPr>
          <w:rFonts w:hint="default" w:ascii="Times New Roman" w:hAnsi="Times New Roman" w:cs="Times New Roman"/>
          <w:sz w:val="24"/>
          <w:u w:val="single"/>
          <w:lang w:val="en-US" w:eastAsia="zh-CN"/>
        </w:rPr>
      </w:pPr>
      <w:r>
        <w:rPr>
          <w:rFonts w:hint="default" w:ascii="Times New Roman" w:hAnsi="Times New Roman" w:cs="Times New Roman"/>
          <w:sz w:val="24"/>
          <w:u w:val="single"/>
          <w:lang w:val="en-US" w:eastAsia="zh-CN"/>
        </w:rPr>
        <w:t>10%未被收集的</w:t>
      </w:r>
      <w:r>
        <w:rPr>
          <w:rFonts w:hint="eastAsia" w:ascii="Times New Roman" w:hAnsi="Times New Roman" w:cs="Times New Roman"/>
          <w:sz w:val="24"/>
          <w:u w:val="single"/>
          <w:lang w:val="en-US" w:eastAsia="zh-CN"/>
        </w:rPr>
        <w:t>屠宰</w:t>
      </w:r>
      <w:r>
        <w:rPr>
          <w:rFonts w:hint="default" w:ascii="Times New Roman" w:hAnsi="Times New Roman" w:cs="Times New Roman"/>
          <w:sz w:val="24"/>
          <w:u w:val="single"/>
          <w:lang w:val="en-US" w:eastAsia="zh-CN"/>
        </w:rPr>
        <w:t>车间废气以无组织的形式排放，经空气扩散、稀释作用，对周围环境影响较小。项目</w:t>
      </w:r>
      <w:r>
        <w:rPr>
          <w:rFonts w:hint="eastAsia" w:ascii="Times New Roman" w:hAnsi="Times New Roman" w:cs="Times New Roman"/>
          <w:b w:val="0"/>
          <w:bCs w:val="0"/>
          <w:sz w:val="24"/>
          <w:u w:val="single"/>
          <w:lang w:val="en-US" w:eastAsia="zh-CN"/>
        </w:rPr>
        <w:t>屠宰间</w:t>
      </w:r>
      <w:r>
        <w:rPr>
          <w:rFonts w:hint="default" w:ascii="Times New Roman" w:hAnsi="Times New Roman" w:cs="Times New Roman"/>
          <w:sz w:val="24"/>
          <w:u w:val="single"/>
          <w:lang w:val="en-US" w:eastAsia="zh-CN"/>
        </w:rPr>
        <w:t>无组织恶臭气体排放情况见表</w:t>
      </w:r>
      <w:r>
        <w:rPr>
          <w:rFonts w:hint="eastAsia" w:ascii="Times New Roman" w:hAnsi="Times New Roman" w:cs="Times New Roman"/>
          <w:sz w:val="24"/>
          <w:highlight w:val="none"/>
          <w:u w:val="single"/>
          <w:lang w:val="en-US" w:eastAsia="zh-CN"/>
        </w:rPr>
        <w:t>3</w:t>
      </w:r>
      <w:r>
        <w:rPr>
          <w:rFonts w:hint="default" w:ascii="Times New Roman" w:hAnsi="Times New Roman" w:cs="Times New Roman"/>
          <w:sz w:val="24"/>
          <w:highlight w:val="none"/>
          <w:u w:val="single"/>
          <w:lang w:val="en-US" w:eastAsia="zh-CN"/>
        </w:rPr>
        <w:t>-1</w:t>
      </w:r>
      <w:r>
        <w:rPr>
          <w:rFonts w:hint="eastAsia" w:ascii="Times New Roman" w:hAnsi="Times New Roman" w:cs="Times New Roman"/>
          <w:sz w:val="24"/>
          <w:highlight w:val="none"/>
          <w:u w:val="single"/>
          <w:lang w:val="en-US" w:eastAsia="zh-CN"/>
        </w:rPr>
        <w:t>8</w:t>
      </w:r>
      <w:r>
        <w:rPr>
          <w:rFonts w:hint="default" w:ascii="Times New Roman" w:hAnsi="Times New Roman" w:cs="Times New Roman"/>
          <w:sz w:val="24"/>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4"/>
          <w:u w:val="single"/>
          <w:lang w:eastAsia="zh-CN"/>
        </w:rPr>
      </w:pPr>
      <w:r>
        <w:rPr>
          <w:rFonts w:hint="default" w:ascii="Times New Roman" w:hAnsi="Times New Roman" w:cs="Times New Roman"/>
          <w:b/>
          <w:bCs/>
          <w:sz w:val="24"/>
          <w:u w:val="single"/>
          <w:lang w:val="en-US" w:eastAsia="zh-CN"/>
        </w:rPr>
        <w:t>表</w:t>
      </w:r>
      <w:r>
        <w:rPr>
          <w:rFonts w:hint="eastAsia" w:ascii="Times New Roman" w:hAnsi="Times New Roman" w:cs="Times New Roman"/>
          <w:b/>
          <w:bCs/>
          <w:sz w:val="24"/>
          <w:u w:val="single"/>
          <w:lang w:val="en-US" w:eastAsia="zh-CN"/>
        </w:rPr>
        <w:t>3</w:t>
      </w:r>
      <w:r>
        <w:rPr>
          <w:rFonts w:hint="default" w:ascii="Times New Roman" w:hAnsi="Times New Roman" w:cs="Times New Roman"/>
          <w:b/>
          <w:bCs/>
          <w:sz w:val="24"/>
          <w:u w:val="single"/>
          <w:lang w:val="en-US" w:eastAsia="zh-CN"/>
        </w:rPr>
        <w:t>-1</w:t>
      </w:r>
      <w:r>
        <w:rPr>
          <w:rFonts w:hint="eastAsia" w:ascii="Times New Roman" w:hAnsi="Times New Roman" w:cs="Times New Roman"/>
          <w:b/>
          <w:bCs/>
          <w:sz w:val="24"/>
          <w:u w:val="single"/>
          <w:lang w:val="en-US" w:eastAsia="zh-CN"/>
        </w:rPr>
        <w:t xml:space="preserve">8    </w:t>
      </w:r>
      <w:r>
        <w:rPr>
          <w:rFonts w:hint="default" w:ascii="Times New Roman" w:hAnsi="Times New Roman" w:cs="Times New Roman"/>
          <w:b/>
          <w:bCs/>
          <w:sz w:val="24"/>
          <w:u w:val="single"/>
          <w:lang w:val="en-US" w:eastAsia="zh-CN"/>
        </w:rPr>
        <w:t>项目</w:t>
      </w:r>
      <w:r>
        <w:rPr>
          <w:rFonts w:hint="eastAsia" w:ascii="Times New Roman" w:hAnsi="Times New Roman" w:cs="Times New Roman"/>
          <w:b/>
          <w:bCs/>
          <w:sz w:val="24"/>
          <w:u w:val="single"/>
          <w:lang w:val="en-US" w:eastAsia="zh-CN"/>
        </w:rPr>
        <w:t>屠宰间</w:t>
      </w:r>
      <w:r>
        <w:rPr>
          <w:rFonts w:hint="default" w:ascii="Times New Roman" w:hAnsi="Times New Roman" w:cs="Times New Roman"/>
          <w:b/>
          <w:bCs/>
          <w:sz w:val="24"/>
          <w:u w:val="single"/>
          <w:lang w:val="en-US" w:eastAsia="zh-CN"/>
        </w:rPr>
        <w:t>无组织恶臭气体排放情况</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2342"/>
        <w:gridCol w:w="2343"/>
        <w:gridCol w:w="2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污染源</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污染物</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18"/>
                <w:szCs w:val="18"/>
                <w:u w:val="single"/>
                <w:vertAlign w:val="baseline"/>
                <w:lang w:val="en-US" w:eastAsia="zh-CN"/>
              </w:rPr>
              <w:t>排放速率kg/h</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屠宰间</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0.0057</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0.00015</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0.00078</w:t>
            </w:r>
          </w:p>
        </w:tc>
      </w:tr>
    </w:tbl>
    <w:p>
      <w:pPr>
        <w:keepNext w:val="0"/>
        <w:keepLines w:val="0"/>
        <w:pageBreakBefore w:val="0"/>
        <w:widowControl/>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③污水处理站产生的恶臭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本项目污水处理站会产生一定的恶臭气体，主要来源于污水处理站各污水处理单元（主要为格栅、水解酸化池、生化池、污泥浓缩池）及污泥处理单元，恶臭气体属于混合气体，其</w:t>
      </w:r>
      <w:r>
        <w:rPr>
          <w:rFonts w:hint="eastAsia" w:ascii="Times New Roman" w:hAnsi="Times New Roman" w:eastAsia="宋体" w:cs="Times New Roman"/>
          <w:sz w:val="24"/>
          <w:szCs w:val="24"/>
          <w:lang w:eastAsia="zh-CN"/>
        </w:rPr>
        <w:t>特征因子</w:t>
      </w:r>
      <w:r>
        <w:rPr>
          <w:rFonts w:hint="default" w:ascii="Times New Roman" w:hAnsi="Times New Roman" w:cs="Times New Roman"/>
          <w:sz w:val="24"/>
          <w:szCs w:val="24"/>
        </w:rPr>
        <w:t>为H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S和NH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本次评价污水处理站恶臭污染物源强采用美国EPA对城市污水处理厂恶臭污染物产生情况的研究，每去除1g的BOD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可产生0.0031g的NH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和0.00012g的H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S。污水处理站24小时运行，因此废气产生量按24小时计算。根据污水处理站对废水的处理情况进行计算</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BOD去除量为</w:t>
      </w:r>
      <w:r>
        <w:rPr>
          <w:rFonts w:hint="eastAsia" w:ascii="Times New Roman" w:hAnsi="Times New Roman" w:eastAsia="宋体" w:cs="Times New Roman"/>
          <w:sz w:val="24"/>
          <w:szCs w:val="24"/>
          <w:highlight w:val="none"/>
          <w:lang w:val="en-US" w:eastAsia="zh-CN"/>
        </w:rPr>
        <w:t>32.4t/a</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，污水处理站NH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S的产生量为NH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 xml:space="preserve"> 0.</w:t>
      </w:r>
      <w:r>
        <w:rPr>
          <w:rFonts w:hint="eastAsia" w:ascii="Times New Roman" w:hAnsi="Times New Roman" w:eastAsia="宋体" w:cs="Times New Roman"/>
          <w:sz w:val="24"/>
          <w:szCs w:val="24"/>
          <w:lang w:val="en-US" w:eastAsia="zh-CN"/>
        </w:rPr>
        <w:t>013</w:t>
      </w:r>
      <w:r>
        <w:rPr>
          <w:rFonts w:hint="default" w:ascii="Times New Roman" w:hAnsi="Times New Roman" w:cs="Times New Roman"/>
          <w:sz w:val="24"/>
          <w:szCs w:val="24"/>
        </w:rPr>
        <w:t>kg/h、0.1t/a，H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0.0005kg/h、0.004t/a。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为了降低污水处理站恶臭气体的影响，</w:t>
      </w:r>
      <w:r>
        <w:rPr>
          <w:rFonts w:hint="default" w:ascii="Times New Roman" w:hAnsi="Times New Roman" w:cs="Times New Roman"/>
          <w:sz w:val="24"/>
          <w:szCs w:val="24"/>
          <w:lang w:val="en-US" w:eastAsia="zh-CN"/>
        </w:rPr>
        <w:t>要求将格栅池、调节池、水解酸化池、接触氧化池、污泥浓缩池及污泥脱水间等进行密闭，将废气通过密闭管道负压收集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污水处理构筑物为半地下式，在构筑物顶部增设管道收集气体，收集率约为90%，恶臭气体集中收集后经生物除臭装置净化处理（处理率不低于90%），处理后的恶臭气体通过15m排气筒排入环境中，未被收集的废气无组织排放。</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表</w:t>
      </w:r>
      <w:r>
        <w:rPr>
          <w:rFonts w:hint="eastAsia" w:ascii="宋体" w:hAnsi="宋体" w:eastAsia="宋体" w:cs="宋体"/>
          <w:b/>
          <w:bCs/>
          <w:sz w:val="24"/>
          <w:szCs w:val="24"/>
          <w:lang w:val="en-US" w:eastAsia="zh-CN"/>
        </w:rPr>
        <w:t xml:space="preserve">3-19  </w:t>
      </w:r>
      <w:r>
        <w:rPr>
          <w:rFonts w:hint="eastAsia" w:ascii="宋体" w:hAnsi="宋体" w:eastAsia="宋体" w:cs="宋体"/>
          <w:b/>
          <w:bCs/>
          <w:sz w:val="24"/>
          <w:szCs w:val="24"/>
          <w:lang w:eastAsia="zh-CN"/>
        </w:rPr>
        <w:t>项目污水处理站恶臭污染物产生源强一览表</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043"/>
        <w:gridCol w:w="1562"/>
        <w:gridCol w:w="1562"/>
        <w:gridCol w:w="1562"/>
        <w:gridCol w:w="1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来源</w:t>
            </w:r>
          </w:p>
        </w:tc>
        <w:tc>
          <w:tcPr>
            <w:tcW w:w="204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项目</w:t>
            </w:r>
          </w:p>
        </w:tc>
        <w:tc>
          <w:tcPr>
            <w:tcW w:w="3124"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3124"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lang w:eastAsia="zh-CN"/>
              </w:rPr>
              <w:t>速率</w:t>
            </w:r>
            <w:r>
              <w:rPr>
                <w:rFonts w:hint="default" w:ascii="Times New Roman" w:hAnsi="Times New Roman" w:cs="Times New Roman"/>
                <w:sz w:val="21"/>
                <w:szCs w:val="21"/>
              </w:rPr>
              <w:t>kg/h</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产生量</w:t>
            </w:r>
            <w:r>
              <w:rPr>
                <w:rFonts w:hint="eastAsia" w:ascii="Times New Roman" w:hAnsi="Times New Roman" w:eastAsia="宋体" w:cs="Times New Roman"/>
                <w:sz w:val="21"/>
                <w:szCs w:val="21"/>
                <w:vertAlign w:val="baselin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vertAlign w:val="baseline"/>
                <w:lang w:val="en-US" w:eastAsia="en-US" w:bidi="ar-SA"/>
              </w:rPr>
            </w:pPr>
            <w:r>
              <w:rPr>
                <w:rFonts w:hint="eastAsia" w:ascii="Times New Roman" w:hAnsi="Times New Roman" w:eastAsia="宋体" w:cs="Times New Roman"/>
                <w:sz w:val="21"/>
                <w:szCs w:val="21"/>
                <w:lang w:eastAsia="zh-CN"/>
              </w:rPr>
              <w:t>速率</w:t>
            </w:r>
            <w:r>
              <w:rPr>
                <w:rFonts w:hint="default" w:ascii="Times New Roman" w:hAnsi="Times New Roman" w:cs="Times New Roman"/>
                <w:sz w:val="21"/>
                <w:szCs w:val="21"/>
              </w:rPr>
              <w:t>kg/h</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vertAlign w:val="baseline"/>
                <w:lang w:val="en-US" w:eastAsia="zh-CN" w:bidi="ar-SA"/>
              </w:rPr>
            </w:pPr>
            <w:r>
              <w:rPr>
                <w:rFonts w:hint="eastAsia" w:ascii="Times New Roman" w:hAnsi="Times New Roman" w:eastAsia="宋体" w:cs="Times New Roman"/>
                <w:sz w:val="21"/>
                <w:szCs w:val="21"/>
                <w:vertAlign w:val="baseline"/>
                <w:lang w:eastAsia="zh-CN"/>
              </w:rPr>
              <w:t>产生量</w:t>
            </w:r>
            <w:r>
              <w:rPr>
                <w:rFonts w:hint="eastAsia" w:ascii="Times New Roman" w:hAnsi="Times New Roman" w:eastAsia="宋体" w:cs="Times New Roman"/>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污水处理站</w:t>
            </w: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初始产生源强</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0.013</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0.0005</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有组织收集效率</w:t>
            </w:r>
          </w:p>
        </w:tc>
        <w:tc>
          <w:tcPr>
            <w:tcW w:w="6248"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有组织废气产生量</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0.0117</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0.09</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0.00045</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eastAsia="zh-CN"/>
              </w:rPr>
              <w:t>无组织废气产生量</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0.0013</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0.00005</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0.0004</w:t>
            </w:r>
          </w:p>
        </w:tc>
      </w:tr>
    </w:tbl>
    <w:p>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通过查阅有关技术资料，</w:t>
      </w:r>
      <w:r>
        <w:rPr>
          <w:rFonts w:hint="default" w:ascii="Times New Roman" w:hAnsi="Times New Roman" w:cs="Times New Roman"/>
          <w:sz w:val="24"/>
          <w:szCs w:val="24"/>
          <w:lang w:val="en-US" w:eastAsia="zh-CN"/>
        </w:rPr>
        <w:t>拟</w:t>
      </w:r>
      <w:r>
        <w:rPr>
          <w:rFonts w:hint="eastAsia" w:ascii="Times New Roman" w:hAnsi="Times New Roman" w:cs="Times New Roman"/>
          <w:sz w:val="24"/>
          <w:szCs w:val="24"/>
          <w:lang w:val="en-US" w:eastAsia="zh-CN"/>
        </w:rPr>
        <w:t>安装</w:t>
      </w:r>
      <w:r>
        <w:rPr>
          <w:rFonts w:hint="default" w:ascii="Times New Roman" w:hAnsi="Times New Roman" w:cs="Times New Roman"/>
          <w:sz w:val="24"/>
          <w:szCs w:val="24"/>
          <w:lang w:val="en-US" w:eastAsia="zh-CN"/>
        </w:rPr>
        <w:t>1台</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lang w:val="en-US" w:eastAsia="zh-CN"/>
        </w:rPr>
        <w:t>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引</w:t>
      </w:r>
      <w:r>
        <w:rPr>
          <w:rFonts w:hint="default" w:ascii="Times New Roman" w:hAnsi="Times New Roman" w:cs="Times New Roman"/>
          <w:sz w:val="24"/>
          <w:szCs w:val="24"/>
          <w:lang w:val="en-US" w:eastAsia="zh-CN"/>
        </w:rPr>
        <w:t>风机对</w:t>
      </w:r>
      <w:r>
        <w:rPr>
          <w:rFonts w:hint="eastAsia" w:ascii="Times New Roman" w:hAnsi="Times New Roman" w:cs="Times New Roman"/>
          <w:sz w:val="24"/>
          <w:szCs w:val="24"/>
          <w:lang w:val="en-US" w:eastAsia="zh-CN"/>
        </w:rPr>
        <w:t>污水处理站</w:t>
      </w:r>
      <w:r>
        <w:rPr>
          <w:rFonts w:hint="default" w:ascii="Times New Roman" w:hAnsi="Times New Roman" w:cs="Times New Roman"/>
          <w:sz w:val="24"/>
          <w:szCs w:val="24"/>
          <w:lang w:val="en-US" w:eastAsia="zh-CN"/>
        </w:rPr>
        <w:t>进行负压抽风，经负压抽风抽出的废气经“生物过滤除臭系统”处理后经15m高排气筒</w:t>
      </w:r>
      <w:r>
        <w:rPr>
          <w:rFonts w:hint="eastAsia" w:ascii="Times New Roman" w:hAnsi="Times New Roman" w:cs="Times New Roman"/>
          <w:sz w:val="24"/>
          <w:szCs w:val="24"/>
          <w:lang w:val="en-US" w:eastAsia="zh-CN"/>
        </w:rPr>
        <w:t>（DA001）</w:t>
      </w:r>
      <w:r>
        <w:rPr>
          <w:rFonts w:hint="default" w:ascii="Times New Roman" w:hAnsi="Times New Roman" w:cs="Times New Roman"/>
          <w:sz w:val="24"/>
          <w:szCs w:val="24"/>
          <w:lang w:val="en-US" w:eastAsia="zh-CN"/>
        </w:rPr>
        <w:t>排放。</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表</w:t>
      </w:r>
      <w:r>
        <w:rPr>
          <w:rFonts w:hint="eastAsia" w:ascii="宋体" w:hAnsi="宋体" w:eastAsia="宋体" w:cs="宋体"/>
          <w:b/>
          <w:bCs/>
          <w:sz w:val="24"/>
          <w:szCs w:val="24"/>
          <w:lang w:val="en-US" w:eastAsia="zh-CN"/>
        </w:rPr>
        <w:t xml:space="preserve">3-20  </w:t>
      </w:r>
      <w:r>
        <w:rPr>
          <w:rFonts w:hint="eastAsia" w:ascii="宋体" w:hAnsi="宋体" w:eastAsia="宋体" w:cs="宋体"/>
          <w:b/>
          <w:bCs/>
          <w:sz w:val="24"/>
          <w:szCs w:val="24"/>
          <w:lang w:eastAsia="zh-CN"/>
        </w:rPr>
        <w:t>项目污水处理站有组织恶臭气体产生及排放情况</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3"/>
        <w:gridCol w:w="821"/>
        <w:gridCol w:w="1017"/>
        <w:gridCol w:w="1088"/>
        <w:gridCol w:w="1528"/>
        <w:gridCol w:w="700"/>
        <w:gridCol w:w="1114"/>
        <w:gridCol w:w="1114"/>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3"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污染源</w:t>
            </w:r>
          </w:p>
        </w:tc>
        <w:tc>
          <w:tcPr>
            <w:tcW w:w="821"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污染物</w:t>
            </w:r>
          </w:p>
        </w:tc>
        <w:tc>
          <w:tcPr>
            <w:tcW w:w="2105" w:type="dxa"/>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eastAsia="zh-CN"/>
              </w:rPr>
              <w:t>产生量</w:t>
            </w:r>
          </w:p>
        </w:tc>
        <w:tc>
          <w:tcPr>
            <w:tcW w:w="1528"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治理</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措施</w:t>
            </w:r>
          </w:p>
        </w:tc>
        <w:tc>
          <w:tcPr>
            <w:tcW w:w="700"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去除</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效率</w:t>
            </w:r>
          </w:p>
        </w:tc>
        <w:tc>
          <w:tcPr>
            <w:tcW w:w="2228" w:type="dxa"/>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eastAsia="zh-CN"/>
              </w:rPr>
              <w:t>排放量</w:t>
            </w:r>
          </w:p>
        </w:tc>
        <w:tc>
          <w:tcPr>
            <w:tcW w:w="1115"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3"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821"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01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kg/h</w:t>
            </w:r>
          </w:p>
        </w:tc>
        <w:tc>
          <w:tcPr>
            <w:tcW w:w="108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t/a</w:t>
            </w:r>
          </w:p>
        </w:tc>
        <w:tc>
          <w:tcPr>
            <w:tcW w:w="1528"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700"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val="en-US" w:eastAsia="zh-CN"/>
              </w:rPr>
              <w:t>kg/h</w:t>
            </w: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val="en-US" w:eastAsia="zh-CN"/>
              </w:rPr>
              <w:t>t/a</w:t>
            </w:r>
          </w:p>
        </w:tc>
        <w:tc>
          <w:tcPr>
            <w:tcW w:w="1115"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3"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污水处理站</w:t>
            </w:r>
          </w:p>
        </w:tc>
        <w:tc>
          <w:tcPr>
            <w:tcW w:w="82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NH</w:t>
            </w:r>
            <w:r>
              <w:rPr>
                <w:rFonts w:hint="eastAsia" w:ascii="Times New Roman" w:hAnsi="Times New Roman" w:eastAsia="宋体" w:cs="Times New Roman"/>
                <w:sz w:val="21"/>
                <w:szCs w:val="21"/>
                <w:vertAlign w:val="subscript"/>
                <w:lang w:val="en-US" w:eastAsia="zh-CN"/>
              </w:rPr>
              <w:t>3</w:t>
            </w:r>
          </w:p>
        </w:tc>
        <w:tc>
          <w:tcPr>
            <w:tcW w:w="101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0.0117</w:t>
            </w:r>
          </w:p>
        </w:tc>
        <w:tc>
          <w:tcPr>
            <w:tcW w:w="108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0.09</w:t>
            </w:r>
          </w:p>
        </w:tc>
        <w:tc>
          <w:tcPr>
            <w:tcW w:w="1528"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0"/>
                <w:szCs w:val="20"/>
                <w:vertAlign w:val="baseline"/>
                <w:lang w:eastAsia="zh-CN"/>
              </w:rPr>
              <w:t>“集气收集+生物喷淋除臭塔”</w:t>
            </w:r>
          </w:p>
        </w:tc>
        <w:tc>
          <w:tcPr>
            <w:tcW w:w="700"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0.00117</w:t>
            </w: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0.009</w:t>
            </w:r>
          </w:p>
        </w:tc>
        <w:tc>
          <w:tcPr>
            <w:tcW w:w="1115"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DA001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3"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82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H</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vertAlign w:val="baseline"/>
                <w:lang w:val="en-US" w:eastAsia="zh-CN"/>
              </w:rPr>
              <w:t>S</w:t>
            </w:r>
          </w:p>
        </w:tc>
        <w:tc>
          <w:tcPr>
            <w:tcW w:w="101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0.00045</w:t>
            </w:r>
          </w:p>
        </w:tc>
        <w:tc>
          <w:tcPr>
            <w:tcW w:w="108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0.0036</w:t>
            </w:r>
          </w:p>
        </w:tc>
        <w:tc>
          <w:tcPr>
            <w:tcW w:w="1528"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700"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0.000045</w:t>
            </w:r>
          </w:p>
        </w:tc>
        <w:tc>
          <w:tcPr>
            <w:tcW w:w="111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0.00036</w:t>
            </w:r>
          </w:p>
        </w:tc>
        <w:tc>
          <w:tcPr>
            <w:tcW w:w="1115" w:type="dxa"/>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firstLineChars="200"/>
        <w:textAlignment w:val="auto"/>
        <w:rPr>
          <w:rFonts w:hint="default" w:ascii="Times New Roman" w:hAnsi="Times New Roman" w:cs="Times New Roman"/>
          <w:sz w:val="24"/>
          <w:u w:val="single"/>
          <w:lang w:val="en-US" w:eastAsia="zh-CN"/>
        </w:rPr>
      </w:pPr>
      <w:r>
        <w:rPr>
          <w:rFonts w:hint="default" w:ascii="Times New Roman" w:hAnsi="Times New Roman" w:cs="Times New Roman"/>
          <w:sz w:val="24"/>
          <w:u w:val="single"/>
          <w:lang w:val="en-US" w:eastAsia="zh-CN"/>
        </w:rPr>
        <w:t>10%未被收集的</w:t>
      </w:r>
      <w:r>
        <w:rPr>
          <w:rFonts w:hint="eastAsia" w:ascii="Times New Roman" w:hAnsi="Times New Roman" w:cs="Times New Roman"/>
          <w:sz w:val="24"/>
          <w:u w:val="single"/>
          <w:lang w:val="en-US" w:eastAsia="zh-CN"/>
        </w:rPr>
        <w:t>污水处理站</w:t>
      </w:r>
      <w:r>
        <w:rPr>
          <w:rFonts w:hint="default" w:ascii="Times New Roman" w:hAnsi="Times New Roman" w:cs="Times New Roman"/>
          <w:sz w:val="24"/>
          <w:u w:val="single"/>
          <w:lang w:val="en-US" w:eastAsia="zh-CN"/>
        </w:rPr>
        <w:t>废气以无组织的形式排放，经空气扩散、稀释作用，对周围环境影响较小。项目</w:t>
      </w:r>
      <w:r>
        <w:rPr>
          <w:rFonts w:hint="eastAsia" w:ascii="Times New Roman" w:hAnsi="Times New Roman" w:cs="Times New Roman"/>
          <w:b w:val="0"/>
          <w:bCs w:val="0"/>
          <w:sz w:val="24"/>
          <w:u w:val="single"/>
          <w:lang w:val="en-US" w:eastAsia="zh-CN"/>
        </w:rPr>
        <w:t>污水处理站</w:t>
      </w:r>
      <w:r>
        <w:rPr>
          <w:rFonts w:hint="default" w:ascii="Times New Roman" w:hAnsi="Times New Roman" w:cs="Times New Roman"/>
          <w:sz w:val="24"/>
          <w:u w:val="single"/>
          <w:lang w:val="en-US" w:eastAsia="zh-CN"/>
        </w:rPr>
        <w:t>无组织恶臭气体排放情况见表</w:t>
      </w:r>
      <w:r>
        <w:rPr>
          <w:rFonts w:hint="eastAsia" w:ascii="Times New Roman" w:hAnsi="Times New Roman" w:cs="Times New Roman"/>
          <w:sz w:val="24"/>
          <w:highlight w:val="none"/>
          <w:u w:val="single"/>
          <w:lang w:val="en-US" w:eastAsia="zh-CN"/>
        </w:rPr>
        <w:t>3</w:t>
      </w:r>
      <w:r>
        <w:rPr>
          <w:rFonts w:hint="default" w:ascii="Times New Roman" w:hAnsi="Times New Roman" w:cs="Times New Roman"/>
          <w:sz w:val="24"/>
          <w:highlight w:val="none"/>
          <w:u w:val="single"/>
          <w:lang w:val="en-US" w:eastAsia="zh-CN"/>
        </w:rPr>
        <w:t>-</w:t>
      </w:r>
      <w:r>
        <w:rPr>
          <w:rFonts w:hint="eastAsia" w:ascii="Times New Roman" w:hAnsi="Times New Roman" w:cs="Times New Roman"/>
          <w:sz w:val="24"/>
          <w:highlight w:val="none"/>
          <w:u w:val="single"/>
          <w:lang w:val="en-US" w:eastAsia="zh-CN"/>
        </w:rPr>
        <w:t>21</w:t>
      </w:r>
      <w:r>
        <w:rPr>
          <w:rFonts w:hint="default" w:ascii="Times New Roman" w:hAnsi="Times New Roman" w:cs="Times New Roman"/>
          <w:sz w:val="24"/>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4"/>
          <w:u w:val="single"/>
          <w:lang w:eastAsia="zh-CN"/>
        </w:rPr>
      </w:pPr>
      <w:r>
        <w:rPr>
          <w:rFonts w:hint="default" w:ascii="Times New Roman" w:hAnsi="Times New Roman" w:cs="Times New Roman"/>
          <w:b/>
          <w:bCs/>
          <w:sz w:val="24"/>
          <w:u w:val="single"/>
          <w:lang w:val="en-US" w:eastAsia="zh-CN"/>
        </w:rPr>
        <w:t>表</w:t>
      </w:r>
      <w:r>
        <w:rPr>
          <w:rFonts w:hint="eastAsia" w:ascii="Times New Roman" w:hAnsi="Times New Roman" w:cs="Times New Roman"/>
          <w:b/>
          <w:bCs/>
          <w:sz w:val="24"/>
          <w:u w:val="single"/>
          <w:lang w:val="en-US" w:eastAsia="zh-CN"/>
        </w:rPr>
        <w:t>3</w:t>
      </w:r>
      <w:r>
        <w:rPr>
          <w:rFonts w:hint="default" w:ascii="Times New Roman" w:hAnsi="Times New Roman" w:cs="Times New Roman"/>
          <w:b/>
          <w:bCs/>
          <w:sz w:val="24"/>
          <w:u w:val="single"/>
          <w:lang w:val="en-US" w:eastAsia="zh-CN"/>
        </w:rPr>
        <w:t>-</w:t>
      </w:r>
      <w:r>
        <w:rPr>
          <w:rFonts w:hint="eastAsia" w:ascii="Times New Roman" w:hAnsi="Times New Roman" w:cs="Times New Roman"/>
          <w:b/>
          <w:bCs/>
          <w:sz w:val="24"/>
          <w:u w:val="single"/>
          <w:lang w:val="en-US" w:eastAsia="zh-CN"/>
        </w:rPr>
        <w:t xml:space="preserve">21    </w:t>
      </w:r>
      <w:r>
        <w:rPr>
          <w:rFonts w:hint="default" w:ascii="Times New Roman" w:hAnsi="Times New Roman" w:cs="Times New Roman"/>
          <w:b/>
          <w:bCs/>
          <w:sz w:val="24"/>
          <w:u w:val="single"/>
          <w:lang w:val="en-US" w:eastAsia="zh-CN"/>
        </w:rPr>
        <w:t>项目</w:t>
      </w:r>
      <w:r>
        <w:rPr>
          <w:rFonts w:hint="eastAsia" w:ascii="Times New Roman" w:hAnsi="Times New Roman" w:cs="Times New Roman"/>
          <w:b/>
          <w:bCs/>
          <w:sz w:val="24"/>
          <w:u w:val="single"/>
          <w:lang w:val="en-US" w:eastAsia="zh-CN"/>
        </w:rPr>
        <w:t>污水处理站</w:t>
      </w:r>
      <w:r>
        <w:rPr>
          <w:rFonts w:hint="default" w:ascii="Times New Roman" w:hAnsi="Times New Roman" w:cs="Times New Roman"/>
          <w:b/>
          <w:bCs/>
          <w:sz w:val="24"/>
          <w:u w:val="single"/>
          <w:lang w:val="en-US" w:eastAsia="zh-CN"/>
        </w:rPr>
        <w:t>无组织恶臭气体排放情况</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2342"/>
        <w:gridCol w:w="2343"/>
        <w:gridCol w:w="2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污染源</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污染物</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18"/>
                <w:szCs w:val="18"/>
                <w:u w:val="single"/>
                <w:vertAlign w:val="baseline"/>
                <w:lang w:val="en-US" w:eastAsia="zh-CN"/>
              </w:rPr>
              <w:t>排放速率kg/h</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污水处理站</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0.0013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0.00005</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0.0004</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④</w:t>
      </w:r>
      <w:r>
        <w:rPr>
          <w:rFonts w:hint="default" w:ascii="Times New Roman" w:hAnsi="Times New Roman" w:cs="Times New Roman"/>
          <w:sz w:val="24"/>
          <w:szCs w:val="24"/>
          <w:u w:val="single"/>
          <w:lang w:val="en-US" w:eastAsia="zh-CN"/>
        </w:rPr>
        <w:t>一般固废暂存间恶臭</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项目一般固废暂存间设于厂区东南</w:t>
      </w:r>
      <w:r>
        <w:rPr>
          <w:rFonts w:hint="eastAsia" w:ascii="Times New Roman" w:hAnsi="Times New Roman" w:cs="Times New Roman"/>
          <w:sz w:val="24"/>
          <w:szCs w:val="24"/>
          <w:u w:val="single"/>
          <w:lang w:val="en-US" w:eastAsia="zh-CN"/>
        </w:rPr>
        <w:t>侧</w:t>
      </w:r>
      <w:r>
        <w:rPr>
          <w:rFonts w:hint="default" w:ascii="Times New Roman" w:hAnsi="Times New Roman" w:cs="Times New Roman"/>
          <w:sz w:val="24"/>
          <w:szCs w:val="24"/>
          <w:u w:val="single"/>
          <w:lang w:val="en-US" w:eastAsia="zh-CN"/>
        </w:rPr>
        <w:t>，临近厂区污水处理站，主要暂存牛羊粪便、胃内容物、肠内容物等。类比参考《养猪场恶臭影响量化分析及控制对策研究》（孙艳青、张潞、李万庆，天津市环境影响评价中心）中粪便收集间恶臭源强，NH</w:t>
      </w:r>
      <w:r>
        <w:rPr>
          <w:rFonts w:hint="default" w:ascii="Times New Roman" w:hAnsi="Times New Roman" w:cs="Times New Roman"/>
          <w:sz w:val="24"/>
          <w:szCs w:val="24"/>
          <w:u w:val="single"/>
          <w:vertAlign w:val="subscript"/>
          <w:lang w:val="en-US" w:eastAsia="zh-CN"/>
        </w:rPr>
        <w:t>3</w:t>
      </w:r>
      <w:r>
        <w:rPr>
          <w:rFonts w:hint="default" w:ascii="Times New Roman" w:hAnsi="Times New Roman" w:cs="Times New Roman"/>
          <w:sz w:val="24"/>
          <w:szCs w:val="24"/>
          <w:u w:val="single"/>
          <w:lang w:val="en-US" w:eastAsia="zh-CN"/>
        </w:rPr>
        <w:t>的平均排放量是4.35g/m</w:t>
      </w:r>
      <w:r>
        <w:rPr>
          <w:rFonts w:hint="default" w:ascii="Times New Roman" w:hAnsi="Times New Roman" w:cs="Times New Roman"/>
          <w:sz w:val="24"/>
          <w:szCs w:val="24"/>
          <w:u w:val="single"/>
          <w:vertAlign w:val="superscript"/>
          <w:lang w:val="en-US" w:eastAsia="zh-CN"/>
        </w:rPr>
        <w:t>2</w:t>
      </w:r>
      <w:r>
        <w:rPr>
          <w:rFonts w:hint="default" w:ascii="Times New Roman" w:hAnsi="Times New Roman" w:cs="Times New Roman"/>
          <w:sz w:val="24"/>
          <w:szCs w:val="24"/>
          <w:u w:val="single"/>
          <w:lang w:val="en-US" w:eastAsia="zh-CN"/>
        </w:rPr>
        <w:t>·d，H</w:t>
      </w:r>
      <w:r>
        <w:rPr>
          <w:rFonts w:hint="default" w:ascii="Times New Roman" w:hAnsi="Times New Roman" w:cs="Times New Roman"/>
          <w:sz w:val="24"/>
          <w:szCs w:val="24"/>
          <w:u w:val="single"/>
          <w:vertAlign w:val="subscript"/>
          <w:lang w:val="en-US" w:eastAsia="zh-CN"/>
        </w:rPr>
        <w:t>2</w:t>
      </w:r>
      <w:r>
        <w:rPr>
          <w:rFonts w:hint="default" w:ascii="Times New Roman" w:hAnsi="Times New Roman" w:cs="Times New Roman"/>
          <w:sz w:val="24"/>
          <w:szCs w:val="24"/>
          <w:u w:val="single"/>
          <w:lang w:val="en-US" w:eastAsia="zh-CN"/>
        </w:rPr>
        <w:t>S的平均排放量是0.54g/m</w:t>
      </w:r>
      <w:r>
        <w:rPr>
          <w:rFonts w:hint="default" w:ascii="Times New Roman" w:hAnsi="Times New Roman" w:cs="Times New Roman"/>
          <w:sz w:val="24"/>
          <w:szCs w:val="24"/>
          <w:u w:val="single"/>
          <w:vertAlign w:val="superscript"/>
          <w:lang w:val="en-US" w:eastAsia="zh-CN"/>
        </w:rPr>
        <w:t>2</w:t>
      </w:r>
      <w:r>
        <w:rPr>
          <w:rFonts w:hint="default" w:ascii="Times New Roman" w:hAnsi="Times New Roman" w:cs="Times New Roman"/>
          <w:sz w:val="24"/>
          <w:szCs w:val="24"/>
          <w:u w:val="single"/>
          <w:lang w:val="en-US" w:eastAsia="zh-CN"/>
        </w:rPr>
        <w:t>·d，本项目一般固废暂存间</w:t>
      </w:r>
      <w:r>
        <w:rPr>
          <w:rFonts w:hint="eastAsia" w:ascii="Times New Roman" w:hAnsi="Times New Roman" w:cs="Times New Roman"/>
          <w:sz w:val="24"/>
          <w:szCs w:val="24"/>
          <w:u w:val="single"/>
          <w:lang w:val="en-US" w:eastAsia="zh-CN"/>
        </w:rPr>
        <w:t>10</w:t>
      </w:r>
      <w:r>
        <w:rPr>
          <w:rFonts w:hint="default" w:ascii="Times New Roman" w:hAnsi="Times New Roman" w:cs="Times New Roman"/>
          <w:sz w:val="24"/>
          <w:szCs w:val="24"/>
          <w:u w:val="single"/>
          <w:lang w:val="en-US" w:eastAsia="zh-CN"/>
        </w:rPr>
        <w:t>0m</w:t>
      </w:r>
      <w:r>
        <w:rPr>
          <w:rFonts w:hint="default" w:ascii="Times New Roman" w:hAnsi="Times New Roman" w:cs="Times New Roman"/>
          <w:sz w:val="24"/>
          <w:szCs w:val="24"/>
          <w:u w:val="single"/>
          <w:vertAlign w:val="superscript"/>
          <w:lang w:val="en-US" w:eastAsia="zh-CN"/>
        </w:rPr>
        <w:t>2</w:t>
      </w:r>
      <w:r>
        <w:rPr>
          <w:rFonts w:hint="default" w:ascii="Times New Roman" w:hAnsi="Times New Roman" w:cs="Times New Roman"/>
          <w:sz w:val="24"/>
          <w:szCs w:val="24"/>
          <w:u w:val="single"/>
          <w:lang w:val="en-US" w:eastAsia="zh-CN"/>
        </w:rPr>
        <w:t>，</w:t>
      </w:r>
      <w:r>
        <w:rPr>
          <w:rFonts w:hint="eastAsia" w:ascii="Times New Roman" w:hAnsi="Times New Roman" w:cs="Times New Roman"/>
          <w:sz w:val="24"/>
          <w:szCs w:val="24"/>
          <w:u w:val="single"/>
          <w:lang w:val="en-US" w:eastAsia="zh-CN"/>
        </w:rPr>
        <w:t>确定</w:t>
      </w:r>
      <w:r>
        <w:rPr>
          <w:rFonts w:hint="default" w:ascii="Times New Roman" w:hAnsi="Times New Roman" w:cs="Times New Roman"/>
          <w:sz w:val="24"/>
          <w:szCs w:val="24"/>
          <w:u w:val="single"/>
          <w:lang w:val="en-US" w:eastAsia="zh-CN"/>
        </w:rPr>
        <w:t>本项目一般固废暂存间恶臭污染物源强，NH</w:t>
      </w:r>
      <w:r>
        <w:rPr>
          <w:rFonts w:hint="default" w:ascii="Times New Roman" w:hAnsi="Times New Roman" w:cs="Times New Roman"/>
          <w:sz w:val="24"/>
          <w:szCs w:val="24"/>
          <w:u w:val="single"/>
          <w:vertAlign w:val="subscript"/>
          <w:lang w:val="en-US" w:eastAsia="zh-CN"/>
        </w:rPr>
        <w:t>3</w:t>
      </w:r>
      <w:r>
        <w:rPr>
          <w:rFonts w:hint="eastAsia" w:ascii="Times New Roman" w:hAnsi="Times New Roman" w:cs="Times New Roman"/>
          <w:sz w:val="24"/>
          <w:szCs w:val="24"/>
          <w:u w:val="single"/>
          <w:lang w:val="en-US" w:eastAsia="zh-CN"/>
        </w:rPr>
        <w:t>：0.018</w:t>
      </w:r>
      <w:r>
        <w:rPr>
          <w:rFonts w:hint="eastAsia" w:ascii="Times New Roman" w:hAnsi="Times New Roman" w:eastAsia="宋体" w:cs="Times New Roman"/>
          <w:sz w:val="24"/>
          <w:szCs w:val="24"/>
          <w:u w:val="single"/>
          <w:vertAlign w:val="baseline"/>
          <w:lang w:val="en-US" w:eastAsia="zh-CN"/>
        </w:rPr>
        <w:t>kg/h，0.13t/a；H</w:t>
      </w:r>
      <w:r>
        <w:rPr>
          <w:rFonts w:hint="eastAsia" w:ascii="Times New Roman" w:hAnsi="Times New Roman" w:eastAsia="宋体" w:cs="Times New Roman"/>
          <w:sz w:val="24"/>
          <w:szCs w:val="24"/>
          <w:u w:val="single"/>
          <w:vertAlign w:val="subscript"/>
          <w:lang w:val="en-US" w:eastAsia="zh-CN"/>
        </w:rPr>
        <w:t>2</w:t>
      </w:r>
      <w:r>
        <w:rPr>
          <w:rFonts w:hint="eastAsia" w:ascii="Times New Roman" w:hAnsi="Times New Roman" w:eastAsia="宋体" w:cs="Times New Roman"/>
          <w:sz w:val="24"/>
          <w:szCs w:val="24"/>
          <w:u w:val="single"/>
          <w:vertAlign w:val="baseline"/>
          <w:lang w:val="en-US" w:eastAsia="zh-CN"/>
        </w:rPr>
        <w:t>S</w:t>
      </w:r>
      <w:r>
        <w:rPr>
          <w:rFonts w:hint="eastAsia" w:ascii="Times New Roman" w:hAnsi="Times New Roman" w:cs="Times New Roman"/>
          <w:sz w:val="24"/>
          <w:szCs w:val="24"/>
          <w:u w:val="single"/>
          <w:lang w:val="en-US" w:eastAsia="zh-CN"/>
        </w:rPr>
        <w:t>：0.002</w:t>
      </w:r>
      <w:r>
        <w:rPr>
          <w:rFonts w:hint="eastAsia" w:ascii="Times New Roman" w:hAnsi="Times New Roman" w:eastAsia="宋体" w:cs="Times New Roman"/>
          <w:sz w:val="24"/>
          <w:szCs w:val="24"/>
          <w:u w:val="single"/>
          <w:vertAlign w:val="baseline"/>
          <w:lang w:val="en-US" w:eastAsia="zh-CN"/>
        </w:rPr>
        <w:t>kg/h，0.016t/a；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lang w:val="en-US" w:eastAsia="zh-CN"/>
        </w:rPr>
      </w:pPr>
      <w:r>
        <w:rPr>
          <w:rFonts w:hint="default" w:ascii="Times New Roman" w:hAnsi="Times New Roman" w:cs="Times New Roman"/>
          <w:sz w:val="24"/>
          <w:szCs w:val="24"/>
          <w:u w:val="single"/>
        </w:rPr>
        <w:t>为降低一般固废暂存间恶臭，本次评价要求将一般固废暂存间等进行密闭，将暂存间废气通过密闭管道负压收集与待宰车间及屠宰车间废气一起经1套“喷淋塔+生物过滤除臭系统”进行处理，恶臭气体收集效率按90%计，“喷淋塔+生物过滤除臭系统”处理效率可达90%，处理后的废气通过1根15m高排气筒</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DA001</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排放。同时配合喷洒植物型除臭剂，可减少无组织恶臭气体的中NH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和H</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S的排放。由此计算出一般固废暂存间NH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、H</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S的有组织和无组织排放量。一般固废暂存间具体产排情况见表</w:t>
      </w:r>
      <w:r>
        <w:rPr>
          <w:rFonts w:hint="eastAsia" w:ascii="Times New Roman" w:hAnsi="Times New Roman" w:eastAsia="宋体" w:cs="Times New Roman"/>
          <w:sz w:val="24"/>
          <w:szCs w:val="24"/>
          <w:u w:val="single"/>
          <w:lang w:val="en-US" w:eastAsia="zh-CN"/>
        </w:rPr>
        <w:t>3</w:t>
      </w:r>
      <w:r>
        <w:rPr>
          <w:rFonts w:hint="default" w:ascii="Times New Roman" w:hAnsi="Times New Roman" w:cs="Times New Roman"/>
          <w:sz w:val="24"/>
          <w:szCs w:val="24"/>
          <w:u w:val="single"/>
        </w:rPr>
        <w:t>-2</w:t>
      </w:r>
      <w:r>
        <w:rPr>
          <w:rFonts w:hint="eastAsia" w:ascii="Times New Roman" w:hAnsi="Times New Roman" w:eastAsia="宋体" w:cs="Times New Roman"/>
          <w:sz w:val="24"/>
          <w:szCs w:val="24"/>
          <w:u w:val="single"/>
          <w:lang w:val="en-US" w:eastAsia="zh-CN"/>
        </w:rPr>
        <w:t>2。</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bCs/>
          <w:sz w:val="24"/>
          <w:szCs w:val="24"/>
          <w:lang w:eastAsia="zh-CN"/>
        </w:rPr>
      </w:pPr>
      <w:r>
        <w:rPr>
          <w:rFonts w:hint="default" w:ascii="Times New Roman" w:hAnsi="Times New Roman" w:eastAsia="宋体" w:cs="Times New Roman"/>
          <w:b/>
          <w:bCs/>
          <w:sz w:val="24"/>
          <w:szCs w:val="24"/>
          <w:lang w:eastAsia="zh-CN"/>
        </w:rPr>
        <w:t>表</w:t>
      </w:r>
      <w:r>
        <w:rPr>
          <w:rFonts w:hint="default" w:ascii="Times New Roman" w:hAnsi="Times New Roman" w:eastAsia="宋体" w:cs="Times New Roman"/>
          <w:b/>
          <w:bCs/>
          <w:sz w:val="24"/>
          <w:szCs w:val="24"/>
          <w:lang w:val="en-US" w:eastAsia="zh-CN"/>
        </w:rPr>
        <w:t xml:space="preserve">3-22    </w:t>
      </w:r>
      <w:r>
        <w:rPr>
          <w:rFonts w:hint="default" w:ascii="Times New Roman" w:hAnsi="Times New Roman" w:eastAsia="宋体" w:cs="Times New Roman"/>
          <w:b/>
          <w:bCs/>
          <w:sz w:val="24"/>
          <w:szCs w:val="24"/>
          <w:lang w:eastAsia="zh-CN"/>
        </w:rPr>
        <w:t>项目</w:t>
      </w:r>
      <w:r>
        <w:rPr>
          <w:rFonts w:hint="default" w:ascii="Times New Roman" w:hAnsi="Times New Roman" w:eastAsia="宋体" w:cs="Times New Roman"/>
          <w:b/>
          <w:bCs/>
          <w:sz w:val="24"/>
          <w:szCs w:val="24"/>
          <w:lang w:val="en-US" w:eastAsia="zh-CN"/>
        </w:rPr>
        <w:t>一般固废暂存间</w:t>
      </w:r>
      <w:r>
        <w:rPr>
          <w:rFonts w:hint="default" w:ascii="Times New Roman" w:hAnsi="Times New Roman" w:eastAsia="宋体" w:cs="Times New Roman"/>
          <w:b/>
          <w:bCs/>
          <w:sz w:val="24"/>
          <w:szCs w:val="24"/>
          <w:lang w:eastAsia="zh-CN"/>
        </w:rPr>
        <w:t>恶臭污染物产生源强一览表</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043"/>
        <w:gridCol w:w="1562"/>
        <w:gridCol w:w="1562"/>
        <w:gridCol w:w="1562"/>
        <w:gridCol w:w="1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来源</w:t>
            </w:r>
          </w:p>
        </w:tc>
        <w:tc>
          <w:tcPr>
            <w:tcW w:w="204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项目</w:t>
            </w:r>
          </w:p>
        </w:tc>
        <w:tc>
          <w:tcPr>
            <w:tcW w:w="3124"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3124"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lang w:eastAsia="zh-CN"/>
              </w:rPr>
              <w:t>速率</w:t>
            </w:r>
            <w:r>
              <w:rPr>
                <w:rFonts w:hint="default" w:ascii="Times New Roman" w:hAnsi="Times New Roman" w:cs="Times New Roman"/>
                <w:sz w:val="21"/>
                <w:szCs w:val="21"/>
              </w:rPr>
              <w:t>kg/h</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产生量</w:t>
            </w:r>
            <w:r>
              <w:rPr>
                <w:rFonts w:hint="eastAsia" w:ascii="Times New Roman" w:hAnsi="Times New Roman" w:eastAsia="宋体" w:cs="Times New Roman"/>
                <w:sz w:val="21"/>
                <w:szCs w:val="21"/>
                <w:vertAlign w:val="baseline"/>
                <w:lang w:val="en-US" w:eastAsia="zh-CN"/>
              </w:rPr>
              <w:t>t/a</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vertAlign w:val="baseline"/>
                <w:lang w:val="en-US" w:eastAsia="en-US" w:bidi="ar-SA"/>
              </w:rPr>
            </w:pPr>
            <w:r>
              <w:rPr>
                <w:rFonts w:hint="eastAsia" w:ascii="Times New Roman" w:hAnsi="Times New Roman" w:eastAsia="宋体" w:cs="Times New Roman"/>
                <w:sz w:val="21"/>
                <w:szCs w:val="21"/>
                <w:lang w:eastAsia="zh-CN"/>
              </w:rPr>
              <w:t>速率</w:t>
            </w:r>
            <w:r>
              <w:rPr>
                <w:rFonts w:hint="default" w:ascii="Times New Roman" w:hAnsi="Times New Roman" w:cs="Times New Roman"/>
                <w:sz w:val="21"/>
                <w:szCs w:val="21"/>
              </w:rPr>
              <w:t>kg/h</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vertAlign w:val="baseline"/>
                <w:lang w:val="en-US" w:eastAsia="zh-CN" w:bidi="ar-SA"/>
              </w:rPr>
            </w:pPr>
            <w:r>
              <w:rPr>
                <w:rFonts w:hint="eastAsia" w:ascii="Times New Roman" w:hAnsi="Times New Roman" w:eastAsia="宋体" w:cs="Times New Roman"/>
                <w:sz w:val="21"/>
                <w:szCs w:val="21"/>
                <w:vertAlign w:val="baseline"/>
                <w:lang w:eastAsia="zh-CN"/>
              </w:rPr>
              <w:t>产生量</w:t>
            </w:r>
            <w:r>
              <w:rPr>
                <w:rFonts w:hint="eastAsia" w:ascii="Times New Roman" w:hAnsi="Times New Roman" w:eastAsia="宋体" w:cs="Times New Roman"/>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一般固废暂存间</w:t>
            </w: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初始产生源强</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0.018</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0.13</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0.002</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有组织收集效率</w:t>
            </w:r>
          </w:p>
        </w:tc>
        <w:tc>
          <w:tcPr>
            <w:tcW w:w="6248"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有组织废气产生量</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0.016</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0.117</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0.0018</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p>
        </w:tc>
        <w:tc>
          <w:tcPr>
            <w:tcW w:w="20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vertAlign w:val="baseline"/>
              </w:rPr>
            </w:pPr>
            <w:r>
              <w:rPr>
                <w:rFonts w:hint="eastAsia" w:ascii="Times New Roman" w:hAnsi="Times New Roman" w:eastAsia="宋体" w:cs="Times New Roman"/>
                <w:sz w:val="21"/>
                <w:szCs w:val="21"/>
                <w:vertAlign w:val="baseline"/>
                <w:lang w:eastAsia="zh-CN"/>
              </w:rPr>
              <w:t>无组织废气产生量</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0.002</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0.013</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0.0002</w:t>
            </w:r>
          </w:p>
        </w:tc>
        <w:tc>
          <w:tcPr>
            <w:tcW w:w="15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0.0016</w:t>
            </w: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Lines="50" w:line="360" w:lineRule="auto"/>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项目一般固废暂存间恶臭产生及排放情况见表</w:t>
      </w:r>
      <w:r>
        <w:rPr>
          <w:rFonts w:hint="eastAsia" w:ascii="Times New Roman" w:hAnsi="Times New Roman" w:eastAsia="宋体" w:cs="Times New Roman"/>
          <w:snapToGrid w:val="0"/>
          <w:color w:val="000000"/>
          <w:kern w:val="0"/>
          <w:sz w:val="24"/>
          <w:szCs w:val="24"/>
          <w:lang w:val="en-US" w:eastAsia="zh-CN" w:bidi="ar"/>
        </w:rPr>
        <w:t>3</w:t>
      </w:r>
      <w:r>
        <w:rPr>
          <w:rFonts w:hint="default" w:ascii="Times New Roman" w:hAnsi="Times New Roman" w:eastAsia="宋体" w:cs="Times New Roman"/>
          <w:snapToGrid w:val="0"/>
          <w:color w:val="000000"/>
          <w:kern w:val="0"/>
          <w:sz w:val="24"/>
          <w:szCs w:val="24"/>
          <w:lang w:val="en-US" w:eastAsia="zh-CN" w:bidi="ar"/>
        </w:rPr>
        <w:t>-2</w:t>
      </w:r>
      <w:r>
        <w:rPr>
          <w:rFonts w:hint="eastAsia" w:ascii="Times New Roman" w:hAnsi="Times New Roman" w:eastAsia="宋体" w:cs="Times New Roman"/>
          <w:snapToGrid w:val="0"/>
          <w:color w:val="000000"/>
          <w:kern w:val="0"/>
          <w:sz w:val="24"/>
          <w:szCs w:val="24"/>
          <w:lang w:val="en-US" w:eastAsia="zh-CN" w:bidi="ar"/>
        </w:rPr>
        <w:t>3</w:t>
      </w:r>
      <w:r>
        <w:rPr>
          <w:rFonts w:hint="eastAsia" w:ascii="宋体" w:hAnsi="宋体" w:eastAsia="宋体" w:cs="宋体"/>
          <w:snapToGrid w:val="0"/>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sz w:val="24"/>
          <w:u w:val="single"/>
          <w:lang w:eastAsia="zh-CN"/>
        </w:rPr>
      </w:pPr>
      <w:r>
        <w:rPr>
          <w:rFonts w:hint="eastAsia" w:ascii="Times New Roman" w:hAnsi="Times New Roman" w:cs="Times New Roman"/>
          <w:b/>
          <w:bCs/>
          <w:sz w:val="24"/>
          <w:u w:val="single"/>
          <w:lang w:val="en-US" w:eastAsia="zh-CN"/>
        </w:rPr>
        <w:t>表3-23    项目一般固废暂存间有组织恶臭气体产生及排放情况</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937"/>
        <w:gridCol w:w="937"/>
        <w:gridCol w:w="937"/>
        <w:gridCol w:w="611"/>
        <w:gridCol w:w="1514"/>
        <w:gridCol w:w="686"/>
        <w:gridCol w:w="937"/>
        <w:gridCol w:w="937"/>
        <w:gridCol w:w="9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污染源</w:t>
            </w:r>
          </w:p>
        </w:tc>
        <w:tc>
          <w:tcPr>
            <w:tcW w:w="9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污染物</w:t>
            </w:r>
          </w:p>
        </w:tc>
        <w:tc>
          <w:tcPr>
            <w:tcW w:w="187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产生量</w:t>
            </w:r>
          </w:p>
        </w:tc>
        <w:tc>
          <w:tcPr>
            <w:tcW w:w="61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收集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效率</w:t>
            </w:r>
          </w:p>
        </w:tc>
        <w:tc>
          <w:tcPr>
            <w:tcW w:w="15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治理措施</w:t>
            </w:r>
          </w:p>
        </w:tc>
        <w:tc>
          <w:tcPr>
            <w:tcW w:w="6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去除</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效率</w:t>
            </w:r>
          </w:p>
        </w:tc>
        <w:tc>
          <w:tcPr>
            <w:tcW w:w="187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排放量</w:t>
            </w:r>
          </w:p>
        </w:tc>
        <w:tc>
          <w:tcPr>
            <w:tcW w:w="9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排气筒编号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9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kg/h</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t/a</w:t>
            </w:r>
          </w:p>
        </w:tc>
        <w:tc>
          <w:tcPr>
            <w:tcW w:w="6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15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6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kg/h</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t/a</w:t>
            </w:r>
          </w:p>
        </w:tc>
        <w:tc>
          <w:tcPr>
            <w:tcW w:w="9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一般固废暂存间</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0.016</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0.117</w:t>
            </w:r>
          </w:p>
        </w:tc>
        <w:tc>
          <w:tcPr>
            <w:tcW w:w="61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90%</w:t>
            </w:r>
          </w:p>
        </w:tc>
        <w:tc>
          <w:tcPr>
            <w:tcW w:w="15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default" w:ascii="Times New Roman" w:hAnsi="Times New Roman" w:cs="Times New Roman"/>
                <w:sz w:val="18"/>
                <w:szCs w:val="18"/>
                <w:u w:val="single"/>
                <w:vertAlign w:val="baseline"/>
                <w:lang w:val="en-US" w:eastAsia="zh-CN"/>
              </w:rPr>
              <w:t>集气收集系统+“喷淋塔+生物过滤除臭系统</w:t>
            </w:r>
          </w:p>
        </w:tc>
        <w:tc>
          <w:tcPr>
            <w:tcW w:w="6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90%</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0.0016</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0.0117</w:t>
            </w:r>
          </w:p>
        </w:tc>
        <w:tc>
          <w:tcPr>
            <w:tcW w:w="9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DA001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0.0018</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0.0144</w:t>
            </w:r>
          </w:p>
        </w:tc>
        <w:tc>
          <w:tcPr>
            <w:tcW w:w="6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15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6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0.00018</w:t>
            </w:r>
          </w:p>
        </w:tc>
        <w:tc>
          <w:tcPr>
            <w:tcW w:w="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r>
              <w:rPr>
                <w:rFonts w:hint="eastAsia" w:ascii="Times New Roman" w:hAnsi="Times New Roman" w:cs="Times New Roman"/>
                <w:sz w:val="18"/>
                <w:szCs w:val="18"/>
                <w:u w:val="single"/>
                <w:vertAlign w:val="baseline"/>
                <w:lang w:val="en-US" w:eastAsia="zh-CN"/>
              </w:rPr>
              <w:t>0.00144</w:t>
            </w:r>
          </w:p>
        </w:tc>
        <w:tc>
          <w:tcPr>
            <w:tcW w:w="9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u w:val="single"/>
                <w:vertAlign w:val="baseline"/>
                <w:lang w:val="en-US" w:eastAsia="zh-CN"/>
              </w:rPr>
            </w:pPr>
          </w:p>
        </w:tc>
      </w:tr>
    </w:tbl>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Lines="50" w:line="360" w:lineRule="auto"/>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由上表可知，项目一般固废暂存间恶臭排放满足《恶臭污染物排放标准》（</w:t>
      </w:r>
      <w:r>
        <w:rPr>
          <w:rFonts w:hint="default" w:ascii="Times New Roman" w:hAnsi="Times New Roman" w:eastAsia="宋体" w:cs="Times New Roman"/>
          <w:snapToGrid w:val="0"/>
          <w:color w:val="000000"/>
          <w:kern w:val="0"/>
          <w:sz w:val="24"/>
          <w:szCs w:val="24"/>
          <w:lang w:val="en-US" w:eastAsia="zh-CN" w:bidi="ar"/>
        </w:rPr>
        <w:t>GB14554-93</w:t>
      </w:r>
      <w:r>
        <w:rPr>
          <w:rFonts w:hint="eastAsia" w:ascii="宋体" w:hAnsi="宋体" w:eastAsia="宋体" w:cs="宋体"/>
          <w:snapToGrid w:val="0"/>
          <w:color w:val="000000"/>
          <w:kern w:val="0"/>
          <w:sz w:val="24"/>
          <w:szCs w:val="24"/>
          <w:lang w:val="en-US" w:eastAsia="zh-CN" w:bidi="ar"/>
        </w:rPr>
        <w:t>）表</w:t>
      </w:r>
      <w:r>
        <w:rPr>
          <w:rFonts w:hint="default" w:ascii="Times New Roman" w:hAnsi="Times New Roman" w:eastAsia="宋体" w:cs="Times New Roman"/>
          <w:snapToGrid w:val="0"/>
          <w:color w:val="000000"/>
          <w:kern w:val="0"/>
          <w:sz w:val="24"/>
          <w:szCs w:val="24"/>
          <w:lang w:val="en-US" w:eastAsia="zh-CN" w:bidi="ar"/>
        </w:rPr>
        <w:t>2</w:t>
      </w:r>
      <w:r>
        <w:rPr>
          <w:rFonts w:hint="eastAsia" w:ascii="宋体" w:hAnsi="宋体" w:eastAsia="宋体" w:cs="宋体"/>
          <w:snapToGrid w:val="0"/>
          <w:color w:val="000000"/>
          <w:kern w:val="0"/>
          <w:sz w:val="24"/>
          <w:szCs w:val="24"/>
          <w:lang w:val="en-US" w:eastAsia="zh-CN" w:bidi="ar"/>
        </w:rPr>
        <w:t>中恶臭污染物排放标准限值要求。</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pPr>
      <w:r>
        <w:rPr>
          <w:rFonts w:hint="default" w:ascii="Times New Roman" w:hAnsi="Times New Roman" w:eastAsia="宋体" w:cs="Times New Roman"/>
          <w:snapToGrid w:val="0"/>
          <w:color w:val="000000"/>
          <w:kern w:val="0"/>
          <w:sz w:val="24"/>
          <w:szCs w:val="24"/>
          <w:lang w:val="en-US" w:eastAsia="zh-CN" w:bidi="ar"/>
        </w:rPr>
        <w:t>10%</w:t>
      </w:r>
      <w:r>
        <w:rPr>
          <w:rFonts w:hint="eastAsia" w:ascii="宋体" w:hAnsi="宋体" w:eastAsia="宋体" w:cs="宋体"/>
          <w:snapToGrid w:val="0"/>
          <w:color w:val="000000"/>
          <w:kern w:val="0"/>
          <w:sz w:val="24"/>
          <w:szCs w:val="24"/>
          <w:lang w:val="en-US" w:eastAsia="zh-CN" w:bidi="ar"/>
        </w:rPr>
        <w:t>未被收集的一般固废暂存间废气以无组织的形式排放，经空气扩散、稀释作用，对周围环境影响较小。项目一般固废暂存间无组织恶臭气体排放情况表</w:t>
      </w:r>
      <w:r>
        <w:rPr>
          <w:rFonts w:hint="eastAsia" w:ascii="Times New Roman" w:hAnsi="Times New Roman" w:eastAsia="宋体" w:cs="Times New Roman"/>
          <w:snapToGrid w:val="0"/>
          <w:color w:val="000000"/>
          <w:kern w:val="0"/>
          <w:sz w:val="24"/>
          <w:szCs w:val="24"/>
          <w:lang w:val="en-US" w:eastAsia="zh-CN" w:bidi="ar"/>
        </w:rPr>
        <w:t>3</w:t>
      </w:r>
      <w:r>
        <w:rPr>
          <w:rFonts w:hint="default" w:ascii="Times New Roman" w:hAnsi="Times New Roman" w:eastAsia="宋体" w:cs="Times New Roman"/>
          <w:snapToGrid w:val="0"/>
          <w:color w:val="000000"/>
          <w:kern w:val="0"/>
          <w:sz w:val="24"/>
          <w:szCs w:val="24"/>
          <w:lang w:val="en-US" w:eastAsia="zh-CN" w:bidi="ar"/>
        </w:rPr>
        <w:t>-2</w:t>
      </w:r>
      <w:r>
        <w:rPr>
          <w:rFonts w:hint="eastAsia" w:ascii="Times New Roman" w:hAnsi="Times New Roman" w:eastAsia="宋体" w:cs="Times New Roman"/>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default" w:ascii="Times New Roman" w:hAnsi="Times New Roman" w:cs="Times New Roman"/>
          <w:sz w:val="24"/>
          <w:u w:val="single"/>
          <w:lang w:eastAsia="zh-CN"/>
        </w:rPr>
      </w:pPr>
      <w:r>
        <w:rPr>
          <w:rFonts w:hint="default" w:ascii="Times New Roman" w:hAnsi="Times New Roman" w:cs="Times New Roman"/>
          <w:b/>
          <w:bCs/>
          <w:sz w:val="24"/>
          <w:u w:val="single"/>
          <w:lang w:val="en-US" w:eastAsia="zh-CN"/>
        </w:rPr>
        <w:t>表</w:t>
      </w:r>
      <w:r>
        <w:rPr>
          <w:rFonts w:hint="eastAsia" w:ascii="Times New Roman" w:hAnsi="Times New Roman" w:cs="Times New Roman"/>
          <w:b/>
          <w:bCs/>
          <w:sz w:val="24"/>
          <w:u w:val="single"/>
          <w:lang w:val="en-US" w:eastAsia="zh-CN"/>
        </w:rPr>
        <w:t>3</w:t>
      </w:r>
      <w:r>
        <w:rPr>
          <w:rFonts w:hint="default" w:ascii="Times New Roman" w:hAnsi="Times New Roman" w:cs="Times New Roman"/>
          <w:b/>
          <w:bCs/>
          <w:sz w:val="24"/>
          <w:u w:val="single"/>
          <w:lang w:val="en-US" w:eastAsia="zh-CN"/>
        </w:rPr>
        <w:t>-</w:t>
      </w:r>
      <w:r>
        <w:rPr>
          <w:rFonts w:hint="eastAsia" w:ascii="Times New Roman" w:hAnsi="Times New Roman" w:cs="Times New Roman"/>
          <w:b/>
          <w:bCs/>
          <w:sz w:val="24"/>
          <w:u w:val="single"/>
          <w:lang w:val="en-US" w:eastAsia="zh-CN"/>
        </w:rPr>
        <w:t xml:space="preserve">24    </w:t>
      </w:r>
      <w:r>
        <w:rPr>
          <w:rFonts w:hint="default" w:ascii="Times New Roman" w:hAnsi="Times New Roman" w:cs="Times New Roman"/>
          <w:b/>
          <w:bCs/>
          <w:sz w:val="24"/>
          <w:u w:val="single"/>
          <w:lang w:val="en-US" w:eastAsia="zh-CN"/>
        </w:rPr>
        <w:t>项目</w:t>
      </w:r>
      <w:r>
        <w:rPr>
          <w:rFonts w:hint="eastAsia" w:ascii="Times New Roman" w:hAnsi="Times New Roman" w:cs="Times New Roman"/>
          <w:b/>
          <w:bCs/>
          <w:sz w:val="24"/>
          <w:u w:val="single"/>
          <w:lang w:val="en-US" w:eastAsia="zh-CN"/>
        </w:rPr>
        <w:t>一般固废</w:t>
      </w:r>
      <w:r>
        <w:rPr>
          <w:rFonts w:hint="default" w:ascii="Times New Roman" w:hAnsi="Times New Roman" w:cs="Times New Roman"/>
          <w:b/>
          <w:bCs/>
          <w:sz w:val="24"/>
          <w:u w:val="single"/>
          <w:lang w:val="en-US" w:eastAsia="zh-CN"/>
        </w:rPr>
        <w:t>间无组织恶臭气体排放情况</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2342"/>
        <w:gridCol w:w="2343"/>
        <w:gridCol w:w="2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污染源</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污染物</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18"/>
                <w:szCs w:val="18"/>
                <w:u w:val="single"/>
                <w:vertAlign w:val="baseline"/>
                <w:lang w:val="en-US" w:eastAsia="zh-CN"/>
              </w:rPr>
              <w:t>排放速率kg/h</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一般固废暂存间</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0.002</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0.0002</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0.0016</w:t>
            </w:r>
          </w:p>
        </w:tc>
      </w:tr>
    </w:tbl>
    <w:p>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综上，项目待宰间、屠宰车间、污水污水处理站及一般固废暂存间恶臭气体经收集一起经 1 套“喷淋塔+生物过滤除臭系统”进行处理，项目待宰间、屠宰车间、污水污水处理站及一般固废暂存间恶臭产生及排放情况见表</w:t>
      </w:r>
      <w:r>
        <w:rPr>
          <w:rFonts w:hint="eastAsia" w:ascii="Times New Roman" w:hAnsi="Times New Roman" w:eastAsia="宋体" w:cs="Times New Roman"/>
          <w:sz w:val="24"/>
          <w:szCs w:val="24"/>
          <w:lang w:val="en-US" w:eastAsia="zh-CN"/>
        </w:rPr>
        <w:t>3</w:t>
      </w:r>
      <w:r>
        <w:rPr>
          <w:rFonts w:hint="default" w:ascii="Times New Roman" w:hAnsi="Times New Roman" w:cs="Times New Roman"/>
          <w:sz w:val="24"/>
          <w:szCs w:val="24"/>
        </w:rPr>
        <w:t>-2</w:t>
      </w:r>
      <w:r>
        <w:rPr>
          <w:rFonts w:hint="eastAsia" w:ascii="Times New Roman" w:hAnsi="Times New Roman" w:eastAsia="宋体" w:cs="Times New Roman"/>
          <w:sz w:val="24"/>
          <w:szCs w:val="24"/>
          <w:lang w:val="en-US" w:eastAsia="zh-CN"/>
        </w:rPr>
        <w:t>5和3</w:t>
      </w:r>
      <w:r>
        <w:rPr>
          <w:rFonts w:hint="default" w:ascii="Times New Roman" w:hAnsi="Times New Roman" w:cs="Times New Roman"/>
          <w:sz w:val="24"/>
          <w:szCs w:val="24"/>
        </w:rPr>
        <w:t>-2</w:t>
      </w:r>
      <w:r>
        <w:rPr>
          <w:rFonts w:hint="eastAsia" w:ascii="Times New Roman" w:hAnsi="Times New Roman" w:eastAsia="宋体" w:cs="Times New Roman"/>
          <w:sz w:val="24"/>
          <w:szCs w:val="24"/>
          <w:lang w:val="en-US" w:eastAsia="zh-CN"/>
        </w:rPr>
        <w:t>6</w:t>
      </w:r>
      <w:r>
        <w:rPr>
          <w:rFonts w:hint="default" w:ascii="Times New Roman" w:hAnsi="Times New Roman" w:cs="Times New Roman"/>
          <w:sz w:val="24"/>
          <w:szCs w:val="24"/>
        </w:rPr>
        <w:t>。</w:t>
      </w:r>
    </w:p>
    <w:p>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snapToGrid w:val="0"/>
          <w:color w:val="000000"/>
          <w:kern w:val="0"/>
          <w:sz w:val="24"/>
          <w:szCs w:val="24"/>
          <w:lang w:val="en-US" w:eastAsia="zh-CN" w:bidi="ar"/>
        </w:rPr>
        <w:t xml:space="preserve">表3-25 </w:t>
      </w:r>
      <w:r>
        <w:rPr>
          <w:rFonts w:hint="eastAsia" w:ascii="Times New Roman" w:hAnsi="Times New Roman" w:eastAsia="宋体" w:cs="Times New Roman"/>
          <w:b/>
          <w:bCs/>
          <w:snapToGrid w:val="0"/>
          <w:color w:val="000000"/>
          <w:kern w:val="0"/>
          <w:sz w:val="24"/>
          <w:szCs w:val="24"/>
          <w:lang w:val="en-US" w:eastAsia="zh-CN" w:bidi="ar"/>
        </w:rPr>
        <w:t xml:space="preserve">   </w:t>
      </w:r>
      <w:r>
        <w:rPr>
          <w:rFonts w:hint="default" w:ascii="Times New Roman" w:hAnsi="Times New Roman" w:eastAsia="宋体" w:cs="Times New Roman"/>
          <w:b/>
          <w:bCs/>
          <w:snapToGrid w:val="0"/>
          <w:color w:val="000000"/>
          <w:kern w:val="0"/>
          <w:sz w:val="24"/>
          <w:szCs w:val="24"/>
          <w:lang w:val="en-US" w:eastAsia="zh-CN" w:bidi="ar"/>
        </w:rPr>
        <w:t>项目恶臭有组织废气排放情况一览表</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327"/>
        <w:gridCol w:w="1144"/>
        <w:gridCol w:w="1162"/>
        <w:gridCol w:w="1156"/>
        <w:gridCol w:w="1447"/>
        <w:gridCol w:w="1347"/>
        <w:gridCol w:w="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lang w:val="en-US" w:eastAsia="zh-CN"/>
              </w:rPr>
            </w:pPr>
            <w:r>
              <w:rPr>
                <w:rFonts w:hint="default" w:ascii="Times New Roman" w:hAnsi="Times New Roman" w:eastAsia="宋体" w:cs="Times New Roman"/>
                <w:spacing w:val="-3"/>
                <w:sz w:val="21"/>
                <w:szCs w:val="21"/>
                <w:vertAlign w:val="baseline"/>
                <w:lang w:val="en-US" w:eastAsia="zh-CN"/>
              </w:rPr>
              <w:t>排放</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lang w:val="en-US" w:eastAsia="zh-CN"/>
              </w:rPr>
            </w:pPr>
            <w:r>
              <w:rPr>
                <w:rFonts w:hint="default" w:ascii="Times New Roman" w:hAnsi="Times New Roman" w:eastAsia="宋体" w:cs="Times New Roman"/>
                <w:spacing w:val="-3"/>
                <w:sz w:val="21"/>
                <w:szCs w:val="21"/>
                <w:vertAlign w:val="baseline"/>
                <w:lang w:val="en-US" w:eastAsia="zh-CN"/>
              </w:rPr>
              <w:t>方式</w:t>
            </w:r>
          </w:p>
        </w:tc>
        <w:tc>
          <w:tcPr>
            <w:tcW w:w="132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default" w:ascii="Times New Roman" w:hAnsi="Times New Roman" w:eastAsia="宋体" w:cs="Times New Roman"/>
                <w:spacing w:val="-3"/>
                <w:sz w:val="21"/>
                <w:szCs w:val="21"/>
                <w:vertAlign w:val="baseline"/>
                <w:lang w:val="en-US" w:eastAsia="zh-CN"/>
              </w:rPr>
              <w:t xml:space="preserve">污染物产 </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default" w:ascii="Times New Roman" w:hAnsi="Times New Roman" w:eastAsia="宋体" w:cs="Times New Roman"/>
                <w:spacing w:val="-3"/>
                <w:sz w:val="21"/>
                <w:szCs w:val="21"/>
                <w:vertAlign w:val="baseline"/>
                <w:lang w:val="en-US" w:eastAsia="zh-CN"/>
              </w:rPr>
              <w:t>生单元</w:t>
            </w:r>
          </w:p>
        </w:tc>
        <w:tc>
          <w:tcPr>
            <w:tcW w:w="114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default" w:ascii="Times New Roman" w:hAnsi="Times New Roman" w:eastAsia="宋体" w:cs="Times New Roman"/>
                <w:spacing w:val="-3"/>
                <w:sz w:val="21"/>
                <w:szCs w:val="21"/>
                <w:vertAlign w:val="baseline"/>
                <w:lang w:val="en-US" w:eastAsia="zh-CN"/>
              </w:rPr>
              <w:t xml:space="preserve">污染物 </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default" w:ascii="Times New Roman" w:hAnsi="Times New Roman" w:eastAsia="宋体" w:cs="Times New Roman"/>
                <w:spacing w:val="-3"/>
                <w:sz w:val="21"/>
                <w:szCs w:val="21"/>
                <w:vertAlign w:val="baseline"/>
                <w:lang w:val="en-US" w:eastAsia="zh-CN"/>
              </w:rPr>
              <w:t>类别</w:t>
            </w:r>
          </w:p>
        </w:tc>
        <w:tc>
          <w:tcPr>
            <w:tcW w:w="2318"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lang w:val="en-US" w:eastAsia="zh-CN"/>
              </w:rPr>
            </w:pPr>
            <w:r>
              <w:rPr>
                <w:rFonts w:hint="eastAsia" w:ascii="Times New Roman" w:hAnsi="Times New Roman" w:eastAsia="宋体" w:cs="Times New Roman"/>
                <w:spacing w:val="-3"/>
                <w:sz w:val="21"/>
                <w:szCs w:val="21"/>
                <w:vertAlign w:val="baseline"/>
                <w:lang w:val="en-US" w:eastAsia="zh-CN"/>
              </w:rPr>
              <w:t>排放情况</w:t>
            </w:r>
          </w:p>
        </w:tc>
        <w:tc>
          <w:tcPr>
            <w:tcW w:w="2794"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pacing w:val="-3"/>
                <w:sz w:val="21"/>
                <w:szCs w:val="21"/>
                <w:vertAlign w:val="baseline"/>
                <w:lang w:val="en-US" w:eastAsia="zh-CN"/>
              </w:rPr>
              <w:t>全厂排放情况</w:t>
            </w:r>
          </w:p>
        </w:tc>
        <w:tc>
          <w:tcPr>
            <w:tcW w:w="84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default" w:ascii="Times New Roman" w:hAnsi="Times New Roman" w:eastAsia="宋体" w:cs="Times New Roman"/>
                <w:spacing w:val="-3"/>
                <w:sz w:val="21"/>
                <w:szCs w:val="21"/>
                <w:vertAlign w:val="baseline"/>
              </w:rPr>
              <w:t>排气筒编号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2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1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16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cs="Times New Roman"/>
                <w:sz w:val="21"/>
                <w:szCs w:val="21"/>
                <w:u w:val="single"/>
                <w:vertAlign w:val="baseline"/>
                <w:lang w:val="en-US" w:eastAsia="zh-CN"/>
              </w:rPr>
              <w:t>kg/h</w:t>
            </w:r>
          </w:p>
        </w:tc>
        <w:tc>
          <w:tcPr>
            <w:tcW w:w="115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cs="Times New Roman"/>
                <w:sz w:val="21"/>
                <w:szCs w:val="21"/>
                <w:u w:val="single"/>
                <w:vertAlign w:val="baseline"/>
                <w:lang w:val="en-US" w:eastAsia="zh-CN"/>
              </w:rPr>
              <w:t>t/a</w:t>
            </w:r>
          </w:p>
        </w:tc>
        <w:tc>
          <w:tcPr>
            <w:tcW w:w="14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cs="Times New Roman"/>
                <w:sz w:val="21"/>
                <w:szCs w:val="21"/>
                <w:u w:val="single"/>
                <w:vertAlign w:val="baseline"/>
                <w:lang w:val="en-US" w:eastAsia="zh-CN"/>
              </w:rPr>
              <w:t>kg/h</w:t>
            </w:r>
          </w:p>
        </w:tc>
        <w:tc>
          <w:tcPr>
            <w:tcW w:w="13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cs="Times New Roman"/>
                <w:sz w:val="21"/>
                <w:szCs w:val="21"/>
                <w:u w:val="single"/>
                <w:vertAlign w:val="baseline"/>
                <w:lang w:val="en-US" w:eastAsia="zh-CN"/>
              </w:rPr>
              <w:t>t/a</w:t>
            </w:r>
          </w:p>
        </w:tc>
        <w:tc>
          <w:tcPr>
            <w:tcW w:w="84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3"/>
                <w:sz w:val="21"/>
                <w:szCs w:val="21"/>
                <w:vertAlign w:val="baseline"/>
                <w:lang w:val="en-US" w:eastAsia="zh-CN"/>
              </w:rPr>
            </w:pPr>
            <w:r>
              <w:rPr>
                <w:rFonts w:hint="eastAsia" w:ascii="Times New Roman" w:hAnsi="Times New Roman" w:eastAsia="宋体" w:cs="Times New Roman"/>
                <w:spacing w:val="-3"/>
                <w:sz w:val="21"/>
                <w:szCs w:val="21"/>
                <w:vertAlign w:val="baseline"/>
                <w:lang w:val="en-US" w:eastAsia="zh-CN"/>
              </w:rPr>
              <w:t>有组织</w:t>
            </w:r>
          </w:p>
        </w:tc>
        <w:tc>
          <w:tcPr>
            <w:tcW w:w="132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3"/>
                <w:sz w:val="21"/>
                <w:szCs w:val="21"/>
                <w:vertAlign w:val="baseline"/>
                <w:lang w:val="en-US" w:eastAsia="zh-CN"/>
              </w:rPr>
            </w:pPr>
            <w:r>
              <w:rPr>
                <w:rFonts w:hint="eastAsia" w:ascii="Times New Roman" w:hAnsi="Times New Roman" w:eastAsia="宋体" w:cs="Times New Roman"/>
                <w:spacing w:val="-3"/>
                <w:sz w:val="21"/>
                <w:szCs w:val="21"/>
                <w:vertAlign w:val="baseline"/>
                <w:lang w:val="en-US" w:eastAsia="zh-CN"/>
              </w:rPr>
              <w:t>待宰间</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3"/>
                <w:sz w:val="21"/>
                <w:szCs w:val="21"/>
                <w:vertAlign w:val="baseline"/>
                <w:lang w:val="en-US"/>
              </w:rPr>
            </w:pPr>
            <w:r>
              <w:rPr>
                <w:rFonts w:hint="eastAsia" w:ascii="Times New Roman" w:hAnsi="Times New Roman" w:cs="Times New Roman"/>
                <w:sz w:val="21"/>
                <w:szCs w:val="21"/>
                <w:u w:val="single"/>
                <w:vertAlign w:val="baseline"/>
                <w:lang w:val="en-US" w:eastAsia="zh-CN"/>
              </w:rPr>
              <w:t>0.004018</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3"/>
                <w:sz w:val="21"/>
                <w:szCs w:val="21"/>
                <w:vertAlign w:val="baseline"/>
                <w:lang w:val="en-US"/>
              </w:rPr>
            </w:pPr>
            <w:r>
              <w:rPr>
                <w:rFonts w:hint="eastAsia" w:ascii="Times New Roman" w:hAnsi="Times New Roman" w:cs="Times New Roman"/>
                <w:sz w:val="21"/>
                <w:szCs w:val="21"/>
                <w:u w:val="single"/>
                <w:vertAlign w:val="baseline"/>
                <w:lang w:val="en-US" w:eastAsia="zh-CN"/>
              </w:rPr>
              <w:t>0.03078</w:t>
            </w:r>
          </w:p>
        </w:tc>
        <w:tc>
          <w:tcPr>
            <w:tcW w:w="144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r>
              <w:rPr>
                <w:rFonts w:hint="eastAsia" w:ascii="Times New Roman" w:hAnsi="Times New Roman" w:cs="Times New Roman"/>
                <w:sz w:val="21"/>
                <w:szCs w:val="21"/>
                <w:u w:val="single"/>
                <w:vertAlign w:val="baseline"/>
                <w:lang w:val="en-US" w:eastAsia="zh-CN"/>
              </w:rPr>
              <w:t xml:space="preserve"> 0.011908</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sz w:val="21"/>
                <w:szCs w:val="21"/>
                <w:u w:val="single"/>
                <w:vertAlign w:val="baseli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lang w:val="en-US"/>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 0.000717</w:t>
            </w:r>
          </w:p>
        </w:tc>
        <w:tc>
          <w:tcPr>
            <w:tcW w:w="134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r>
              <w:rPr>
                <w:rFonts w:hint="eastAsia" w:ascii="Times New Roman" w:hAnsi="Times New Roman" w:cs="Times New Roman"/>
                <w:sz w:val="21"/>
                <w:szCs w:val="21"/>
                <w:u w:val="single"/>
                <w:vertAlign w:val="baseline"/>
                <w:lang w:val="en-US" w:eastAsia="zh-CN"/>
              </w:rPr>
              <w:t xml:space="preserve"> 0.07768</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sz w:val="21"/>
                <w:szCs w:val="21"/>
                <w:u w:val="single"/>
                <w:vertAlign w:val="baseli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lang w:val="en-US"/>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 0.00523</w:t>
            </w:r>
          </w:p>
        </w:tc>
        <w:tc>
          <w:tcPr>
            <w:tcW w:w="84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lang w:val="en-US" w:eastAsia="zh-CN"/>
              </w:rPr>
            </w:pPr>
            <w:r>
              <w:rPr>
                <w:rFonts w:hint="default" w:ascii="Times New Roman" w:hAnsi="Times New Roman" w:eastAsia="宋体" w:cs="Times New Roman"/>
                <w:spacing w:val="-3"/>
                <w:sz w:val="21"/>
                <w:szCs w:val="21"/>
                <w:vertAlign w:val="baseline"/>
                <w:lang w:val="en-US" w:eastAsia="zh-CN"/>
              </w:rPr>
              <w:t>DA001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2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3"/>
                <w:sz w:val="21"/>
                <w:szCs w:val="21"/>
                <w:vertAlign w:val="baseline"/>
                <w:lang w:val="en-US"/>
              </w:rPr>
            </w:pPr>
            <w:r>
              <w:rPr>
                <w:rFonts w:hint="eastAsia" w:ascii="Times New Roman" w:hAnsi="Times New Roman" w:cs="Times New Roman"/>
                <w:sz w:val="21"/>
                <w:szCs w:val="21"/>
                <w:u w:val="single"/>
                <w:vertAlign w:val="baseline"/>
                <w:lang w:val="en-US" w:eastAsia="zh-CN"/>
              </w:rPr>
              <w:t>0.000355</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3"/>
                <w:sz w:val="21"/>
                <w:szCs w:val="21"/>
                <w:vertAlign w:val="baseline"/>
                <w:lang w:val="en-US"/>
              </w:rPr>
            </w:pPr>
            <w:r>
              <w:rPr>
                <w:rFonts w:hint="eastAsia" w:ascii="Times New Roman" w:hAnsi="Times New Roman" w:cs="Times New Roman"/>
                <w:sz w:val="21"/>
                <w:szCs w:val="21"/>
                <w:u w:val="single"/>
                <w:vertAlign w:val="baseline"/>
                <w:lang w:val="en-US" w:eastAsia="zh-CN"/>
              </w:rPr>
              <w:t>0.002727</w:t>
            </w:r>
          </w:p>
        </w:tc>
        <w:tc>
          <w:tcPr>
            <w:tcW w:w="14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84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2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3"/>
                <w:sz w:val="21"/>
                <w:szCs w:val="21"/>
                <w:vertAlign w:val="baseline"/>
                <w:lang w:val="en-US" w:eastAsia="zh-CN"/>
              </w:rPr>
            </w:pPr>
            <w:r>
              <w:rPr>
                <w:rFonts w:hint="eastAsia" w:ascii="Times New Roman" w:hAnsi="Times New Roman" w:eastAsia="宋体" w:cs="Times New Roman"/>
                <w:spacing w:val="-3"/>
                <w:sz w:val="21"/>
                <w:szCs w:val="21"/>
                <w:vertAlign w:val="baseline"/>
                <w:lang w:val="en-US" w:eastAsia="zh-CN"/>
              </w:rPr>
              <w:t>屠宰间</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p>
        </w:tc>
        <w:tc>
          <w:tcPr>
            <w:tcW w:w="1162"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z w:val="21"/>
                <w:szCs w:val="21"/>
                <w:vertAlign w:val="baseline"/>
                <w:lang w:val="en-US" w:eastAsia="zh-CN"/>
              </w:rPr>
              <w:t>0.00512</w:t>
            </w:r>
          </w:p>
        </w:tc>
        <w:tc>
          <w:tcPr>
            <w:tcW w:w="1156"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z w:val="21"/>
                <w:szCs w:val="21"/>
                <w:vertAlign w:val="baseline"/>
                <w:lang w:val="en-US" w:eastAsia="zh-CN"/>
              </w:rPr>
              <w:t>0.0262</w:t>
            </w:r>
          </w:p>
        </w:tc>
        <w:tc>
          <w:tcPr>
            <w:tcW w:w="14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84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2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w:t>
            </w:r>
          </w:p>
        </w:tc>
        <w:tc>
          <w:tcPr>
            <w:tcW w:w="1162"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z w:val="21"/>
                <w:szCs w:val="21"/>
                <w:vertAlign w:val="baseline"/>
                <w:lang w:val="en-US" w:eastAsia="zh-CN"/>
              </w:rPr>
              <w:t>0.000137</w:t>
            </w:r>
          </w:p>
        </w:tc>
        <w:tc>
          <w:tcPr>
            <w:tcW w:w="1156"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z w:val="21"/>
                <w:szCs w:val="21"/>
                <w:vertAlign w:val="baseline"/>
                <w:lang w:val="en-US" w:eastAsia="zh-CN"/>
              </w:rPr>
              <w:t>0.0007</w:t>
            </w:r>
          </w:p>
        </w:tc>
        <w:tc>
          <w:tcPr>
            <w:tcW w:w="14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84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2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lang w:val="en-US" w:eastAsia="zh-CN"/>
              </w:rPr>
            </w:pPr>
            <w:r>
              <w:rPr>
                <w:rFonts w:hint="eastAsia" w:ascii="Times New Roman" w:hAnsi="Times New Roman" w:eastAsia="宋体" w:cs="Times New Roman"/>
                <w:spacing w:val="-3"/>
                <w:sz w:val="21"/>
                <w:szCs w:val="21"/>
                <w:vertAlign w:val="baseline"/>
                <w:lang w:val="en-US" w:eastAsia="zh-CN"/>
              </w:rPr>
              <w:t>污水处理站</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p>
        </w:tc>
        <w:tc>
          <w:tcPr>
            <w:tcW w:w="1162"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z w:val="21"/>
                <w:szCs w:val="21"/>
                <w:vertAlign w:val="baseline"/>
                <w:lang w:val="en-US" w:eastAsia="zh-CN"/>
              </w:rPr>
              <w:t>0.00117</w:t>
            </w:r>
          </w:p>
        </w:tc>
        <w:tc>
          <w:tcPr>
            <w:tcW w:w="1156"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z w:val="21"/>
                <w:szCs w:val="21"/>
                <w:vertAlign w:val="baseline"/>
                <w:lang w:val="en-US" w:eastAsia="zh-CN"/>
              </w:rPr>
              <w:t>0.009</w:t>
            </w:r>
          </w:p>
        </w:tc>
        <w:tc>
          <w:tcPr>
            <w:tcW w:w="14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84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2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w:t>
            </w:r>
          </w:p>
        </w:tc>
        <w:tc>
          <w:tcPr>
            <w:tcW w:w="1162"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z w:val="21"/>
                <w:szCs w:val="21"/>
                <w:vertAlign w:val="baseline"/>
                <w:lang w:val="en-US" w:eastAsia="zh-CN"/>
              </w:rPr>
              <w:t>0.000045</w:t>
            </w:r>
          </w:p>
        </w:tc>
        <w:tc>
          <w:tcPr>
            <w:tcW w:w="1156"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eastAsia" w:ascii="Times New Roman" w:hAnsi="Times New Roman" w:eastAsia="宋体" w:cs="Times New Roman"/>
                <w:sz w:val="21"/>
                <w:szCs w:val="21"/>
                <w:vertAlign w:val="baseline"/>
                <w:lang w:val="en-US" w:eastAsia="zh-CN"/>
              </w:rPr>
              <w:t>0.00036</w:t>
            </w:r>
          </w:p>
        </w:tc>
        <w:tc>
          <w:tcPr>
            <w:tcW w:w="14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84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2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r>
              <w:rPr>
                <w:rFonts w:hint="default" w:ascii="Times New Roman" w:hAnsi="Times New Roman" w:eastAsia="宋体" w:cs="Times New Roman"/>
                <w:spacing w:val="-3"/>
                <w:sz w:val="21"/>
                <w:szCs w:val="21"/>
                <w:vertAlign w:val="baseline"/>
                <w:lang w:val="en-US" w:eastAsia="zh-CN"/>
              </w:rPr>
              <w:t>一般固废暂存间</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NH</w:t>
            </w:r>
            <w:r>
              <w:rPr>
                <w:rFonts w:hint="eastAsia" w:ascii="Times New Roman" w:hAnsi="Times New Roman" w:cs="Times New Roman"/>
                <w:sz w:val="21"/>
                <w:szCs w:val="21"/>
                <w:u w:val="single"/>
                <w:vertAlign w:val="subscript"/>
                <w:lang w:val="en-US" w:eastAsia="zh-CN"/>
              </w:rPr>
              <w:t>3</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3"/>
                <w:sz w:val="21"/>
                <w:szCs w:val="21"/>
                <w:vertAlign w:val="baseline"/>
              </w:rPr>
            </w:pPr>
            <w:r>
              <w:rPr>
                <w:rFonts w:hint="eastAsia" w:ascii="Times New Roman" w:hAnsi="Times New Roman" w:cs="Times New Roman"/>
                <w:sz w:val="21"/>
                <w:szCs w:val="21"/>
                <w:u w:val="single"/>
                <w:vertAlign w:val="baseline"/>
                <w:lang w:val="en-US" w:eastAsia="zh-CN"/>
              </w:rPr>
              <w:t>0.0016</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3"/>
                <w:sz w:val="21"/>
                <w:szCs w:val="21"/>
                <w:vertAlign w:val="baseline"/>
              </w:rPr>
            </w:pPr>
            <w:r>
              <w:rPr>
                <w:rFonts w:hint="eastAsia" w:ascii="Times New Roman" w:hAnsi="Times New Roman" w:cs="Times New Roman"/>
                <w:sz w:val="21"/>
                <w:szCs w:val="21"/>
                <w:u w:val="single"/>
                <w:vertAlign w:val="baseline"/>
                <w:lang w:val="en-US" w:eastAsia="zh-CN"/>
              </w:rPr>
              <w:t>0.0117</w:t>
            </w:r>
          </w:p>
        </w:tc>
        <w:tc>
          <w:tcPr>
            <w:tcW w:w="14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84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2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21"/>
                <w:szCs w:val="21"/>
                <w:u w:val="single"/>
                <w:vertAlign w:val="baseline"/>
                <w:lang w:val="en-US" w:eastAsia="zh-CN" w:bidi="ar-SA"/>
              </w:rPr>
            </w:pPr>
            <w:r>
              <w:rPr>
                <w:rFonts w:hint="eastAsia" w:ascii="Times New Roman" w:hAnsi="Times New Roman" w:cs="Times New Roman"/>
                <w:sz w:val="21"/>
                <w:szCs w:val="21"/>
                <w:u w:val="single"/>
                <w:vertAlign w:val="baseline"/>
                <w:lang w:val="en-US" w:eastAsia="zh-CN"/>
              </w:rPr>
              <w:t>H</w:t>
            </w:r>
            <w:r>
              <w:rPr>
                <w:rFonts w:hint="eastAsia" w:ascii="Times New Roman" w:hAnsi="Times New Roman" w:cs="Times New Roman"/>
                <w:sz w:val="21"/>
                <w:szCs w:val="21"/>
                <w:u w:val="single"/>
                <w:vertAlign w:val="subscript"/>
                <w:lang w:val="en-US" w:eastAsia="zh-CN"/>
              </w:rPr>
              <w:t>2</w:t>
            </w:r>
            <w:r>
              <w:rPr>
                <w:rFonts w:hint="eastAsia" w:ascii="Times New Roman" w:hAnsi="Times New Roman" w:cs="Times New Roman"/>
                <w:sz w:val="21"/>
                <w:szCs w:val="21"/>
                <w:u w:val="single"/>
                <w:vertAlign w:val="baseline"/>
                <w:lang w:val="en-US" w:eastAsia="zh-CN"/>
              </w:rPr>
              <w:t>S</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3"/>
                <w:sz w:val="21"/>
                <w:szCs w:val="21"/>
                <w:vertAlign w:val="baseline"/>
              </w:rPr>
            </w:pPr>
            <w:r>
              <w:rPr>
                <w:rFonts w:hint="eastAsia" w:ascii="Times New Roman" w:hAnsi="Times New Roman" w:cs="Times New Roman"/>
                <w:sz w:val="21"/>
                <w:szCs w:val="21"/>
                <w:u w:val="single"/>
                <w:vertAlign w:val="baseline"/>
                <w:lang w:val="en-US" w:eastAsia="zh-CN"/>
              </w:rPr>
              <w:t>0.00018</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3"/>
                <w:sz w:val="21"/>
                <w:szCs w:val="21"/>
                <w:vertAlign w:val="baseline"/>
              </w:rPr>
            </w:pPr>
            <w:r>
              <w:rPr>
                <w:rFonts w:hint="eastAsia" w:ascii="Times New Roman" w:hAnsi="Times New Roman" w:cs="Times New Roman"/>
                <w:sz w:val="21"/>
                <w:szCs w:val="21"/>
                <w:u w:val="single"/>
                <w:vertAlign w:val="baseline"/>
                <w:lang w:val="en-US" w:eastAsia="zh-CN"/>
              </w:rPr>
              <w:t>0.00144</w:t>
            </w:r>
          </w:p>
        </w:tc>
        <w:tc>
          <w:tcPr>
            <w:tcW w:w="14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134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c>
          <w:tcPr>
            <w:tcW w:w="84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1"/>
                <w:szCs w:val="21"/>
                <w:vertAlign w:val="baseline"/>
              </w:rPr>
            </w:pP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4"/>
          <w:u w:val="single"/>
          <w:lang w:eastAsia="zh-CN"/>
        </w:rPr>
      </w:pPr>
      <w:r>
        <w:rPr>
          <w:rFonts w:hint="default" w:ascii="Times New Roman" w:hAnsi="Times New Roman" w:cs="Times New Roman"/>
          <w:b/>
          <w:bCs/>
          <w:sz w:val="24"/>
          <w:u w:val="single"/>
          <w:lang w:val="en-US" w:eastAsia="zh-CN"/>
        </w:rPr>
        <w:t>表</w:t>
      </w:r>
      <w:r>
        <w:rPr>
          <w:rFonts w:hint="eastAsia" w:ascii="Times New Roman" w:hAnsi="Times New Roman" w:cs="Times New Roman"/>
          <w:b/>
          <w:bCs/>
          <w:sz w:val="24"/>
          <w:u w:val="single"/>
          <w:lang w:val="en-US" w:eastAsia="zh-CN"/>
        </w:rPr>
        <w:t>3</w:t>
      </w:r>
      <w:r>
        <w:rPr>
          <w:rFonts w:hint="default" w:ascii="Times New Roman" w:hAnsi="Times New Roman" w:cs="Times New Roman"/>
          <w:b/>
          <w:bCs/>
          <w:sz w:val="24"/>
          <w:u w:val="single"/>
          <w:lang w:val="en-US" w:eastAsia="zh-CN"/>
        </w:rPr>
        <w:t>-</w:t>
      </w:r>
      <w:r>
        <w:rPr>
          <w:rFonts w:hint="eastAsia" w:ascii="Times New Roman" w:hAnsi="Times New Roman" w:cs="Times New Roman"/>
          <w:b/>
          <w:bCs/>
          <w:sz w:val="24"/>
          <w:u w:val="single"/>
          <w:lang w:val="en-US" w:eastAsia="zh-CN"/>
        </w:rPr>
        <w:t>26   全厂</w:t>
      </w:r>
      <w:r>
        <w:rPr>
          <w:rFonts w:hint="default" w:ascii="Times New Roman" w:hAnsi="Times New Roman" w:cs="Times New Roman"/>
          <w:b/>
          <w:bCs/>
          <w:sz w:val="24"/>
          <w:u w:val="single"/>
          <w:lang w:val="en-US" w:eastAsia="zh-CN"/>
        </w:rPr>
        <w:t>无组织恶臭气体排放情况</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2342"/>
        <w:gridCol w:w="2343"/>
        <w:gridCol w:w="2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污染源</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污染物</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18"/>
                <w:szCs w:val="18"/>
                <w:u w:val="single"/>
                <w:vertAlign w:val="baseline"/>
                <w:lang w:val="en-US" w:eastAsia="zh-CN"/>
              </w:rPr>
              <w:t>排放速率kg/h</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待宰间</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0.004464</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0.0342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0.000395</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0.00303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屠宰间</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0.0057</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0.00015</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污水处理站</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0.0013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0.00005</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一般固废暂存间</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0.002</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0.0002</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eastAsia="zh-CN"/>
              </w:rPr>
            </w:pPr>
            <w:r>
              <w:rPr>
                <w:rFonts w:hint="eastAsia" w:ascii="Times New Roman" w:hAnsi="Times New Roman" w:cs="Times New Roman"/>
                <w:sz w:val="21"/>
                <w:szCs w:val="21"/>
                <w:u w:val="single"/>
                <w:vertAlign w:val="baseline"/>
                <w:lang w:eastAsia="zh-CN"/>
              </w:rPr>
              <w:t>全厂</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NH</w:t>
            </w:r>
            <w:r>
              <w:rPr>
                <w:rFonts w:hint="eastAsia" w:ascii="Times New Roman" w:hAnsi="Times New Roman" w:cs="Times New Roman"/>
                <w:sz w:val="18"/>
                <w:szCs w:val="18"/>
                <w:u w:val="single"/>
                <w:vertAlign w:val="subscript"/>
                <w:lang w:val="en-US" w:eastAsia="zh-CN"/>
              </w:rPr>
              <w:t>3</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0.013464</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0.0862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u w:val="single"/>
                <w:vertAlign w:val="baseline"/>
                <w:lang w:eastAsia="zh-CN"/>
              </w:rPr>
            </w:pP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Arial" w:cs="Times New Roman"/>
                <w:snapToGrid w:val="0"/>
                <w:color w:val="000000"/>
                <w:kern w:val="0"/>
                <w:sz w:val="18"/>
                <w:szCs w:val="18"/>
                <w:u w:val="single"/>
                <w:vertAlign w:val="baseline"/>
                <w:lang w:val="en-US" w:eastAsia="zh-CN" w:bidi="ar-SA"/>
              </w:rPr>
            </w:pPr>
            <w:r>
              <w:rPr>
                <w:rFonts w:hint="eastAsia" w:ascii="Times New Roman" w:hAnsi="Times New Roman" w:cs="Times New Roman"/>
                <w:sz w:val="18"/>
                <w:szCs w:val="18"/>
                <w:u w:val="single"/>
                <w:vertAlign w:val="baseline"/>
                <w:lang w:val="en-US" w:eastAsia="zh-CN"/>
              </w:rPr>
              <w:t>H</w:t>
            </w:r>
            <w:r>
              <w:rPr>
                <w:rFonts w:hint="eastAsia" w:ascii="Times New Roman" w:hAnsi="Times New Roman" w:cs="Times New Roman"/>
                <w:sz w:val="18"/>
                <w:szCs w:val="18"/>
                <w:u w:val="single"/>
                <w:vertAlign w:val="subscript"/>
                <w:lang w:val="en-US" w:eastAsia="zh-CN"/>
              </w:rPr>
              <w:t>2</w:t>
            </w:r>
            <w:r>
              <w:rPr>
                <w:rFonts w:hint="eastAsia" w:ascii="Times New Roman" w:hAnsi="Times New Roman" w:cs="Times New Roman"/>
                <w:sz w:val="18"/>
                <w:szCs w:val="18"/>
                <w:u w:val="single"/>
                <w:vertAlign w:val="baseline"/>
                <w:lang w:val="en-US" w:eastAsia="zh-CN"/>
              </w:rPr>
              <w:t>S</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0.000795</w:t>
            </w:r>
          </w:p>
        </w:tc>
        <w:tc>
          <w:tcPr>
            <w:tcW w:w="2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0.00581</w:t>
            </w:r>
          </w:p>
        </w:tc>
      </w:tr>
    </w:tbl>
    <w:p>
      <w:pPr>
        <w:keepNext w:val="0"/>
        <w:keepLines w:val="0"/>
        <w:pageBreakBefore w:val="0"/>
        <w:widowControl/>
        <w:kinsoku w:val="0"/>
        <w:wordWrap/>
        <w:overflowPunct/>
        <w:topLinePunct w:val="0"/>
        <w:autoSpaceDE w:val="0"/>
        <w:autoSpaceDN w:val="0"/>
        <w:bidi w:val="0"/>
        <w:adjustRightInd w:val="0"/>
        <w:snapToGrid w:val="0"/>
        <w:spacing w:before="128" w:line="360" w:lineRule="auto"/>
        <w:ind w:left="0" w:firstLine="468" w:firstLineChars="200"/>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）食堂油烟</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本项目食堂设2个基准灶头，属小型食堂，可容纳全厂</w:t>
      </w:r>
      <w:r>
        <w:rPr>
          <w:rFonts w:hint="eastAsia" w:ascii="Times New Roman" w:hAnsi="Times New Roman" w:eastAsia="宋体" w:cs="Times New Roman"/>
          <w:sz w:val="24"/>
          <w:szCs w:val="24"/>
          <w:lang w:val="en-US" w:eastAsia="zh-CN"/>
        </w:rPr>
        <w:t>50</w:t>
      </w:r>
      <w:r>
        <w:rPr>
          <w:rFonts w:hint="default" w:ascii="Times New Roman" w:hAnsi="Times New Roman" w:cs="Times New Roman"/>
          <w:sz w:val="24"/>
          <w:szCs w:val="24"/>
        </w:rPr>
        <w:t>人在厂区就餐，食堂所用燃料为液化气，属洁净燃料。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食堂用油按照我国居民日均食油量30g/d计算，本项目食堂</w:t>
      </w:r>
      <w:r>
        <w:rPr>
          <w:rFonts w:hint="eastAsia" w:ascii="Times New Roman" w:hAnsi="Times New Roman" w:eastAsia="宋体" w:cs="Times New Roman"/>
          <w:sz w:val="24"/>
          <w:szCs w:val="24"/>
          <w:lang w:eastAsia="zh-CN"/>
        </w:rPr>
        <w:t>用</w:t>
      </w:r>
      <w:r>
        <w:rPr>
          <w:rFonts w:hint="default" w:ascii="Times New Roman" w:hAnsi="Times New Roman" w:cs="Times New Roman"/>
          <w:sz w:val="24"/>
          <w:szCs w:val="24"/>
        </w:rPr>
        <w:t>油量为</w:t>
      </w:r>
      <w:r>
        <w:rPr>
          <w:rFonts w:hint="eastAsia" w:ascii="Times New Roman" w:hAnsi="Times New Roman" w:eastAsia="宋体" w:cs="Times New Roman"/>
          <w:sz w:val="24"/>
          <w:szCs w:val="24"/>
          <w:lang w:val="en-US" w:eastAsia="zh-CN"/>
        </w:rPr>
        <w:t>1.5kg/d，</w:t>
      </w:r>
      <w:r>
        <w:rPr>
          <w:rFonts w:hint="default" w:ascii="Times New Roman" w:hAnsi="Times New Roman" w:cs="Times New Roman"/>
          <w:sz w:val="24"/>
          <w:szCs w:val="24"/>
        </w:rPr>
        <w:t>0.</w:t>
      </w:r>
      <w:r>
        <w:rPr>
          <w:rFonts w:hint="eastAsia" w:ascii="Times New Roman" w:hAnsi="Times New Roman" w:eastAsia="宋体" w:cs="Times New Roman"/>
          <w:sz w:val="24"/>
          <w:szCs w:val="24"/>
          <w:lang w:val="en-US" w:eastAsia="zh-CN"/>
        </w:rPr>
        <w:t>48</w:t>
      </w:r>
      <w:r>
        <w:rPr>
          <w:rFonts w:hint="default" w:ascii="Times New Roman" w:hAnsi="Times New Roman" w:cs="Times New Roman"/>
          <w:sz w:val="24"/>
          <w:szCs w:val="24"/>
        </w:rPr>
        <w:t>t/a。油烟的产生量占油耗量的2%～4%，本项目按3%计算，则油烟产生量为</w:t>
      </w:r>
      <w:r>
        <w:rPr>
          <w:rFonts w:hint="eastAsia" w:ascii="Times New Roman" w:hAnsi="Times New Roman" w:eastAsia="宋体" w:cs="Times New Roman"/>
          <w:sz w:val="24"/>
          <w:szCs w:val="24"/>
          <w:lang w:val="en-US" w:eastAsia="zh-CN"/>
        </w:rPr>
        <w:t>14.4kg</w:t>
      </w:r>
      <w:r>
        <w:rPr>
          <w:rFonts w:hint="default" w:ascii="Times New Roman" w:hAnsi="Times New Roman" w:cs="Times New Roman"/>
          <w:sz w:val="24"/>
          <w:szCs w:val="24"/>
        </w:rPr>
        <w:t>/a。食堂灶头配套风机风量按</w:t>
      </w:r>
      <w:r>
        <w:rPr>
          <w:rFonts w:hint="eastAsia" w:ascii="Times New Roman" w:hAnsi="Times New Roman" w:eastAsia="宋体" w:cs="Times New Roman"/>
          <w:sz w:val="24"/>
          <w:szCs w:val="24"/>
          <w:lang w:val="en-US" w:eastAsia="zh-CN"/>
        </w:rPr>
        <w:t>4</w:t>
      </w:r>
      <w:r>
        <w:rPr>
          <w:rFonts w:hint="default" w:ascii="Times New Roman" w:hAnsi="Times New Roman" w:cs="Times New Roman"/>
          <w:sz w:val="24"/>
          <w:szCs w:val="24"/>
        </w:rPr>
        <w:t>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/h计，食堂运行每天按</w:t>
      </w:r>
      <w:r>
        <w:rPr>
          <w:rFonts w:hint="eastAsia" w:ascii="Times New Roman" w:hAnsi="Times New Roman" w:eastAsia="宋体" w:cs="Times New Roman"/>
          <w:sz w:val="24"/>
          <w:szCs w:val="24"/>
          <w:lang w:val="en-US" w:eastAsia="zh-CN"/>
        </w:rPr>
        <w:t>2</w:t>
      </w:r>
      <w:r>
        <w:rPr>
          <w:rFonts w:hint="default" w:ascii="Times New Roman" w:hAnsi="Times New Roman" w:cs="Times New Roman"/>
          <w:sz w:val="24"/>
          <w:szCs w:val="24"/>
        </w:rPr>
        <w:t>小时，则餐饮废气产生量为</w:t>
      </w:r>
      <w:r>
        <w:rPr>
          <w:rFonts w:hint="eastAsia" w:ascii="Times New Roman" w:hAnsi="Times New Roman" w:eastAsia="宋体" w:cs="Times New Roman"/>
          <w:sz w:val="24"/>
          <w:szCs w:val="24"/>
          <w:lang w:val="en-US" w:eastAsia="zh-CN"/>
        </w:rPr>
        <w:t>8000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/d，相应油烟产生浓度为</w:t>
      </w:r>
      <w:r>
        <w:rPr>
          <w:rFonts w:hint="eastAsia" w:ascii="Times New Roman" w:hAnsi="Times New Roman" w:eastAsia="宋体" w:cs="Times New Roman"/>
          <w:sz w:val="24"/>
          <w:szCs w:val="24"/>
          <w:lang w:val="en-US" w:eastAsia="zh-CN"/>
        </w:rPr>
        <w:t>5.63</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。评价</w:t>
      </w:r>
      <w:r>
        <w:rPr>
          <w:rFonts w:hint="eastAsia" w:ascii="Times New Roman" w:hAnsi="Times New Roman" w:eastAsia="宋体" w:cs="Times New Roman"/>
          <w:sz w:val="24"/>
          <w:szCs w:val="24"/>
          <w:lang w:eastAsia="zh-CN"/>
        </w:rPr>
        <w:t>要求</w:t>
      </w:r>
      <w:r>
        <w:rPr>
          <w:rFonts w:hint="default" w:ascii="Times New Roman" w:hAnsi="Times New Roman" w:cs="Times New Roman"/>
          <w:sz w:val="24"/>
          <w:szCs w:val="24"/>
        </w:rPr>
        <w:t>食堂安装油烟净化器对油烟进行处理，处理效率为90%，处理后的油烟排放浓度为0.</w:t>
      </w:r>
      <w:r>
        <w:rPr>
          <w:rFonts w:hint="eastAsia" w:ascii="Times New Roman" w:hAnsi="Times New Roman" w:eastAsia="宋体" w:cs="Times New Roman"/>
          <w:sz w:val="24"/>
          <w:szCs w:val="24"/>
          <w:lang w:val="en-US" w:eastAsia="zh-CN"/>
        </w:rPr>
        <w:t>56</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，油烟排放量为</w:t>
      </w:r>
      <w:r>
        <w:rPr>
          <w:rFonts w:hint="eastAsia" w:ascii="Times New Roman" w:hAnsi="Times New Roman" w:eastAsia="宋体" w:cs="Times New Roman"/>
          <w:sz w:val="24"/>
          <w:szCs w:val="24"/>
          <w:lang w:val="en-US" w:eastAsia="zh-CN"/>
        </w:rPr>
        <w:t>1.44kg</w:t>
      </w:r>
      <w:r>
        <w:rPr>
          <w:rFonts w:hint="default" w:ascii="Times New Roman" w:hAnsi="Times New Roman" w:cs="Times New Roman"/>
          <w:sz w:val="24"/>
          <w:szCs w:val="24"/>
        </w:rPr>
        <w:t>/a，经油烟净化器处理后的油烟废气通过排气筒引至房顶排放，满足《餐饮业油烟污染物排放标准》（DB41/1604-2018）小型食堂最高允许排放浓度1.5mg/m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、净化设施最低去除率90%的要求。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（3）废气排放源强汇总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本项目废气排放源强见表3-</w:t>
      </w:r>
      <w:r>
        <w:rPr>
          <w:rFonts w:hint="eastAsia" w:ascii="Times New Roman" w:hAnsi="Times New Roman" w:eastAsia="宋体" w:cs="Times New Roman"/>
          <w:sz w:val="24"/>
          <w:szCs w:val="24"/>
          <w:lang w:val="en-US" w:eastAsia="zh-CN"/>
        </w:rPr>
        <w:t>27</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307"/>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27</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本项目废气产排情况一</w:t>
      </w:r>
      <w:r>
        <w:rPr>
          <w:rFonts w:ascii="宋体" w:hAnsi="宋体" w:eastAsia="宋体" w:cs="宋体"/>
          <w:spacing w:val="-1"/>
          <w:sz w:val="24"/>
          <w:szCs w:val="24"/>
          <w14:textOutline w14:w="4358" w14:cap="sq" w14:cmpd="sng">
            <w14:solidFill>
              <w14:srgbClr w14:val="000000"/>
            </w14:solidFill>
            <w14:prstDash w14:val="solid"/>
            <w14:bevel/>
          </w14:textOutline>
        </w:rPr>
        <w:t>览表</w:t>
      </w:r>
    </w:p>
    <w:tbl>
      <w:tblPr>
        <w:tblStyle w:val="24"/>
        <w:tblW w:w="9546"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623"/>
        <w:gridCol w:w="1237"/>
        <w:gridCol w:w="2250"/>
        <w:gridCol w:w="3328"/>
        <w:gridCol w:w="118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7" w:hRule="atLeast"/>
          <w:jc w:val="center"/>
        </w:trPr>
        <w:tc>
          <w:tcPr>
            <w:tcW w:w="92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污染源</w:t>
            </w:r>
          </w:p>
        </w:tc>
        <w:tc>
          <w:tcPr>
            <w:tcW w:w="1860" w:type="dxa"/>
            <w:gridSpan w:val="2"/>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废气产生情况</w:t>
            </w:r>
          </w:p>
        </w:tc>
        <w:tc>
          <w:tcPr>
            <w:tcW w:w="225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拟采取的治理措施</w:t>
            </w:r>
          </w:p>
        </w:tc>
        <w:tc>
          <w:tcPr>
            <w:tcW w:w="4511" w:type="dxa"/>
            <w:gridSpan w:val="2"/>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废气</w:t>
            </w:r>
            <w:r>
              <w:rPr>
                <w:rFonts w:hint="default" w:ascii="Times New Roman" w:hAnsi="Times New Roman" w:cs="Times New Roman"/>
                <w:sz w:val="21"/>
                <w:szCs w:val="21"/>
              </w:rPr>
              <w:t>排放情况</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70" w:hRule="atLeast"/>
          <w:jc w:val="center"/>
        </w:trPr>
        <w:tc>
          <w:tcPr>
            <w:tcW w:w="925" w:type="dxa"/>
            <w:vMerge w:val="restart"/>
            <w:tcBorders>
              <w:tl2br w:val="nil"/>
              <w:tr2bl w:val="nil"/>
            </w:tcBorders>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待宰间</w:t>
            </w:r>
          </w:p>
          <w:p>
            <w:pPr>
              <w:jc w:val="center"/>
              <w:rPr>
                <w:rFonts w:hint="default" w:ascii="Times New Roman" w:hAnsi="Times New Roman" w:cs="Times New Roman"/>
                <w:sz w:val="21"/>
                <w:szCs w:val="21"/>
              </w:rPr>
            </w:pPr>
            <w:r>
              <w:rPr>
                <w:rFonts w:hint="default" w:ascii="Times New Roman" w:hAnsi="Times New Roman" w:cs="Times New Roman"/>
                <w:sz w:val="21"/>
                <w:szCs w:val="21"/>
              </w:rPr>
              <w:t>屠宰间</w:t>
            </w:r>
          </w:p>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污水处理</w:t>
            </w:r>
            <w:r>
              <w:rPr>
                <w:rFonts w:hint="default" w:ascii="Times New Roman" w:hAnsi="Times New Roman" w:cs="Times New Roman"/>
                <w:sz w:val="21"/>
                <w:szCs w:val="21"/>
                <w:lang w:eastAsia="zh-CN"/>
              </w:rPr>
              <w:t>站</w:t>
            </w:r>
          </w:p>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固废暂存间</w:t>
            </w:r>
          </w:p>
        </w:tc>
        <w:tc>
          <w:tcPr>
            <w:tcW w:w="1860" w:type="dxa"/>
            <w:gridSpan w:val="2"/>
            <w:vMerge w:val="restart"/>
            <w:tcBorders>
              <w:tl2br w:val="nil"/>
              <w:tr2bl w:val="nil"/>
            </w:tcBorders>
            <w:vAlign w:val="center"/>
          </w:tcPr>
          <w:p>
            <w:pPr>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3.6595</w:t>
            </w:r>
            <w:r>
              <w:rPr>
                <w:rFonts w:hint="default" w:ascii="Times New Roman" w:hAnsi="Times New Roman" w:cs="Times New Roman"/>
                <w:sz w:val="21"/>
                <w:szCs w:val="21"/>
              </w:rPr>
              <w:t>kg/h</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1.661</w:t>
            </w:r>
            <w:r>
              <w:rPr>
                <w:rFonts w:hint="default" w:ascii="Times New Roman" w:hAnsi="Times New Roman" w:cs="Times New Roman"/>
                <w:sz w:val="21"/>
                <w:szCs w:val="21"/>
                <w:lang w:val="en-US" w:eastAsia="zh-CN"/>
              </w:rPr>
              <w:t>t</w:t>
            </w:r>
            <w:r>
              <w:rPr>
                <w:rFonts w:hint="eastAsia" w:ascii="Times New Roman" w:hAnsi="Times New Roman" w:cs="Times New Roman"/>
                <w:sz w:val="21"/>
                <w:szCs w:val="21"/>
                <w:lang w:val="en-US" w:eastAsia="zh-CN"/>
              </w:rPr>
              <w:t>/a</w:t>
            </w:r>
          </w:p>
          <w:p>
            <w:pPr>
              <w:jc w:val="center"/>
              <w:rPr>
                <w:rFonts w:hint="default" w:ascii="Times New Roman" w:hAnsi="Times New Roman" w:cs="Times New Roman"/>
                <w:sz w:val="21"/>
                <w:szCs w:val="21"/>
              </w:rPr>
            </w:pPr>
          </w:p>
          <w:p>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lang w:val="en-US" w:eastAsia="zh-CN"/>
              </w:rPr>
              <w:t>0.</w:t>
            </w:r>
            <w:r>
              <w:rPr>
                <w:rFonts w:hint="eastAsia" w:ascii="Times New Roman" w:hAnsi="Times New Roman" w:cs="Times New Roman"/>
                <w:sz w:val="21"/>
                <w:szCs w:val="21"/>
                <w:lang w:val="en-US" w:eastAsia="zh-CN"/>
              </w:rPr>
              <w:t>32002</w:t>
            </w:r>
            <w:r>
              <w:rPr>
                <w:rFonts w:hint="default" w:ascii="Times New Roman" w:hAnsi="Times New Roman" w:cs="Times New Roman"/>
                <w:sz w:val="21"/>
                <w:szCs w:val="21"/>
              </w:rPr>
              <w:t>kg/h</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0.12878</w:t>
            </w:r>
            <w:r>
              <w:rPr>
                <w:rFonts w:hint="default" w:ascii="Times New Roman" w:hAnsi="Times New Roman" w:cs="Times New Roman"/>
                <w:sz w:val="21"/>
                <w:szCs w:val="21"/>
                <w:lang w:val="en-US" w:eastAsia="zh-CN"/>
              </w:rPr>
              <w:t>t</w:t>
            </w:r>
            <w:r>
              <w:rPr>
                <w:rFonts w:hint="eastAsia" w:ascii="Times New Roman" w:hAnsi="Times New Roman" w:cs="Times New Roman"/>
                <w:sz w:val="21"/>
                <w:szCs w:val="21"/>
                <w:lang w:val="en-US" w:eastAsia="zh-CN"/>
              </w:rPr>
              <w:t>/a</w:t>
            </w:r>
          </w:p>
        </w:tc>
        <w:tc>
          <w:tcPr>
            <w:tcW w:w="2250" w:type="dxa"/>
            <w:vMerge w:val="restart"/>
            <w:tcBorders>
              <w:tl2br w:val="nil"/>
              <w:tr2bl w:val="nil"/>
            </w:tcBorders>
            <w:vAlign w:val="center"/>
          </w:tcPr>
          <w:p>
            <w:pPr>
              <w:jc w:val="left"/>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①</w:t>
            </w:r>
            <w:r>
              <w:rPr>
                <w:rFonts w:hint="eastAsia" w:ascii="Times New Roman" w:hAnsi="Times New Roman" w:eastAsia="宋体" w:cs="Times New Roman"/>
                <w:sz w:val="21"/>
                <w:szCs w:val="21"/>
                <w:lang w:eastAsia="zh-CN"/>
              </w:rPr>
              <w:t>管理措施：</w:t>
            </w:r>
            <w:r>
              <w:rPr>
                <w:rFonts w:hint="default" w:ascii="Times New Roman" w:hAnsi="Times New Roman" w:cs="Times New Roman"/>
                <w:sz w:val="21"/>
                <w:szCs w:val="21"/>
              </w:rPr>
              <w:t>待宰区采用干清粪处理，日产日清；保持屠宰车间整洁卫生，减少胃内容物的滞留时间，对粪污区周边进行喷洒除臭剂等</w:t>
            </w:r>
            <w:r>
              <w:rPr>
                <w:rFonts w:hint="eastAsia" w:ascii="Times New Roman" w:hAnsi="Times New Roman" w:eastAsia="宋体" w:cs="Times New Roman"/>
                <w:sz w:val="21"/>
                <w:szCs w:val="21"/>
                <w:lang w:eastAsia="zh-CN"/>
              </w:rPr>
              <w:t>；</w:t>
            </w:r>
          </w:p>
          <w:p>
            <w:pPr>
              <w:jc w:val="left"/>
              <w:rPr>
                <w:rFonts w:hint="default" w:ascii="Times New Roman" w:hAnsi="Times New Roman" w:cs="Times New Roman"/>
                <w:sz w:val="21"/>
                <w:szCs w:val="21"/>
              </w:rPr>
            </w:pPr>
            <w:r>
              <w:rPr>
                <w:rFonts w:hint="default" w:ascii="Times New Roman" w:hAnsi="Times New Roman" w:cs="Times New Roman"/>
                <w:sz w:val="21"/>
                <w:szCs w:val="21"/>
              </w:rPr>
              <w:t>②</w:t>
            </w:r>
            <w:r>
              <w:rPr>
                <w:rFonts w:hint="eastAsia" w:ascii="Times New Roman" w:hAnsi="Times New Roman" w:eastAsia="宋体" w:cs="Times New Roman"/>
                <w:sz w:val="21"/>
                <w:szCs w:val="21"/>
                <w:lang w:eastAsia="zh-CN"/>
              </w:rPr>
              <w:t>环保设施：</w:t>
            </w:r>
            <w:r>
              <w:rPr>
                <w:rFonts w:hint="default" w:ascii="Times New Roman" w:hAnsi="Times New Roman" w:cs="Times New Roman"/>
                <w:sz w:val="21"/>
                <w:szCs w:val="21"/>
              </w:rPr>
              <w:t>通过</w:t>
            </w:r>
            <w:r>
              <w:rPr>
                <w:rFonts w:hint="eastAsia" w:ascii="Times New Roman" w:hAnsi="Times New Roman" w:eastAsia="宋体" w:cs="Times New Roman"/>
                <w:sz w:val="21"/>
                <w:szCs w:val="21"/>
                <w:lang w:val="en-US" w:eastAsia="zh-CN"/>
              </w:rPr>
              <w:t>1</w:t>
            </w:r>
            <w:r>
              <w:rPr>
                <w:rFonts w:hint="default" w:ascii="Times New Roman" w:hAnsi="Times New Roman" w:cs="Times New Roman"/>
                <w:sz w:val="21"/>
                <w:szCs w:val="21"/>
              </w:rPr>
              <w:t>套</w:t>
            </w:r>
            <w:r>
              <w:rPr>
                <w:rFonts w:hint="eastAsia" w:ascii="Times New Roman" w:hAnsi="Times New Roman" w:eastAsia="宋体" w:cs="Times New Roman"/>
                <w:sz w:val="21"/>
                <w:szCs w:val="21"/>
                <w:lang w:eastAsia="zh-CN"/>
              </w:rPr>
              <w:t>风量</w:t>
            </w:r>
            <w:r>
              <w:rPr>
                <w:rFonts w:hint="eastAsia" w:ascii="Times New Roman" w:hAnsi="Times New Roman" w:eastAsia="宋体" w:cs="Times New Roman"/>
                <w:sz w:val="21"/>
                <w:szCs w:val="21"/>
                <w:lang w:val="en-US" w:eastAsia="zh-CN"/>
              </w:rPr>
              <w:t>50000m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r>
              <w:rPr>
                <w:rFonts w:hint="default" w:ascii="Times New Roman" w:hAnsi="Times New Roman" w:cs="Times New Roman"/>
                <w:sz w:val="21"/>
                <w:szCs w:val="21"/>
              </w:rPr>
              <w:t>去除效率在90%以上的生物除臭装置处理净化后，经1根15m高排气筒</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lang w:val="en-US" w:eastAsia="zh-CN"/>
              </w:rPr>
              <w:t>DA001</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外排</w:t>
            </w:r>
          </w:p>
        </w:tc>
        <w:tc>
          <w:tcPr>
            <w:tcW w:w="3328"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0.</w:t>
            </w:r>
            <w:r>
              <w:rPr>
                <w:rFonts w:hint="eastAsia" w:ascii="Times New Roman" w:hAnsi="Times New Roman" w:eastAsia="宋体" w:cs="Times New Roman"/>
                <w:sz w:val="21"/>
                <w:szCs w:val="21"/>
                <w:lang w:val="en-US" w:eastAsia="zh-CN"/>
              </w:rPr>
              <w:t>1049</w:t>
            </w:r>
            <w:r>
              <w:rPr>
                <w:rFonts w:hint="default" w:ascii="Times New Roman" w:hAnsi="Times New Roman" w:cs="Times New Roman"/>
                <w:sz w:val="21"/>
                <w:szCs w:val="21"/>
              </w:rPr>
              <w:t>kg/h</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0.07768</w:t>
            </w:r>
            <w:r>
              <w:rPr>
                <w:rFonts w:hint="default" w:ascii="Times New Roman" w:hAnsi="Times New Roman" w:cs="Times New Roman"/>
                <w:sz w:val="21"/>
                <w:szCs w:val="21"/>
                <w:lang w:val="en-US" w:eastAsia="zh-CN"/>
              </w:rPr>
              <w:t>t</w:t>
            </w:r>
            <w:r>
              <w:rPr>
                <w:rFonts w:hint="eastAsia" w:ascii="Times New Roman" w:hAnsi="Times New Roman" w:cs="Times New Roman"/>
                <w:sz w:val="21"/>
                <w:szCs w:val="21"/>
                <w:lang w:val="en-US" w:eastAsia="zh-CN"/>
              </w:rPr>
              <w:t>/a</w:t>
            </w:r>
          </w:p>
        </w:tc>
        <w:tc>
          <w:tcPr>
            <w:tcW w:w="1183" w:type="dxa"/>
            <w:vMerge w:val="restart"/>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有组织</w:t>
            </w:r>
          </w:p>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96" w:hRule="atLeast"/>
          <w:jc w:val="center"/>
        </w:trPr>
        <w:tc>
          <w:tcPr>
            <w:tcW w:w="925" w:type="dxa"/>
            <w:vMerge w:val="continue"/>
            <w:tcBorders>
              <w:tl2br w:val="nil"/>
              <w:tr2bl w:val="nil"/>
            </w:tcBorders>
            <w:vAlign w:val="center"/>
          </w:tcPr>
          <w:p>
            <w:pPr>
              <w:jc w:val="center"/>
              <w:rPr>
                <w:rFonts w:hint="default" w:ascii="Times New Roman" w:hAnsi="Times New Roman" w:cs="Times New Roman"/>
                <w:sz w:val="21"/>
                <w:szCs w:val="21"/>
              </w:rPr>
            </w:pPr>
          </w:p>
        </w:tc>
        <w:tc>
          <w:tcPr>
            <w:tcW w:w="1860" w:type="dxa"/>
            <w:gridSpan w:val="2"/>
            <w:vMerge w:val="continue"/>
            <w:tcBorders>
              <w:tl2br w:val="nil"/>
              <w:tr2bl w:val="nil"/>
            </w:tcBorders>
            <w:vAlign w:val="center"/>
          </w:tcPr>
          <w:p>
            <w:pPr>
              <w:jc w:val="center"/>
              <w:rPr>
                <w:rFonts w:hint="default" w:ascii="Times New Roman" w:hAnsi="Times New Roman" w:cs="Times New Roman"/>
                <w:sz w:val="21"/>
                <w:szCs w:val="21"/>
              </w:rPr>
            </w:pPr>
          </w:p>
        </w:tc>
        <w:tc>
          <w:tcPr>
            <w:tcW w:w="2250" w:type="dxa"/>
            <w:vMerge w:val="continue"/>
            <w:tcBorders>
              <w:tl2br w:val="nil"/>
              <w:tr2bl w:val="nil"/>
            </w:tcBorders>
            <w:vAlign w:val="center"/>
          </w:tcPr>
          <w:p>
            <w:pPr>
              <w:jc w:val="center"/>
              <w:rPr>
                <w:rFonts w:hint="default" w:ascii="Times New Roman" w:hAnsi="Times New Roman" w:cs="Times New Roman"/>
                <w:sz w:val="21"/>
                <w:szCs w:val="21"/>
              </w:rPr>
            </w:pPr>
          </w:p>
        </w:tc>
        <w:tc>
          <w:tcPr>
            <w:tcW w:w="332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8892</w:t>
            </w:r>
            <w:r>
              <w:rPr>
                <w:rFonts w:hint="default" w:ascii="Times New Roman" w:hAnsi="Times New Roman" w:cs="Times New Roman"/>
                <w:sz w:val="21"/>
                <w:szCs w:val="21"/>
              </w:rPr>
              <w:t>kg/h</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0.00523</w:t>
            </w:r>
            <w:r>
              <w:rPr>
                <w:rFonts w:hint="default" w:ascii="Times New Roman" w:hAnsi="Times New Roman" w:cs="Times New Roman"/>
                <w:sz w:val="21"/>
                <w:szCs w:val="21"/>
                <w:lang w:val="en-US" w:eastAsia="zh-CN"/>
              </w:rPr>
              <w:t>t</w:t>
            </w:r>
            <w:r>
              <w:rPr>
                <w:rFonts w:hint="eastAsia" w:ascii="Times New Roman" w:hAnsi="Times New Roman" w:cs="Times New Roman"/>
                <w:sz w:val="21"/>
                <w:szCs w:val="21"/>
                <w:lang w:val="en-US" w:eastAsia="zh-CN"/>
              </w:rPr>
              <w:t>/a</w:t>
            </w:r>
          </w:p>
        </w:tc>
        <w:tc>
          <w:tcPr>
            <w:tcW w:w="1183"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98" w:hRule="atLeast"/>
          <w:jc w:val="center"/>
        </w:trPr>
        <w:tc>
          <w:tcPr>
            <w:tcW w:w="925" w:type="dxa"/>
            <w:vMerge w:val="continue"/>
            <w:tcBorders>
              <w:tl2br w:val="nil"/>
              <w:tr2bl w:val="nil"/>
            </w:tcBorders>
            <w:vAlign w:val="center"/>
          </w:tcPr>
          <w:p>
            <w:pPr>
              <w:jc w:val="center"/>
              <w:rPr>
                <w:rFonts w:hint="default" w:ascii="Times New Roman" w:hAnsi="Times New Roman" w:cs="Times New Roman"/>
                <w:sz w:val="21"/>
                <w:szCs w:val="21"/>
              </w:rPr>
            </w:pPr>
          </w:p>
        </w:tc>
        <w:tc>
          <w:tcPr>
            <w:tcW w:w="1860" w:type="dxa"/>
            <w:gridSpan w:val="2"/>
            <w:vMerge w:val="continue"/>
            <w:tcBorders>
              <w:tl2br w:val="nil"/>
              <w:tr2bl w:val="nil"/>
            </w:tcBorders>
            <w:vAlign w:val="center"/>
          </w:tcPr>
          <w:p>
            <w:pPr>
              <w:jc w:val="center"/>
              <w:rPr>
                <w:rFonts w:hint="default" w:ascii="Times New Roman" w:hAnsi="Times New Roman" w:cs="Times New Roman"/>
                <w:sz w:val="21"/>
                <w:szCs w:val="21"/>
              </w:rPr>
            </w:pPr>
          </w:p>
        </w:tc>
        <w:tc>
          <w:tcPr>
            <w:tcW w:w="2250" w:type="dxa"/>
            <w:vMerge w:val="continue"/>
            <w:tcBorders>
              <w:tl2br w:val="nil"/>
              <w:tr2bl w:val="nil"/>
            </w:tcBorders>
            <w:vAlign w:val="center"/>
          </w:tcPr>
          <w:p>
            <w:pPr>
              <w:jc w:val="center"/>
              <w:rPr>
                <w:rFonts w:hint="default" w:ascii="Times New Roman" w:hAnsi="Times New Roman" w:cs="Times New Roman"/>
                <w:sz w:val="21"/>
                <w:szCs w:val="21"/>
              </w:rPr>
            </w:pPr>
          </w:p>
        </w:tc>
        <w:tc>
          <w:tcPr>
            <w:tcW w:w="332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0.</w:t>
            </w:r>
            <w:r>
              <w:rPr>
                <w:rFonts w:hint="eastAsia" w:ascii="Times New Roman" w:hAnsi="Times New Roman" w:eastAsia="宋体" w:cs="Times New Roman"/>
                <w:sz w:val="21"/>
                <w:szCs w:val="21"/>
                <w:lang w:val="en-US" w:eastAsia="zh-CN"/>
              </w:rPr>
              <w:t>13415</w:t>
            </w:r>
            <w:r>
              <w:rPr>
                <w:rFonts w:hint="default" w:ascii="Times New Roman" w:hAnsi="Times New Roman" w:cs="Times New Roman"/>
                <w:sz w:val="21"/>
                <w:szCs w:val="21"/>
              </w:rPr>
              <w:t>kg/h</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0.0862</w:t>
            </w:r>
            <w:r>
              <w:rPr>
                <w:rFonts w:hint="default" w:ascii="Times New Roman" w:hAnsi="Times New Roman" w:cs="Times New Roman"/>
                <w:sz w:val="21"/>
                <w:szCs w:val="21"/>
                <w:lang w:val="en-US" w:eastAsia="zh-CN"/>
              </w:rPr>
              <w:t>t</w:t>
            </w:r>
            <w:r>
              <w:rPr>
                <w:rFonts w:hint="eastAsia" w:ascii="Times New Roman" w:hAnsi="Times New Roman" w:cs="Times New Roman"/>
                <w:sz w:val="21"/>
                <w:szCs w:val="21"/>
                <w:lang w:val="en-US" w:eastAsia="zh-CN"/>
              </w:rPr>
              <w:t>/a</w:t>
            </w:r>
          </w:p>
        </w:tc>
        <w:tc>
          <w:tcPr>
            <w:tcW w:w="1183" w:type="dxa"/>
            <w:vMerge w:val="restart"/>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无组织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824" w:hRule="atLeast"/>
          <w:jc w:val="center"/>
        </w:trPr>
        <w:tc>
          <w:tcPr>
            <w:tcW w:w="925" w:type="dxa"/>
            <w:vMerge w:val="continue"/>
            <w:tcBorders>
              <w:tl2br w:val="nil"/>
              <w:tr2bl w:val="nil"/>
            </w:tcBorders>
            <w:vAlign w:val="center"/>
          </w:tcPr>
          <w:p>
            <w:pPr>
              <w:jc w:val="center"/>
              <w:rPr>
                <w:rFonts w:hint="default" w:ascii="Times New Roman" w:hAnsi="Times New Roman" w:cs="Times New Roman"/>
                <w:sz w:val="21"/>
                <w:szCs w:val="21"/>
              </w:rPr>
            </w:pPr>
          </w:p>
        </w:tc>
        <w:tc>
          <w:tcPr>
            <w:tcW w:w="1860" w:type="dxa"/>
            <w:gridSpan w:val="2"/>
            <w:vMerge w:val="continue"/>
            <w:tcBorders>
              <w:tl2br w:val="nil"/>
              <w:tr2bl w:val="nil"/>
            </w:tcBorders>
            <w:vAlign w:val="center"/>
          </w:tcPr>
          <w:p>
            <w:pPr>
              <w:jc w:val="center"/>
              <w:rPr>
                <w:rFonts w:hint="eastAsia" w:ascii="Times New Roman" w:hAnsi="Times New Roman" w:eastAsia="宋体" w:cs="Times New Roman"/>
                <w:sz w:val="21"/>
                <w:szCs w:val="21"/>
                <w:lang w:eastAsia="zh-CN"/>
              </w:rPr>
            </w:pPr>
          </w:p>
        </w:tc>
        <w:tc>
          <w:tcPr>
            <w:tcW w:w="2250" w:type="dxa"/>
            <w:vMerge w:val="continue"/>
            <w:tcBorders>
              <w:tl2br w:val="nil"/>
              <w:tr2bl w:val="nil"/>
            </w:tcBorders>
            <w:vAlign w:val="center"/>
          </w:tcPr>
          <w:p>
            <w:pPr>
              <w:jc w:val="center"/>
              <w:rPr>
                <w:rFonts w:hint="default" w:ascii="Times New Roman" w:hAnsi="Times New Roman" w:cs="Times New Roman"/>
                <w:sz w:val="21"/>
                <w:szCs w:val="21"/>
              </w:rPr>
            </w:pPr>
          </w:p>
        </w:tc>
        <w:tc>
          <w:tcPr>
            <w:tcW w:w="3328"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988</w:t>
            </w:r>
            <w:r>
              <w:rPr>
                <w:rFonts w:hint="default" w:ascii="Times New Roman" w:hAnsi="Times New Roman" w:cs="Times New Roman"/>
                <w:sz w:val="21"/>
                <w:szCs w:val="21"/>
              </w:rPr>
              <w:t>kg/h</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0.00581</w:t>
            </w:r>
            <w:r>
              <w:rPr>
                <w:rFonts w:hint="default" w:ascii="Times New Roman" w:hAnsi="Times New Roman" w:cs="Times New Roman"/>
                <w:sz w:val="21"/>
                <w:szCs w:val="21"/>
                <w:lang w:val="en-US" w:eastAsia="zh-CN"/>
              </w:rPr>
              <w:t>t</w:t>
            </w:r>
            <w:r>
              <w:rPr>
                <w:rFonts w:hint="eastAsia" w:ascii="Times New Roman" w:hAnsi="Times New Roman" w:cs="Times New Roman"/>
                <w:sz w:val="21"/>
                <w:szCs w:val="21"/>
                <w:lang w:val="en-US" w:eastAsia="zh-CN"/>
              </w:rPr>
              <w:t>/a</w:t>
            </w:r>
          </w:p>
        </w:tc>
        <w:tc>
          <w:tcPr>
            <w:tcW w:w="1183"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7" w:hRule="atLeast"/>
          <w:jc w:val="center"/>
        </w:trPr>
        <w:tc>
          <w:tcPr>
            <w:tcW w:w="92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食堂油烟</w:t>
            </w:r>
          </w:p>
        </w:tc>
        <w:tc>
          <w:tcPr>
            <w:tcW w:w="62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油烟</w:t>
            </w:r>
          </w:p>
        </w:tc>
        <w:tc>
          <w:tcPr>
            <w:tcW w:w="1237" w:type="dxa"/>
            <w:tcBorders>
              <w:tl2br w:val="nil"/>
              <w:tr2bl w:val="nil"/>
            </w:tcBorders>
            <w:vAlign w:val="center"/>
          </w:tcPr>
          <w:p>
            <w:pPr>
              <w:jc w:val="center"/>
              <w:rPr>
                <w:rFonts w:hint="default" w:ascii="Times New Roman" w:hAnsi="Times New Roman" w:cs="Times New Roman"/>
                <w:sz w:val="21"/>
                <w:szCs w:val="21"/>
                <w:vertAlign w:val="superscript"/>
              </w:rPr>
            </w:pPr>
            <w:r>
              <w:rPr>
                <w:rFonts w:hint="default" w:ascii="Times New Roman" w:hAnsi="Times New Roman" w:cs="Times New Roman"/>
                <w:sz w:val="21"/>
                <w:szCs w:val="21"/>
                <w:lang w:val="en-US" w:eastAsia="zh-CN"/>
              </w:rPr>
              <w:t>5.63</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14.4kg</w:t>
            </w:r>
            <w:r>
              <w:rPr>
                <w:rFonts w:hint="default" w:ascii="Times New Roman" w:hAnsi="Times New Roman" w:cs="Times New Roman"/>
                <w:sz w:val="21"/>
                <w:szCs w:val="21"/>
              </w:rPr>
              <w:t>/a</w:t>
            </w:r>
          </w:p>
        </w:tc>
        <w:tc>
          <w:tcPr>
            <w:tcW w:w="225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经</w:t>
            </w:r>
            <w:r>
              <w:rPr>
                <w:rFonts w:hint="eastAsia" w:ascii="Times New Roman" w:hAnsi="Times New Roman" w:eastAsia="宋体" w:cs="Times New Roman"/>
                <w:sz w:val="21"/>
                <w:szCs w:val="21"/>
                <w:lang w:eastAsia="zh-CN"/>
              </w:rPr>
              <w:t>风量</w:t>
            </w:r>
            <w:r>
              <w:rPr>
                <w:rFonts w:hint="eastAsia" w:ascii="Times New Roman" w:hAnsi="Times New Roman" w:eastAsia="宋体" w:cs="Times New Roman"/>
                <w:sz w:val="21"/>
                <w:szCs w:val="21"/>
                <w:lang w:val="en-US" w:eastAsia="zh-CN"/>
              </w:rPr>
              <w:t>4000m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r>
              <w:rPr>
                <w:rFonts w:hint="default" w:ascii="Times New Roman" w:hAnsi="Times New Roman" w:cs="Times New Roman"/>
                <w:sz w:val="21"/>
                <w:szCs w:val="21"/>
              </w:rPr>
              <w:t>油烟净化器处理后的油烟废气通过</w:t>
            </w:r>
            <w:r>
              <w:rPr>
                <w:rFonts w:hint="eastAsia" w:ascii="Times New Roman" w:hAnsi="Times New Roman" w:eastAsia="宋体" w:cs="Times New Roman"/>
                <w:sz w:val="21"/>
                <w:szCs w:val="21"/>
                <w:lang w:val="en-US" w:eastAsia="zh-CN"/>
              </w:rPr>
              <w:t>15m高</w:t>
            </w:r>
            <w:r>
              <w:rPr>
                <w:rFonts w:hint="default" w:ascii="Times New Roman" w:hAnsi="Times New Roman" w:cs="Times New Roman"/>
                <w:sz w:val="21"/>
                <w:szCs w:val="21"/>
              </w:rPr>
              <w:t>排气筒</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DA002</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排放</w:t>
            </w:r>
          </w:p>
        </w:tc>
        <w:tc>
          <w:tcPr>
            <w:tcW w:w="332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56</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lang w:val="en-US" w:eastAsia="zh-CN"/>
              </w:rPr>
              <w:t>1.44kg</w:t>
            </w:r>
            <w:r>
              <w:rPr>
                <w:rFonts w:hint="default" w:ascii="Times New Roman" w:hAnsi="Times New Roman" w:cs="Times New Roman"/>
                <w:sz w:val="21"/>
                <w:szCs w:val="21"/>
              </w:rPr>
              <w:t>/a</w:t>
            </w:r>
          </w:p>
        </w:tc>
        <w:tc>
          <w:tcPr>
            <w:tcW w:w="1183" w:type="dxa"/>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eastAsia="宋体" w:cs="Times New Roman"/>
                <w:sz w:val="21"/>
                <w:szCs w:val="21"/>
                <w:lang w:eastAsia="zh-CN"/>
              </w:rPr>
              <w:t>有组织</w:t>
            </w:r>
          </w:p>
        </w:tc>
      </w:tr>
    </w:tbl>
    <w:p>
      <w:pPr>
        <w:keepNext w:val="0"/>
        <w:keepLines w:val="0"/>
        <w:pageBreakBefore w:val="0"/>
        <w:widowControl/>
        <w:kinsoku w:val="0"/>
        <w:wordWrap/>
        <w:overflowPunct/>
        <w:topLinePunct w:val="0"/>
        <w:autoSpaceDE w:val="0"/>
        <w:autoSpaceDN w:val="0"/>
        <w:bidi w:val="0"/>
        <w:adjustRightInd w:val="0"/>
        <w:snapToGrid w:val="0"/>
        <w:spacing w:before="131" w:line="360" w:lineRule="auto"/>
        <w:ind w:left="601"/>
        <w:textAlignment w:val="baseline"/>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三、噪声污染源强分析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该项目噪声污染源主要来自于待宰圈内牛羊的鸣叫声，屠宰车间设备、污水处理站、生物除臭塔引风机</w:t>
      </w:r>
      <w:r>
        <w:rPr>
          <w:rFonts w:hint="eastAsia" w:ascii="Times New Roman" w:hAnsi="Times New Roman" w:cs="Times New Roman"/>
          <w:sz w:val="24"/>
          <w:szCs w:val="24"/>
          <w:u w:val="single"/>
          <w:lang w:val="en-US" w:eastAsia="zh-CN"/>
        </w:rPr>
        <w:t>、以及</w:t>
      </w:r>
      <w:r>
        <w:rPr>
          <w:rFonts w:hint="default" w:ascii="Times New Roman" w:hAnsi="Times New Roman" w:cs="Times New Roman"/>
          <w:sz w:val="24"/>
          <w:szCs w:val="24"/>
          <w:u w:val="single"/>
          <w:lang w:val="en-US" w:eastAsia="zh-CN"/>
        </w:rPr>
        <w:t>制冷系统设备产生的噪声等。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①该项目待宰圈内的牛会发出鸣叫声，特别是宰前至少有24h不给牲畜进食，牲畜发出鸣叫声可达到</w:t>
      </w:r>
      <w:r>
        <w:rPr>
          <w:rFonts w:hint="eastAsia" w:ascii="Times New Roman" w:hAnsi="Times New Roman" w:cs="Times New Roman"/>
          <w:sz w:val="24"/>
          <w:szCs w:val="24"/>
          <w:u w:val="single"/>
          <w:lang w:val="en-US" w:eastAsia="zh-CN"/>
        </w:rPr>
        <w:t>90</w:t>
      </w:r>
      <w:r>
        <w:rPr>
          <w:rFonts w:hint="default" w:ascii="Times New Roman" w:hAnsi="Times New Roman" w:cs="Times New Roman"/>
          <w:sz w:val="24"/>
          <w:szCs w:val="24"/>
          <w:u w:val="single"/>
          <w:lang w:val="en-US" w:eastAsia="zh-CN"/>
        </w:rPr>
        <w:t xml:space="preserve">dB(A)。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②</w:t>
      </w:r>
      <w:r>
        <w:rPr>
          <w:rFonts w:hint="eastAsia" w:ascii="Times New Roman" w:hAnsi="Times New Roman" w:cs="Times New Roman"/>
          <w:sz w:val="24"/>
          <w:szCs w:val="24"/>
          <w:u w:val="single"/>
          <w:lang w:val="en-US" w:eastAsia="zh-CN"/>
        </w:rPr>
        <w:t>屠宰加工车间</w:t>
      </w:r>
      <w:r>
        <w:rPr>
          <w:rFonts w:hint="default" w:ascii="Times New Roman" w:hAnsi="Times New Roman" w:cs="Times New Roman"/>
          <w:sz w:val="24"/>
          <w:szCs w:val="24"/>
          <w:u w:val="single"/>
          <w:lang w:val="en-US" w:eastAsia="zh-CN"/>
        </w:rPr>
        <w:t>内的噪声主要为机械噪声和电机噪声，其噪声频谱呈中低频特性，噪声值约在</w:t>
      </w:r>
      <w:r>
        <w:rPr>
          <w:rFonts w:hint="eastAsia" w:ascii="Times New Roman" w:hAnsi="Times New Roman" w:cs="Times New Roman"/>
          <w:sz w:val="24"/>
          <w:szCs w:val="24"/>
          <w:u w:val="single"/>
          <w:lang w:val="en-US" w:eastAsia="zh-CN"/>
        </w:rPr>
        <w:t>80</w:t>
      </w:r>
      <w:r>
        <w:rPr>
          <w:rFonts w:hint="default" w:ascii="Times New Roman" w:hAnsi="Times New Roman" w:cs="Times New Roman"/>
          <w:sz w:val="24"/>
          <w:szCs w:val="24"/>
          <w:u w:val="single"/>
          <w:lang w:val="en-US" w:eastAsia="zh-CN"/>
        </w:rPr>
        <w:t>dB(A)。</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③污水处理站的噪声主要来自水泵的运行噪声。水泵噪声主要为泵体噪声、电机噪声及管路噪声三个部分。根据类比预测，该项目污水处理站泵房的运行噪声值约为</w:t>
      </w:r>
      <w:r>
        <w:rPr>
          <w:rFonts w:hint="eastAsia" w:ascii="Times New Roman" w:hAnsi="Times New Roman" w:cs="Times New Roman"/>
          <w:sz w:val="24"/>
          <w:szCs w:val="24"/>
          <w:u w:val="single"/>
          <w:lang w:val="en-US" w:eastAsia="zh-CN"/>
        </w:rPr>
        <w:t>85</w:t>
      </w:r>
      <w:r>
        <w:rPr>
          <w:rFonts w:hint="default" w:ascii="Times New Roman" w:hAnsi="Times New Roman" w:cs="Times New Roman"/>
          <w:sz w:val="24"/>
          <w:szCs w:val="24"/>
          <w:u w:val="single"/>
          <w:lang w:val="en-US" w:eastAsia="zh-CN"/>
        </w:rPr>
        <w:t>dB(A)。</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④</w:t>
      </w:r>
      <w:r>
        <w:rPr>
          <w:rFonts w:hint="eastAsia" w:ascii="Times New Roman" w:hAnsi="Times New Roman" w:cs="Times New Roman"/>
          <w:sz w:val="24"/>
          <w:szCs w:val="24"/>
          <w:u w:val="single"/>
          <w:lang w:val="en-US" w:eastAsia="zh-CN"/>
        </w:rPr>
        <w:t>生物除臭塔引风机</w:t>
      </w:r>
      <w:r>
        <w:rPr>
          <w:rFonts w:hint="default" w:ascii="Times New Roman" w:hAnsi="Times New Roman" w:cs="Times New Roman"/>
          <w:sz w:val="24"/>
          <w:szCs w:val="24"/>
          <w:u w:val="single"/>
          <w:lang w:val="en-US" w:eastAsia="zh-CN"/>
        </w:rPr>
        <w:t>的噪声主要为</w:t>
      </w:r>
      <w:r>
        <w:rPr>
          <w:rFonts w:hint="eastAsia" w:ascii="Times New Roman" w:hAnsi="Times New Roman" w:cs="Times New Roman"/>
          <w:sz w:val="24"/>
          <w:szCs w:val="24"/>
          <w:u w:val="single"/>
          <w:lang w:val="en-US" w:eastAsia="zh-CN"/>
        </w:rPr>
        <w:t>空气动力性</w:t>
      </w:r>
      <w:r>
        <w:rPr>
          <w:rFonts w:hint="default" w:ascii="Times New Roman" w:hAnsi="Times New Roman" w:cs="Times New Roman"/>
          <w:sz w:val="24"/>
          <w:szCs w:val="24"/>
          <w:u w:val="single"/>
          <w:lang w:val="en-US" w:eastAsia="zh-CN"/>
        </w:rPr>
        <w:t>噪声，噪声值约在</w:t>
      </w:r>
      <w:r>
        <w:rPr>
          <w:rFonts w:hint="eastAsia" w:ascii="Times New Roman" w:hAnsi="Times New Roman" w:cs="Times New Roman"/>
          <w:sz w:val="24"/>
          <w:szCs w:val="24"/>
          <w:u w:val="single"/>
          <w:lang w:val="en-US" w:eastAsia="zh-CN"/>
        </w:rPr>
        <w:t>85</w:t>
      </w:r>
      <w:r>
        <w:rPr>
          <w:rFonts w:hint="default" w:ascii="Times New Roman" w:hAnsi="Times New Roman" w:cs="Times New Roman"/>
          <w:sz w:val="24"/>
          <w:szCs w:val="24"/>
          <w:u w:val="single"/>
          <w:lang w:val="en-US" w:eastAsia="zh-CN"/>
        </w:rPr>
        <w:t>dB(A)。</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⑤制冷系统中的冷库的进出口噪声值约在6</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~7</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dB(A)；压缩机噪声值约在8</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dB(A)。通过查阅资料，本项目各个噪声源及其源强见表</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28。</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表3-28    拟建项目噪声源源强一览表</w:t>
      </w:r>
    </w:p>
    <w:tbl>
      <w:tblPr>
        <w:tblStyle w:val="21"/>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4241"/>
        <w:gridCol w:w="3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序号</w:t>
            </w:r>
          </w:p>
        </w:tc>
        <w:tc>
          <w:tcPr>
            <w:tcW w:w="42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噪声源</w:t>
            </w:r>
          </w:p>
        </w:tc>
        <w:tc>
          <w:tcPr>
            <w:tcW w:w="33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42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eastAsia="zh-CN"/>
              </w:rPr>
              <w:t>待宰圈牛羊叫声</w:t>
            </w:r>
          </w:p>
        </w:tc>
        <w:tc>
          <w:tcPr>
            <w:tcW w:w="33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90dB（A）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w:t>
            </w:r>
          </w:p>
        </w:tc>
        <w:tc>
          <w:tcPr>
            <w:tcW w:w="42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eastAsia="zh-CN"/>
              </w:rPr>
              <w:t>屠宰加工成套设备</w:t>
            </w:r>
          </w:p>
        </w:tc>
        <w:tc>
          <w:tcPr>
            <w:tcW w:w="33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80dB（A）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w:t>
            </w:r>
          </w:p>
        </w:tc>
        <w:tc>
          <w:tcPr>
            <w:tcW w:w="42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eastAsia="zh-CN"/>
              </w:rPr>
              <w:t>污水处理站</w:t>
            </w:r>
            <w:r>
              <w:rPr>
                <w:rFonts w:hint="eastAsia" w:ascii="Times New Roman" w:hAnsi="Times New Roman" w:eastAsia="宋体" w:cs="Times New Roman"/>
                <w:sz w:val="21"/>
                <w:szCs w:val="21"/>
                <w:u w:val="single"/>
                <w:vertAlign w:val="baseline"/>
                <w:lang w:val="en-US" w:eastAsia="zh-CN"/>
              </w:rPr>
              <w:t>水泵</w:t>
            </w:r>
          </w:p>
        </w:tc>
        <w:tc>
          <w:tcPr>
            <w:tcW w:w="33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85dB（A）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42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eastAsia="zh-CN"/>
              </w:rPr>
            </w:pPr>
            <w:r>
              <w:rPr>
                <w:rFonts w:hint="eastAsia" w:ascii="Times New Roman" w:hAnsi="Times New Roman" w:eastAsia="宋体" w:cs="Times New Roman"/>
                <w:sz w:val="21"/>
                <w:szCs w:val="21"/>
                <w:u w:val="single"/>
                <w:vertAlign w:val="baseline"/>
                <w:lang w:eastAsia="zh-CN"/>
              </w:rPr>
              <w:t>生物除臭塔引风机</w:t>
            </w:r>
          </w:p>
        </w:tc>
        <w:tc>
          <w:tcPr>
            <w:tcW w:w="33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85dB（A）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vertAlign w:val="baseline"/>
                <w:lang w:val="en-US" w:eastAsia="zh-CN" w:bidi="ar-SA"/>
              </w:rPr>
            </w:pPr>
            <w:r>
              <w:rPr>
                <w:rFonts w:hint="eastAsia" w:ascii="Times New Roman" w:hAnsi="Times New Roman" w:eastAsia="宋体" w:cs="Times New Roman"/>
                <w:snapToGrid w:val="0"/>
                <w:color w:val="000000"/>
                <w:kern w:val="0"/>
                <w:sz w:val="21"/>
                <w:szCs w:val="21"/>
                <w:vertAlign w:val="baseline"/>
                <w:lang w:val="en-US" w:eastAsia="zh-CN" w:bidi="ar-SA"/>
              </w:rPr>
              <w:t>5</w:t>
            </w:r>
          </w:p>
        </w:tc>
        <w:tc>
          <w:tcPr>
            <w:tcW w:w="42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vertAlign w:val="baseline"/>
                <w:lang w:eastAsia="zh-CN"/>
              </w:rPr>
            </w:pPr>
            <w:r>
              <w:rPr>
                <w:rFonts w:hint="eastAsia" w:ascii="Times New Roman" w:hAnsi="Times New Roman" w:eastAsia="宋体" w:cs="Times New Roman"/>
                <w:sz w:val="21"/>
                <w:szCs w:val="21"/>
                <w:u w:val="single"/>
                <w:vertAlign w:val="baseline"/>
                <w:lang w:eastAsia="zh-CN"/>
              </w:rPr>
              <w:t>制冷压缩机房</w:t>
            </w:r>
          </w:p>
        </w:tc>
        <w:tc>
          <w:tcPr>
            <w:tcW w:w="33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80dB（A）</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本项目产生的噪声，通过采用低噪声设备、对基础做减振处理、生产车间生产时门窗密闭等隔声措施，经墙壁、围墙和距离衰减后，可以</w:t>
      </w:r>
      <w:r>
        <w:rPr>
          <w:rFonts w:hint="eastAsia" w:ascii="Times New Roman" w:hAnsi="Times New Roman" w:eastAsia="宋体" w:cs="Times New Roman"/>
          <w:sz w:val="24"/>
          <w:szCs w:val="24"/>
          <w:lang w:eastAsia="zh-CN"/>
        </w:rPr>
        <w:t>实现厂界达标排放</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1" w:line="360" w:lineRule="auto"/>
        <w:ind w:left="624"/>
        <w:textAlignment w:val="baseline"/>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四、项目固废产生情况分析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本项目固体废物主要为粪便、病死</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羊及不合格肉品，肠胃内容物、污水处理站污泥、栅渣、废油脂、检疫废物和生活垃圾等。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①粪便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本</w:t>
      </w:r>
      <w:r>
        <w:rPr>
          <w:rFonts w:hint="default" w:ascii="Times New Roman" w:hAnsi="Times New Roman" w:cs="Times New Roman"/>
          <w:sz w:val="24"/>
          <w:szCs w:val="24"/>
          <w:u w:val="single"/>
        </w:rPr>
        <w:t>项目</w:t>
      </w:r>
      <w:r>
        <w:rPr>
          <w:rFonts w:hint="eastAsia" w:ascii="Times New Roman" w:hAnsi="Times New Roman" w:eastAsia="宋体" w:cs="Times New Roman"/>
          <w:sz w:val="24"/>
          <w:szCs w:val="24"/>
          <w:u w:val="single"/>
          <w:lang w:eastAsia="zh-CN"/>
        </w:rPr>
        <w:t>配套建</w:t>
      </w:r>
      <w:r>
        <w:rPr>
          <w:rFonts w:hint="default" w:ascii="Times New Roman" w:hAnsi="Times New Roman" w:cs="Times New Roman"/>
          <w:sz w:val="24"/>
          <w:szCs w:val="24"/>
          <w:u w:val="single"/>
        </w:rPr>
        <w:t>设有</w:t>
      </w:r>
      <w:r>
        <w:rPr>
          <w:rFonts w:hint="eastAsia" w:ascii="Times New Roman" w:hAnsi="Times New Roman" w:eastAsia="宋体" w:cs="Times New Roman"/>
          <w:sz w:val="24"/>
          <w:szCs w:val="24"/>
          <w:u w:val="single"/>
          <w:lang w:eastAsia="zh-CN"/>
        </w:rPr>
        <w:t>牛羊</w:t>
      </w:r>
      <w:r>
        <w:rPr>
          <w:rFonts w:hint="default" w:ascii="Times New Roman" w:hAnsi="Times New Roman" w:cs="Times New Roman"/>
          <w:sz w:val="24"/>
          <w:szCs w:val="24"/>
          <w:u w:val="single"/>
        </w:rPr>
        <w:t>待宰区，待宰</w:t>
      </w:r>
      <w:r>
        <w:rPr>
          <w:rFonts w:hint="eastAsia" w:ascii="Times New Roman" w:hAnsi="Times New Roman" w:eastAsia="宋体" w:cs="Times New Roman"/>
          <w:sz w:val="24"/>
          <w:szCs w:val="24"/>
          <w:u w:val="single"/>
          <w:lang w:eastAsia="zh-CN"/>
        </w:rPr>
        <w:t>牛</w:t>
      </w:r>
      <w:r>
        <w:rPr>
          <w:rFonts w:hint="default" w:ascii="Times New Roman" w:hAnsi="Times New Roman" w:cs="Times New Roman"/>
          <w:sz w:val="24"/>
          <w:szCs w:val="24"/>
          <w:u w:val="single"/>
        </w:rPr>
        <w:t>羊在圈内停留不超过24h。根据设计规模，</w:t>
      </w:r>
      <w:r>
        <w:rPr>
          <w:rFonts w:hint="eastAsia" w:ascii="Times New Roman" w:hAnsi="Times New Roman" w:eastAsia="宋体" w:cs="Times New Roman"/>
          <w:sz w:val="24"/>
          <w:szCs w:val="24"/>
          <w:u w:val="single"/>
          <w:lang w:eastAsia="zh-CN"/>
        </w:rPr>
        <w:t>在稳定连续生产的条件下，</w:t>
      </w:r>
      <w:r>
        <w:rPr>
          <w:rFonts w:hint="default" w:ascii="Times New Roman" w:hAnsi="Times New Roman" w:cs="Times New Roman"/>
          <w:sz w:val="24"/>
          <w:szCs w:val="24"/>
          <w:u w:val="single"/>
        </w:rPr>
        <w:t>本项目屠宰量为</w:t>
      </w:r>
      <w:r>
        <w:rPr>
          <w:rFonts w:hint="eastAsia" w:ascii="Times New Roman" w:hAnsi="Times New Roman" w:eastAsia="宋体" w:cs="Times New Roman"/>
          <w:sz w:val="24"/>
          <w:szCs w:val="24"/>
          <w:u w:val="single"/>
          <w:lang w:val="en-US" w:eastAsia="zh-CN"/>
        </w:rPr>
        <w:t>32头牛/d，</w:t>
      </w:r>
      <w:r>
        <w:rPr>
          <w:rFonts w:hint="default" w:ascii="Times New Roman" w:hAnsi="Times New Roman" w:cs="Times New Roman"/>
          <w:sz w:val="24"/>
          <w:szCs w:val="24"/>
          <w:u w:val="single"/>
        </w:rPr>
        <w:t>4</w:t>
      </w:r>
      <w:r>
        <w:rPr>
          <w:rFonts w:hint="eastAsia" w:ascii="Times New Roman" w:hAnsi="Times New Roman" w:eastAsia="宋体" w:cs="Times New Roman"/>
          <w:sz w:val="24"/>
          <w:szCs w:val="24"/>
          <w:u w:val="single"/>
          <w:lang w:val="en-US" w:eastAsia="zh-CN"/>
        </w:rPr>
        <w:t>69</w:t>
      </w:r>
      <w:r>
        <w:rPr>
          <w:rFonts w:hint="default" w:ascii="Times New Roman" w:hAnsi="Times New Roman" w:cs="Times New Roman"/>
          <w:sz w:val="24"/>
          <w:szCs w:val="24"/>
          <w:u w:val="single"/>
        </w:rPr>
        <w:t>只</w:t>
      </w:r>
      <w:r>
        <w:rPr>
          <w:rFonts w:hint="eastAsia" w:ascii="Times New Roman" w:hAnsi="Times New Roman" w:eastAsia="宋体" w:cs="Times New Roman"/>
          <w:sz w:val="24"/>
          <w:szCs w:val="24"/>
          <w:u w:val="single"/>
          <w:lang w:eastAsia="zh-CN"/>
        </w:rPr>
        <w:t>羊</w:t>
      </w:r>
      <w:r>
        <w:rPr>
          <w:rFonts w:hint="eastAsia" w:ascii="Times New Roman" w:hAnsi="Times New Roman" w:eastAsia="宋体" w:cs="Times New Roman"/>
          <w:sz w:val="24"/>
          <w:szCs w:val="24"/>
          <w:u w:val="single"/>
          <w:lang w:val="en-US" w:eastAsia="zh-CN"/>
        </w:rPr>
        <w:t>/d</w:t>
      </w:r>
      <w:r>
        <w:rPr>
          <w:rFonts w:hint="default" w:ascii="Times New Roman" w:hAnsi="Times New Roman" w:cs="Times New Roman"/>
          <w:sz w:val="24"/>
          <w:szCs w:val="24"/>
          <w:u w:val="single"/>
        </w:rPr>
        <w:t>，待宰区</w:t>
      </w:r>
      <w:r>
        <w:rPr>
          <w:rFonts w:hint="eastAsia" w:ascii="Times New Roman" w:hAnsi="Times New Roman" w:eastAsia="宋体" w:cs="Times New Roman"/>
          <w:sz w:val="24"/>
          <w:szCs w:val="24"/>
          <w:u w:val="single"/>
          <w:lang w:val="en-US" w:eastAsia="zh-CN"/>
        </w:rPr>
        <w:t>牛羊</w:t>
      </w:r>
      <w:r>
        <w:rPr>
          <w:rFonts w:hint="default" w:ascii="Times New Roman" w:hAnsi="Times New Roman" w:cs="Times New Roman"/>
          <w:sz w:val="24"/>
          <w:szCs w:val="24"/>
          <w:u w:val="single"/>
        </w:rPr>
        <w:t>存栏量</w:t>
      </w:r>
      <w:r>
        <w:rPr>
          <w:rFonts w:hint="eastAsia" w:ascii="Times New Roman" w:hAnsi="Times New Roman" w:eastAsia="宋体" w:cs="Times New Roman"/>
          <w:sz w:val="24"/>
          <w:szCs w:val="24"/>
          <w:u w:val="single"/>
          <w:lang w:val="en-US" w:eastAsia="zh-CN"/>
        </w:rPr>
        <w:t>为64头牛/d，938</w:t>
      </w:r>
      <w:r>
        <w:rPr>
          <w:rFonts w:hint="default" w:ascii="Times New Roman" w:hAnsi="Times New Roman" w:cs="Times New Roman"/>
          <w:sz w:val="24"/>
          <w:szCs w:val="24"/>
          <w:u w:val="single"/>
        </w:rPr>
        <w:t>只</w:t>
      </w:r>
      <w:r>
        <w:rPr>
          <w:rFonts w:hint="eastAsia" w:ascii="Times New Roman" w:hAnsi="Times New Roman" w:eastAsia="宋体" w:cs="Times New Roman"/>
          <w:sz w:val="24"/>
          <w:szCs w:val="24"/>
          <w:u w:val="single"/>
          <w:lang w:eastAsia="zh-CN"/>
        </w:rPr>
        <w:t>羊</w:t>
      </w:r>
      <w:r>
        <w:rPr>
          <w:rFonts w:hint="eastAsia" w:ascii="Times New Roman" w:hAnsi="Times New Roman" w:eastAsia="宋体" w:cs="Times New Roman"/>
          <w:sz w:val="24"/>
          <w:szCs w:val="24"/>
          <w:u w:val="single"/>
          <w:lang w:val="en-US" w:eastAsia="zh-CN"/>
        </w:rPr>
        <w:t>/d，</w:t>
      </w:r>
      <w:r>
        <w:rPr>
          <w:rFonts w:hint="default" w:ascii="Times New Roman" w:hAnsi="Times New Roman" w:cs="Times New Roman"/>
          <w:sz w:val="24"/>
          <w:szCs w:val="24"/>
          <w:u w:val="single"/>
        </w:rPr>
        <w:t>以满足连续生产的要求。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根据《排污许可证申请与核发技术规范 畜禽养殖行业》（HJ1029-2019），</w:t>
      </w:r>
      <w:r>
        <w:rPr>
          <w:rFonts w:hint="eastAsia" w:ascii="Times New Roman" w:hAnsi="Times New Roman" w:cs="Times New Roman"/>
          <w:sz w:val="24"/>
          <w:szCs w:val="24"/>
          <w:u w:val="single"/>
          <w:lang w:val="en-US" w:eastAsia="zh-CN"/>
        </w:rPr>
        <w:t>正常养殖过程中</w:t>
      </w:r>
      <w:r>
        <w:rPr>
          <w:rFonts w:hint="default" w:ascii="Times New Roman" w:hAnsi="Times New Roman" w:cs="Times New Roman"/>
          <w:sz w:val="24"/>
          <w:szCs w:val="24"/>
          <w:u w:val="single"/>
          <w:lang w:val="en-US" w:eastAsia="zh-CN"/>
        </w:rPr>
        <w:t>每只肉羊粪便产生量为0.41kg/d·只，肉牛粪便产生量为10.88kg/d·头</w:t>
      </w:r>
      <w:r>
        <w:rPr>
          <w:rFonts w:hint="eastAsia" w:ascii="Times New Roman" w:hAnsi="Times New Roman" w:cs="Times New Roman"/>
          <w:sz w:val="24"/>
          <w:szCs w:val="24"/>
          <w:u w:val="single"/>
          <w:lang w:val="en-US" w:eastAsia="zh-CN"/>
        </w:rPr>
        <w:t>。按照屠宰流程，本项目牛羊在屠宰前需要空腹静养，即在待宰间完成24h空腹静养过程，因此，待宰间粪便产生量会少于正常饲养条件下，</w:t>
      </w:r>
      <w:r>
        <w:rPr>
          <w:rFonts w:hint="eastAsia" w:ascii="Times New Roman" w:hAnsi="Times New Roman" w:eastAsia="宋体" w:cs="Times New Roman"/>
          <w:sz w:val="24"/>
          <w:szCs w:val="24"/>
          <w:u w:val="single"/>
          <w:lang w:val="en-US" w:eastAsia="zh-CN"/>
        </w:rPr>
        <w:t>按正常负荷量的50%考虑，</w:t>
      </w:r>
      <w:r>
        <w:rPr>
          <w:rFonts w:hint="eastAsia" w:ascii="Times New Roman" w:hAnsi="Times New Roman" w:eastAsia="宋体" w:cs="Times New Roman"/>
          <w:sz w:val="24"/>
          <w:szCs w:val="24"/>
          <w:u w:val="single"/>
          <w:lang w:eastAsia="zh-CN"/>
        </w:rPr>
        <w:t>牛</w:t>
      </w:r>
      <w:r>
        <w:rPr>
          <w:rFonts w:hint="default" w:ascii="Times New Roman" w:hAnsi="Times New Roman" w:cs="Times New Roman"/>
          <w:sz w:val="24"/>
          <w:szCs w:val="24"/>
          <w:u w:val="single"/>
        </w:rPr>
        <w:t>羊粪便</w:t>
      </w:r>
      <w:r>
        <w:rPr>
          <w:rFonts w:hint="eastAsia" w:ascii="Times New Roman" w:hAnsi="Times New Roman" w:eastAsia="宋体" w:cs="Times New Roman"/>
          <w:sz w:val="24"/>
          <w:szCs w:val="24"/>
          <w:u w:val="single"/>
          <w:lang w:eastAsia="zh-CN"/>
        </w:rPr>
        <w:t>产生系数</w:t>
      </w:r>
      <w:r>
        <w:rPr>
          <w:rFonts w:hint="default" w:ascii="Times New Roman" w:hAnsi="Times New Roman" w:cs="Times New Roman"/>
          <w:sz w:val="24"/>
          <w:szCs w:val="24"/>
          <w:u w:val="single"/>
        </w:rPr>
        <w:t>可按</w:t>
      </w:r>
      <w:r>
        <w:rPr>
          <w:rFonts w:hint="eastAsia" w:ascii="Times New Roman" w:hAnsi="Times New Roman" w:eastAsia="宋体" w:cs="Times New Roman"/>
          <w:sz w:val="24"/>
          <w:szCs w:val="24"/>
          <w:u w:val="single"/>
          <w:lang w:val="en-US" w:eastAsia="zh-CN"/>
        </w:rPr>
        <w:t>5.44</w:t>
      </w:r>
      <w:r>
        <w:rPr>
          <w:rFonts w:hint="default" w:ascii="Times New Roman" w:hAnsi="Times New Roman" w:cs="Times New Roman"/>
          <w:sz w:val="24"/>
          <w:szCs w:val="24"/>
          <w:u w:val="single"/>
        </w:rPr>
        <w:t>kg/</w:t>
      </w:r>
      <w:r>
        <w:rPr>
          <w:rFonts w:hint="eastAsia" w:ascii="Times New Roman" w:hAnsi="Times New Roman" w:eastAsia="宋体" w:cs="Times New Roman"/>
          <w:sz w:val="24"/>
          <w:szCs w:val="24"/>
          <w:u w:val="single"/>
          <w:lang w:eastAsia="zh-CN"/>
        </w:rPr>
        <w:t>头牛和</w:t>
      </w:r>
      <w:r>
        <w:rPr>
          <w:rFonts w:hint="eastAsia" w:ascii="Times New Roman" w:hAnsi="Times New Roman" w:eastAsia="宋体" w:cs="Times New Roman"/>
          <w:sz w:val="24"/>
          <w:szCs w:val="24"/>
          <w:u w:val="single"/>
          <w:lang w:val="en-US" w:eastAsia="zh-CN"/>
        </w:rPr>
        <w:t>0.2</w:t>
      </w:r>
      <w:r>
        <w:rPr>
          <w:rFonts w:hint="default" w:ascii="Times New Roman" w:hAnsi="Times New Roman" w:cs="Times New Roman"/>
          <w:sz w:val="24"/>
          <w:szCs w:val="24"/>
          <w:u w:val="single"/>
        </w:rPr>
        <w:t>kg/</w:t>
      </w:r>
      <w:r>
        <w:rPr>
          <w:rFonts w:hint="eastAsia" w:ascii="Times New Roman" w:hAnsi="Times New Roman" w:eastAsia="宋体" w:cs="Times New Roman"/>
          <w:sz w:val="24"/>
          <w:szCs w:val="24"/>
          <w:u w:val="single"/>
          <w:lang w:eastAsia="zh-CN"/>
        </w:rPr>
        <w:t>只</w:t>
      </w:r>
      <w:r>
        <w:rPr>
          <w:rFonts w:hint="eastAsia" w:ascii="Times New Roman" w:hAnsi="Times New Roman" w:eastAsia="宋体" w:cs="Times New Roman"/>
          <w:sz w:val="24"/>
          <w:szCs w:val="24"/>
          <w:u w:val="single"/>
          <w:lang w:val="en-US" w:eastAsia="zh-CN"/>
        </w:rPr>
        <w:t>羊</w:t>
      </w:r>
      <w:r>
        <w:rPr>
          <w:rFonts w:hint="default" w:ascii="Times New Roman" w:hAnsi="Times New Roman" w:cs="Times New Roman"/>
          <w:sz w:val="24"/>
          <w:szCs w:val="24"/>
          <w:u w:val="single"/>
        </w:rPr>
        <w:t>计算，则项目</w:t>
      </w:r>
      <w:r>
        <w:rPr>
          <w:rFonts w:hint="eastAsia" w:ascii="Times New Roman" w:hAnsi="Times New Roman" w:eastAsia="宋体" w:cs="Times New Roman"/>
          <w:sz w:val="24"/>
          <w:szCs w:val="24"/>
          <w:u w:val="single"/>
          <w:lang w:val="en-US" w:eastAsia="zh-CN"/>
        </w:rPr>
        <w:t>产生</w:t>
      </w:r>
      <w:r>
        <w:rPr>
          <w:rFonts w:hint="default" w:ascii="Times New Roman" w:hAnsi="Times New Roman" w:cs="Times New Roman"/>
          <w:sz w:val="24"/>
          <w:szCs w:val="24"/>
          <w:u w:val="single"/>
        </w:rPr>
        <w:t>牛粪</w:t>
      </w:r>
      <w:r>
        <w:rPr>
          <w:rFonts w:hint="eastAsia" w:ascii="Times New Roman" w:hAnsi="Times New Roman" w:eastAsia="宋体" w:cs="Times New Roman"/>
          <w:sz w:val="24"/>
          <w:szCs w:val="24"/>
          <w:u w:val="single"/>
          <w:lang w:val="en-US" w:eastAsia="zh-CN"/>
        </w:rPr>
        <w:t>0.35</w:t>
      </w:r>
      <w:r>
        <w:rPr>
          <w:rFonts w:hint="default" w:ascii="Times New Roman" w:hAnsi="Times New Roman" w:cs="Times New Roman"/>
          <w:sz w:val="24"/>
          <w:szCs w:val="24"/>
          <w:u w:val="single"/>
        </w:rPr>
        <w:t>t/d</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112</w:t>
      </w:r>
      <w:r>
        <w:rPr>
          <w:rFonts w:hint="default" w:ascii="Times New Roman" w:hAnsi="Times New Roman" w:cs="Times New Roman"/>
          <w:sz w:val="24"/>
          <w:szCs w:val="24"/>
          <w:u w:val="single"/>
        </w:rPr>
        <w:t>t/a</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羊粪0.</w:t>
      </w:r>
      <w:r>
        <w:rPr>
          <w:rFonts w:hint="eastAsia" w:ascii="Times New Roman" w:hAnsi="Times New Roman" w:eastAsia="宋体" w:cs="Times New Roman"/>
          <w:sz w:val="24"/>
          <w:szCs w:val="24"/>
          <w:u w:val="single"/>
          <w:lang w:val="en-US" w:eastAsia="zh-CN"/>
        </w:rPr>
        <w:t>19</w:t>
      </w:r>
      <w:r>
        <w:rPr>
          <w:rFonts w:hint="default" w:ascii="Times New Roman" w:hAnsi="Times New Roman" w:cs="Times New Roman"/>
          <w:sz w:val="24"/>
          <w:szCs w:val="24"/>
          <w:u w:val="single"/>
        </w:rPr>
        <w:t>t/d</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60.8</w:t>
      </w:r>
      <w:r>
        <w:rPr>
          <w:rFonts w:hint="default" w:ascii="Times New Roman" w:hAnsi="Times New Roman" w:cs="Times New Roman"/>
          <w:sz w:val="24"/>
          <w:szCs w:val="24"/>
          <w:u w:val="single"/>
        </w:rPr>
        <w:t>t/a，共产生牛羊粪</w:t>
      </w:r>
      <w:r>
        <w:rPr>
          <w:rFonts w:hint="eastAsia" w:ascii="Times New Roman" w:hAnsi="Times New Roman" w:eastAsia="宋体" w:cs="Times New Roman"/>
          <w:sz w:val="24"/>
          <w:szCs w:val="24"/>
          <w:u w:val="single"/>
          <w:lang w:val="en-US" w:eastAsia="zh-CN"/>
        </w:rPr>
        <w:t>172.8</w:t>
      </w:r>
      <w:r>
        <w:rPr>
          <w:rFonts w:hint="default" w:ascii="Times New Roman" w:hAnsi="Times New Roman" w:cs="Times New Roman"/>
          <w:sz w:val="24"/>
          <w:szCs w:val="24"/>
          <w:u w:val="single"/>
        </w:rPr>
        <w:t>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本项目采用干法清粪，做到日产日清，不在待宰区内大量积存，当日使用密闭运输车拉走外售用于肥田进行综合利用。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rPr>
        <w:t>②病死</w:t>
      </w:r>
      <w:r>
        <w:rPr>
          <w:rFonts w:hint="eastAsia" w:ascii="Times New Roman" w:hAnsi="Times New Roman" w:eastAsia="宋体" w:cs="Times New Roman"/>
          <w:sz w:val="24"/>
          <w:szCs w:val="24"/>
          <w:u w:val="single"/>
          <w:lang w:eastAsia="zh-CN"/>
        </w:rPr>
        <w:t>牛羊</w:t>
      </w:r>
      <w:r>
        <w:rPr>
          <w:rFonts w:hint="default" w:ascii="Times New Roman" w:hAnsi="Times New Roman" w:cs="Times New Roman"/>
          <w:sz w:val="24"/>
          <w:szCs w:val="24"/>
          <w:u w:val="single"/>
        </w:rPr>
        <w:t>及不合格肉品</w:t>
      </w:r>
      <w:r>
        <w:rPr>
          <w:rFonts w:hint="eastAsia" w:ascii="Times New Roman" w:hAnsi="Times New Roman" w:eastAsia="宋体" w:cs="Times New Roman"/>
          <w:sz w:val="24"/>
          <w:szCs w:val="24"/>
          <w:u w:val="single"/>
          <w:lang w:eastAsia="zh-CN"/>
        </w:rPr>
        <w:t>（含牛羊三腺）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val="en-US" w:eastAsia="zh-CN"/>
        </w:rPr>
        <w:t>参考《大连正牧食品有限公司肉羊、肉牛屠宰项目环境影响报告书》（2021年12月1日批复）中的数据，病死牛羊产生量为屠宰量的0.1</w:t>
      </w:r>
      <w:r>
        <w:rPr>
          <w:rFonts w:hint="default" w:ascii="Times New Roman" w:hAnsi="Times New Roman" w:eastAsia="宋体" w:cs="Times New Roman"/>
          <w:sz w:val="24"/>
          <w:szCs w:val="24"/>
          <w:u w:val="single"/>
          <w:lang w:val="en-US" w:eastAsia="zh-CN"/>
        </w:rPr>
        <w:t>‰</w:t>
      </w:r>
      <w:r>
        <w:rPr>
          <w:rFonts w:hint="eastAsia" w:ascii="Times New Roman" w:hAnsi="Times New Roman" w:eastAsia="宋体" w:cs="Times New Roman"/>
          <w:sz w:val="24"/>
          <w:szCs w:val="24"/>
          <w:u w:val="single"/>
          <w:lang w:val="en-US" w:eastAsia="zh-CN"/>
        </w:rPr>
        <w:t>，</w:t>
      </w:r>
      <w:r>
        <w:rPr>
          <w:rFonts w:hint="default" w:ascii="Times New Roman" w:hAnsi="Times New Roman" w:cs="Times New Roman"/>
          <w:sz w:val="24"/>
          <w:szCs w:val="24"/>
          <w:u w:val="single"/>
        </w:rPr>
        <w:t>同步卫检过程产生的不合格肉制品</w:t>
      </w:r>
      <w:r>
        <w:rPr>
          <w:rFonts w:hint="eastAsia" w:ascii="Times New Roman" w:hAnsi="Times New Roman" w:eastAsia="宋体" w:cs="Times New Roman"/>
          <w:sz w:val="24"/>
          <w:szCs w:val="24"/>
          <w:u w:val="single"/>
          <w:lang w:eastAsia="zh-CN"/>
        </w:rPr>
        <w:t>（含牛羊三腺）</w:t>
      </w:r>
      <w:r>
        <w:rPr>
          <w:rFonts w:hint="eastAsia" w:ascii="Times New Roman" w:hAnsi="Times New Roman" w:eastAsia="宋体" w:cs="Times New Roman"/>
          <w:sz w:val="24"/>
          <w:szCs w:val="24"/>
          <w:u w:val="single"/>
          <w:lang w:val="en-US" w:eastAsia="zh-CN"/>
        </w:rPr>
        <w:t>为1kg/头牛和0.1kg/只羊，</w:t>
      </w:r>
      <w:r>
        <w:rPr>
          <w:rFonts w:hint="default" w:ascii="Times New Roman" w:hAnsi="Times New Roman" w:cs="Times New Roman"/>
          <w:sz w:val="24"/>
          <w:szCs w:val="24"/>
          <w:u w:val="single"/>
        </w:rPr>
        <w:t>本项目年</w:t>
      </w:r>
      <w:r>
        <w:rPr>
          <w:rFonts w:hint="eastAsia" w:ascii="Times New Roman" w:hAnsi="Times New Roman" w:eastAsia="宋体" w:cs="Times New Roman"/>
          <w:sz w:val="24"/>
          <w:szCs w:val="24"/>
          <w:u w:val="single"/>
          <w:lang w:eastAsia="zh-CN"/>
        </w:rPr>
        <w:t>屠宰牛</w:t>
      </w:r>
      <w:r>
        <w:rPr>
          <w:rFonts w:hint="eastAsia" w:ascii="Times New Roman" w:hAnsi="Times New Roman" w:eastAsia="宋体" w:cs="Times New Roman"/>
          <w:sz w:val="24"/>
          <w:szCs w:val="24"/>
          <w:u w:val="single"/>
          <w:lang w:val="en-US" w:eastAsia="zh-CN"/>
        </w:rPr>
        <w:t>10000头，羊15万只</w:t>
      </w:r>
      <w:r>
        <w:rPr>
          <w:rFonts w:hint="eastAsia" w:ascii="Times New Roman" w:hAnsi="Times New Roman" w:eastAsia="宋体" w:cs="Times New Roman"/>
          <w:sz w:val="24"/>
          <w:szCs w:val="24"/>
          <w:u w:val="single"/>
          <w:lang w:eastAsia="zh-CN"/>
        </w:rPr>
        <w:t>，则病死牛为</w:t>
      </w:r>
      <w:r>
        <w:rPr>
          <w:rFonts w:hint="eastAsia" w:ascii="Times New Roman" w:hAnsi="Times New Roman" w:eastAsia="宋体" w:cs="Times New Roman"/>
          <w:sz w:val="24"/>
          <w:szCs w:val="24"/>
          <w:u w:val="single"/>
          <w:lang w:val="en-US" w:eastAsia="zh-CN"/>
        </w:rPr>
        <w:t>1头/a，</w:t>
      </w:r>
      <w:r>
        <w:rPr>
          <w:rFonts w:hint="default" w:ascii="Times New Roman" w:hAnsi="Times New Roman" w:cs="Times New Roman"/>
          <w:sz w:val="24"/>
          <w:szCs w:val="24"/>
          <w:u w:val="single"/>
        </w:rPr>
        <w:t>病死羊为1</w:t>
      </w:r>
      <w:r>
        <w:rPr>
          <w:rFonts w:hint="eastAsia" w:ascii="Times New Roman" w:hAnsi="Times New Roman" w:eastAsia="宋体" w:cs="Times New Roman"/>
          <w:sz w:val="24"/>
          <w:szCs w:val="24"/>
          <w:u w:val="single"/>
          <w:lang w:val="en-US" w:eastAsia="zh-CN"/>
        </w:rPr>
        <w:t>5</w:t>
      </w:r>
      <w:r>
        <w:rPr>
          <w:rFonts w:hint="default" w:ascii="Times New Roman" w:hAnsi="Times New Roman" w:cs="Times New Roman"/>
          <w:sz w:val="24"/>
          <w:szCs w:val="24"/>
          <w:u w:val="single"/>
        </w:rPr>
        <w:t>只</w:t>
      </w:r>
      <w:r>
        <w:rPr>
          <w:rFonts w:hint="eastAsia" w:ascii="Times New Roman" w:hAnsi="Times New Roman" w:eastAsia="宋体" w:cs="Times New Roman"/>
          <w:sz w:val="24"/>
          <w:szCs w:val="24"/>
          <w:u w:val="single"/>
          <w:lang w:val="en-US" w:eastAsia="zh-CN"/>
        </w:rPr>
        <w:t>/a</w:t>
      </w:r>
      <w:r>
        <w:rPr>
          <w:rFonts w:hint="eastAsia" w:ascii="Times New Roman" w:hAnsi="Times New Roman" w:cs="Times New Roman"/>
          <w:sz w:val="24"/>
          <w:szCs w:val="24"/>
          <w:u w:val="single"/>
          <w:lang w:val="en-US" w:eastAsia="zh-CN"/>
        </w:rPr>
        <w:t>，病死</w:t>
      </w:r>
      <w:r>
        <w:rPr>
          <w:rFonts w:hint="eastAsia" w:ascii="Times New Roman" w:hAnsi="Times New Roman" w:eastAsia="宋体" w:cs="Times New Roman"/>
          <w:sz w:val="24"/>
          <w:szCs w:val="24"/>
          <w:u w:val="single"/>
          <w:lang w:eastAsia="zh-CN"/>
        </w:rPr>
        <w:t>牛羊</w:t>
      </w:r>
      <w:r>
        <w:rPr>
          <w:rFonts w:hint="default" w:ascii="Times New Roman" w:hAnsi="Times New Roman" w:cs="Times New Roman"/>
          <w:sz w:val="24"/>
          <w:szCs w:val="24"/>
          <w:u w:val="single"/>
        </w:rPr>
        <w:t>为</w:t>
      </w:r>
      <w:r>
        <w:rPr>
          <w:rFonts w:hint="eastAsia" w:ascii="Times New Roman" w:hAnsi="Times New Roman" w:eastAsia="宋体" w:cs="Times New Roman"/>
          <w:sz w:val="24"/>
          <w:szCs w:val="24"/>
          <w:u w:val="single"/>
          <w:lang w:val="en-US" w:eastAsia="zh-CN"/>
        </w:rPr>
        <w:t>1.25</w:t>
      </w:r>
      <w:r>
        <w:rPr>
          <w:rFonts w:hint="default" w:ascii="Times New Roman" w:hAnsi="Times New Roman" w:cs="Times New Roman"/>
          <w:sz w:val="24"/>
          <w:szCs w:val="24"/>
          <w:u w:val="single"/>
        </w:rPr>
        <w:t>t/a</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lang w:val="en-US" w:eastAsia="zh-CN"/>
        </w:rPr>
        <w:t>平均肉牛500kg</w:t>
      </w:r>
      <w:r>
        <w:rPr>
          <w:rFonts w:hint="eastAsia" w:ascii="Times New Roman" w:hAnsi="Times New Roman" w:cs="Times New Roman"/>
          <w:sz w:val="24"/>
          <w:szCs w:val="24"/>
          <w:u w:val="single"/>
          <w:lang w:val="en-US" w:eastAsia="zh-CN"/>
        </w:rPr>
        <w:t>/头，肉羊50kg/只</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；不合格肉制品</w:t>
      </w:r>
      <w:r>
        <w:rPr>
          <w:rFonts w:hint="eastAsia" w:ascii="Times New Roman" w:hAnsi="Times New Roman" w:eastAsia="宋体" w:cs="Times New Roman"/>
          <w:sz w:val="24"/>
          <w:szCs w:val="24"/>
          <w:u w:val="single"/>
          <w:lang w:eastAsia="zh-CN"/>
        </w:rPr>
        <w:t>（含牛羊三腺）</w:t>
      </w:r>
      <w:r>
        <w:rPr>
          <w:rFonts w:hint="default" w:ascii="Times New Roman" w:hAnsi="Times New Roman" w:cs="Times New Roman"/>
          <w:sz w:val="24"/>
          <w:szCs w:val="24"/>
          <w:u w:val="single"/>
        </w:rPr>
        <w:t>为</w:t>
      </w:r>
      <w:r>
        <w:rPr>
          <w:rFonts w:hint="eastAsia" w:ascii="Times New Roman" w:hAnsi="Times New Roman" w:eastAsia="宋体" w:cs="Times New Roman"/>
          <w:sz w:val="24"/>
          <w:szCs w:val="24"/>
          <w:u w:val="single"/>
          <w:lang w:val="en-US" w:eastAsia="zh-CN"/>
        </w:rPr>
        <w:t>25</w:t>
      </w:r>
      <w:r>
        <w:rPr>
          <w:rFonts w:hint="default" w:ascii="Times New Roman" w:hAnsi="Times New Roman" w:cs="Times New Roman"/>
          <w:sz w:val="24"/>
          <w:szCs w:val="24"/>
          <w:u w:val="single"/>
        </w:rPr>
        <w:t>t/a</w:t>
      </w:r>
      <w:r>
        <w:rPr>
          <w:rFonts w:hint="eastAsia" w:ascii="Times New Roman" w:hAnsi="Times New Roman" w:eastAsia="宋体" w:cs="Times New Roman"/>
          <w:sz w:val="24"/>
          <w:szCs w:val="24"/>
          <w:u w:val="singl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eastAsia="zh-CN"/>
        </w:rPr>
        <w:t>根据《关于病害动物无害化处理有关意见的复函》（环保部办公厅环办函[2014]789 号，2014.6.26）中规定病害动物的无害化处理应执行《中华人民共和国动物防疫法》和农村部门规定的《病死及病害动物无害化处理技术规范》（农医发[2017]25号2017年7月3日）要求</w:t>
      </w:r>
      <w:r>
        <w:rPr>
          <w:rFonts w:hint="eastAsia" w:ascii="Times New Roman" w:hAnsi="Times New Roman" w:eastAsia="宋体" w:cs="Times New Roman"/>
          <w:sz w:val="24"/>
          <w:szCs w:val="24"/>
          <w:u w:val="single"/>
          <w:lang w:val="en-US" w:eastAsia="zh-CN"/>
        </w:rPr>
        <w:t>进行无害化处理和处置。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val="en-US" w:eastAsia="zh-CN"/>
        </w:rPr>
        <w:t>本项目</w:t>
      </w:r>
      <w:r>
        <w:rPr>
          <w:rFonts w:hint="default" w:ascii="Times New Roman" w:hAnsi="Times New Roman" w:cs="Times New Roman"/>
          <w:sz w:val="24"/>
          <w:szCs w:val="24"/>
          <w:u w:val="single"/>
        </w:rPr>
        <w:t>病死</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羊和不合格肉品</w:t>
      </w:r>
      <w:r>
        <w:rPr>
          <w:rFonts w:hint="default" w:ascii="Times New Roman" w:hAnsi="Times New Roman" w:cs="Times New Roman"/>
          <w:sz w:val="24"/>
          <w:szCs w:val="24"/>
          <w:u w:val="single"/>
          <w:lang w:eastAsia="zh-CN"/>
        </w:rPr>
        <w:t>（含牛羊三腺）</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经厂区冷冻暂存后，</w:t>
      </w:r>
      <w:r>
        <w:rPr>
          <w:rFonts w:hint="default" w:ascii="Times New Roman" w:hAnsi="Times New Roman" w:cs="Times New Roman"/>
          <w:sz w:val="24"/>
          <w:szCs w:val="24"/>
          <w:u w:val="single"/>
        </w:rPr>
        <w:t>送往叶县益康动物无害化处理有限公司进行处置。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③肠胃内容物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牛</w:t>
      </w:r>
      <w:r>
        <w:rPr>
          <w:rFonts w:hint="default" w:ascii="Times New Roman" w:hAnsi="Times New Roman" w:cs="Times New Roman"/>
          <w:sz w:val="24"/>
          <w:szCs w:val="24"/>
          <w:u w:val="single"/>
        </w:rPr>
        <w:t>羊属于反刍类动物，</w:t>
      </w:r>
      <w:r>
        <w:rPr>
          <w:rFonts w:hint="eastAsia" w:ascii="Times New Roman" w:hAnsi="Times New Roman" w:eastAsia="宋体" w:cs="Times New Roman"/>
          <w:sz w:val="24"/>
          <w:szCs w:val="24"/>
          <w:u w:val="single"/>
          <w:lang w:val="en-US" w:eastAsia="zh-CN"/>
        </w:rPr>
        <w:t>参考《大连正牧食品有限公司肉羊、肉牛屠宰项目环境影响报告书》（2021年12月1日批复）中的源强</w:t>
      </w:r>
      <w:r>
        <w:rPr>
          <w:rFonts w:hint="default" w:ascii="Times New Roman" w:hAnsi="Times New Roman" w:cs="Times New Roman"/>
          <w:sz w:val="24"/>
          <w:szCs w:val="24"/>
          <w:u w:val="single"/>
        </w:rPr>
        <w:t>，肠胃内容物重量为</w:t>
      </w:r>
      <w:r>
        <w:rPr>
          <w:rFonts w:hint="eastAsia" w:ascii="Times New Roman" w:hAnsi="Times New Roman" w:eastAsia="宋体" w:cs="Times New Roman"/>
          <w:sz w:val="24"/>
          <w:szCs w:val="24"/>
          <w:u w:val="single"/>
          <w:lang w:val="en-US" w:eastAsia="zh-CN"/>
        </w:rPr>
        <w:t>10</w:t>
      </w:r>
      <w:r>
        <w:rPr>
          <w:rFonts w:hint="default" w:ascii="Times New Roman" w:hAnsi="Times New Roman" w:cs="Times New Roman"/>
          <w:sz w:val="24"/>
          <w:szCs w:val="24"/>
          <w:u w:val="single"/>
        </w:rPr>
        <w:t>kg/</w:t>
      </w:r>
      <w:r>
        <w:rPr>
          <w:rFonts w:hint="eastAsia" w:ascii="Times New Roman" w:hAnsi="Times New Roman" w:eastAsia="宋体" w:cs="Times New Roman"/>
          <w:sz w:val="24"/>
          <w:szCs w:val="24"/>
          <w:u w:val="single"/>
          <w:lang w:eastAsia="zh-CN"/>
        </w:rPr>
        <w:t>头牛</w:t>
      </w:r>
      <w:r>
        <w:rPr>
          <w:rFonts w:hint="eastAsia" w:ascii="Times New Roman" w:hAnsi="Times New Roman" w:eastAsia="宋体" w:cs="Times New Roman"/>
          <w:sz w:val="24"/>
          <w:szCs w:val="24"/>
          <w:u w:val="single"/>
          <w:lang w:val="en-US" w:eastAsia="zh-CN"/>
        </w:rPr>
        <w:t>，1.5</w:t>
      </w:r>
      <w:r>
        <w:rPr>
          <w:rFonts w:hint="default" w:ascii="Times New Roman" w:hAnsi="Times New Roman" w:cs="Times New Roman"/>
          <w:sz w:val="24"/>
          <w:szCs w:val="24"/>
          <w:u w:val="single"/>
        </w:rPr>
        <w:t>kg/只羊。</w:t>
      </w:r>
      <w:r>
        <w:rPr>
          <w:rFonts w:hint="eastAsia" w:ascii="Times New Roman" w:hAnsi="Times New Roman" w:eastAsia="宋体" w:cs="Times New Roman"/>
          <w:sz w:val="24"/>
          <w:szCs w:val="24"/>
          <w:u w:val="single"/>
          <w:lang w:val="en-US" w:eastAsia="zh-CN"/>
        </w:rPr>
        <w:t>本项目年屠宰肉牛10000头，肉羊150000只，</w:t>
      </w:r>
      <w:r>
        <w:rPr>
          <w:rFonts w:hint="default" w:ascii="Times New Roman" w:hAnsi="Times New Roman" w:cs="Times New Roman"/>
          <w:sz w:val="24"/>
          <w:szCs w:val="24"/>
          <w:u w:val="single"/>
        </w:rPr>
        <w:t>因此，屠宰车间产生的</w:t>
      </w:r>
      <w:r>
        <w:rPr>
          <w:rFonts w:hint="eastAsia" w:ascii="Times New Roman" w:hAnsi="Times New Roman" w:eastAsia="宋体" w:cs="Times New Roman"/>
          <w:sz w:val="24"/>
          <w:szCs w:val="24"/>
          <w:u w:val="single"/>
          <w:lang w:eastAsia="zh-CN"/>
        </w:rPr>
        <w:t>牛</w:t>
      </w:r>
      <w:r>
        <w:rPr>
          <w:rFonts w:hint="default" w:ascii="Times New Roman" w:hAnsi="Times New Roman" w:cs="Times New Roman"/>
          <w:sz w:val="24"/>
          <w:szCs w:val="24"/>
          <w:u w:val="single"/>
        </w:rPr>
        <w:t>肠胃内容物量为</w:t>
      </w:r>
      <w:r>
        <w:rPr>
          <w:rFonts w:hint="eastAsia" w:ascii="Times New Roman" w:hAnsi="Times New Roman" w:eastAsia="宋体" w:cs="Times New Roman"/>
          <w:sz w:val="24"/>
          <w:szCs w:val="24"/>
          <w:u w:val="single"/>
          <w:lang w:val="en-US" w:eastAsia="zh-CN"/>
        </w:rPr>
        <w:t>10</w:t>
      </w:r>
      <w:r>
        <w:rPr>
          <w:rFonts w:hint="default" w:ascii="Times New Roman" w:hAnsi="Times New Roman" w:cs="Times New Roman"/>
          <w:sz w:val="24"/>
          <w:szCs w:val="24"/>
          <w:u w:val="single"/>
        </w:rPr>
        <w:t>0t/a</w:t>
      </w:r>
      <w:r>
        <w:rPr>
          <w:rFonts w:hint="eastAsia" w:ascii="Times New Roman" w:hAnsi="Times New Roman" w:eastAsia="宋体" w:cs="Times New Roman"/>
          <w:sz w:val="24"/>
          <w:szCs w:val="24"/>
          <w:u w:val="single"/>
          <w:lang w:eastAsia="zh-CN"/>
        </w:rPr>
        <w:t>，羊</w:t>
      </w:r>
      <w:r>
        <w:rPr>
          <w:rFonts w:hint="default" w:ascii="Times New Roman" w:hAnsi="Times New Roman" w:cs="Times New Roman"/>
          <w:sz w:val="24"/>
          <w:szCs w:val="24"/>
          <w:u w:val="single"/>
        </w:rPr>
        <w:t>肠胃内容物量为</w:t>
      </w:r>
      <w:r>
        <w:rPr>
          <w:rFonts w:hint="eastAsia" w:ascii="Times New Roman" w:hAnsi="Times New Roman" w:eastAsia="宋体" w:cs="Times New Roman"/>
          <w:sz w:val="24"/>
          <w:szCs w:val="24"/>
          <w:u w:val="single"/>
          <w:lang w:val="en-US" w:eastAsia="zh-CN"/>
        </w:rPr>
        <w:t>225</w:t>
      </w:r>
      <w:r>
        <w:rPr>
          <w:rFonts w:hint="default" w:ascii="Times New Roman" w:hAnsi="Times New Roman" w:cs="Times New Roman"/>
          <w:sz w:val="24"/>
          <w:szCs w:val="24"/>
          <w:u w:val="single"/>
        </w:rPr>
        <w:t>t/a，</w:t>
      </w:r>
      <w:r>
        <w:rPr>
          <w:rFonts w:hint="eastAsia" w:ascii="Times New Roman" w:hAnsi="Times New Roman" w:eastAsia="宋体" w:cs="Times New Roman"/>
          <w:sz w:val="24"/>
          <w:szCs w:val="24"/>
          <w:u w:val="single"/>
          <w:lang w:eastAsia="zh-CN"/>
        </w:rPr>
        <w:t>共</w:t>
      </w:r>
      <w:r>
        <w:rPr>
          <w:rFonts w:hint="eastAsia" w:ascii="Times New Roman" w:hAnsi="Times New Roman" w:eastAsia="宋体" w:cs="Times New Roman"/>
          <w:sz w:val="24"/>
          <w:szCs w:val="24"/>
          <w:u w:val="single"/>
          <w:lang w:val="en-US" w:eastAsia="zh-CN"/>
        </w:rPr>
        <w:t>325</w:t>
      </w:r>
      <w:r>
        <w:rPr>
          <w:rFonts w:hint="default" w:ascii="Times New Roman" w:hAnsi="Times New Roman" w:cs="Times New Roman"/>
          <w:sz w:val="24"/>
          <w:szCs w:val="24"/>
          <w:u w:val="single"/>
        </w:rPr>
        <w:t>t/a</w:t>
      </w:r>
      <w:r>
        <w:rPr>
          <w:rFonts w:hint="eastAsia" w:ascii="Times New Roman" w:hAnsi="Times New Roman" w:eastAsia="宋体" w:cs="Times New Roman"/>
          <w:sz w:val="24"/>
          <w:szCs w:val="24"/>
          <w:u w:val="single"/>
          <w:lang w:val="en-US" w:eastAsia="zh-CN"/>
        </w:rPr>
        <w:t>。</w:t>
      </w:r>
      <w:r>
        <w:rPr>
          <w:rFonts w:hint="default" w:ascii="Times New Roman" w:hAnsi="Times New Roman" w:cs="Times New Roman"/>
          <w:sz w:val="24"/>
          <w:szCs w:val="24"/>
          <w:u w:val="single"/>
        </w:rPr>
        <w:t>当日使用密闭运输车拉走外售用于肥田进行综合利用，做到日产日清，不在厂区长期堆存。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④污水处理站污泥</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根据《屠宰与肉类加工废水治理工程技术规范》（HJ2004-2010）中，污泥产生量一般按0.3~0.5kg/kg（DS/BOD</w:t>
      </w:r>
      <w:r>
        <w:rPr>
          <w:rFonts w:hint="default" w:ascii="Times New Roman" w:hAnsi="Times New Roman" w:cs="Times New Roman"/>
          <w:sz w:val="24"/>
          <w:szCs w:val="24"/>
          <w:u w:val="single"/>
          <w:vertAlign w:val="subscript"/>
          <w:lang w:val="en-US" w:eastAsia="zh-CN"/>
        </w:rPr>
        <w:t>5</w:t>
      </w:r>
      <w:r>
        <w:rPr>
          <w:rFonts w:hint="default" w:ascii="Times New Roman" w:hAnsi="Times New Roman" w:cs="Times New Roman"/>
          <w:sz w:val="24"/>
          <w:szCs w:val="24"/>
          <w:u w:val="single"/>
          <w:lang w:val="en-US" w:eastAsia="zh-CN"/>
        </w:rPr>
        <w:t>）核算，污泥含水率99.3%~99.4%。本次评价污泥产生量按</w:t>
      </w:r>
      <w:r>
        <w:rPr>
          <w:rFonts w:hint="eastAsia" w:ascii="Times New Roman" w:hAnsi="Times New Roman" w:cs="Times New Roman"/>
          <w:sz w:val="24"/>
          <w:szCs w:val="24"/>
          <w:u w:val="single"/>
          <w:lang w:val="en-US" w:eastAsia="zh-CN"/>
        </w:rPr>
        <w:t>0.4</w:t>
      </w:r>
      <w:r>
        <w:rPr>
          <w:rFonts w:hint="default" w:ascii="Times New Roman" w:hAnsi="Times New Roman" w:cs="Times New Roman"/>
          <w:sz w:val="24"/>
          <w:szCs w:val="24"/>
          <w:u w:val="single"/>
          <w:lang w:val="en-US" w:eastAsia="zh-CN"/>
        </w:rPr>
        <w:t>kg/kg（DS/BOD</w:t>
      </w:r>
      <w:r>
        <w:rPr>
          <w:rFonts w:hint="default" w:ascii="Times New Roman" w:hAnsi="Times New Roman" w:cs="Times New Roman"/>
          <w:sz w:val="24"/>
          <w:szCs w:val="24"/>
          <w:u w:val="single"/>
          <w:vertAlign w:val="subscript"/>
          <w:lang w:val="en-US" w:eastAsia="zh-CN"/>
        </w:rPr>
        <w:t>5</w:t>
      </w:r>
      <w:r>
        <w:rPr>
          <w:rFonts w:hint="default" w:ascii="Times New Roman" w:hAnsi="Times New Roman" w:cs="Times New Roman"/>
          <w:sz w:val="24"/>
          <w:szCs w:val="24"/>
          <w:u w:val="single"/>
          <w:lang w:val="en-US" w:eastAsia="zh-CN"/>
        </w:rPr>
        <w:t>）进行核算，本项目污水处理</w:t>
      </w:r>
      <w:r>
        <w:rPr>
          <w:rFonts w:hint="eastAsia" w:ascii="Times New Roman" w:hAnsi="Times New Roman" w:cs="Times New Roman"/>
          <w:sz w:val="24"/>
          <w:szCs w:val="24"/>
          <w:u w:val="single"/>
          <w:lang w:val="en-US" w:eastAsia="zh-CN"/>
        </w:rPr>
        <w:t>站</w:t>
      </w:r>
      <w:r>
        <w:rPr>
          <w:rFonts w:hint="default" w:ascii="Times New Roman" w:hAnsi="Times New Roman" w:cs="Times New Roman"/>
          <w:sz w:val="24"/>
          <w:szCs w:val="24"/>
          <w:u w:val="single"/>
          <w:lang w:val="en-US" w:eastAsia="zh-CN"/>
        </w:rPr>
        <w:t>BOD</w:t>
      </w:r>
      <w:r>
        <w:rPr>
          <w:rFonts w:hint="default" w:ascii="Times New Roman" w:hAnsi="Times New Roman" w:cs="Times New Roman"/>
          <w:sz w:val="24"/>
          <w:szCs w:val="24"/>
          <w:u w:val="single"/>
          <w:vertAlign w:val="subscript"/>
          <w:lang w:val="en-US" w:eastAsia="zh-CN"/>
        </w:rPr>
        <w:t>5</w:t>
      </w:r>
      <w:r>
        <w:rPr>
          <w:rFonts w:hint="eastAsia" w:ascii="Times New Roman" w:hAnsi="Times New Roman" w:cs="Times New Roman"/>
          <w:sz w:val="24"/>
          <w:szCs w:val="24"/>
          <w:u w:val="single"/>
          <w:lang w:val="en-US" w:eastAsia="zh-CN"/>
        </w:rPr>
        <w:t>去除</w:t>
      </w:r>
      <w:r>
        <w:rPr>
          <w:rFonts w:hint="default" w:ascii="Times New Roman" w:hAnsi="Times New Roman" w:cs="Times New Roman"/>
          <w:sz w:val="24"/>
          <w:szCs w:val="24"/>
          <w:u w:val="single"/>
          <w:lang w:val="en-US" w:eastAsia="zh-CN"/>
        </w:rPr>
        <w:t>量为</w:t>
      </w:r>
      <w:r>
        <w:rPr>
          <w:rFonts w:hint="eastAsia" w:ascii="Times New Roman" w:hAnsi="Times New Roman" w:cs="Times New Roman"/>
          <w:sz w:val="24"/>
          <w:szCs w:val="24"/>
          <w:u w:val="single"/>
          <w:lang w:val="en-US" w:eastAsia="zh-CN"/>
        </w:rPr>
        <w:t>62.5</w:t>
      </w:r>
      <w:r>
        <w:rPr>
          <w:rFonts w:hint="default" w:ascii="Times New Roman" w:hAnsi="Times New Roman" w:cs="Times New Roman"/>
          <w:sz w:val="24"/>
          <w:szCs w:val="24"/>
          <w:u w:val="single"/>
          <w:lang w:val="en-US" w:eastAsia="zh-CN"/>
        </w:rPr>
        <w:t>t/a，污泥含水率</w:t>
      </w:r>
      <w:r>
        <w:rPr>
          <w:rFonts w:hint="eastAsia" w:ascii="Times New Roman" w:hAnsi="Times New Roman" w:cs="Times New Roman"/>
          <w:sz w:val="24"/>
          <w:szCs w:val="24"/>
          <w:u w:val="single"/>
          <w:lang w:val="en-US" w:eastAsia="zh-CN"/>
        </w:rPr>
        <w:t>按</w:t>
      </w:r>
      <w:r>
        <w:rPr>
          <w:rFonts w:hint="default" w:ascii="Times New Roman" w:hAnsi="Times New Roman" w:cs="Times New Roman"/>
          <w:sz w:val="24"/>
          <w:szCs w:val="24"/>
          <w:u w:val="single"/>
          <w:lang w:val="en-US" w:eastAsia="zh-CN"/>
        </w:rPr>
        <w:t>9</w:t>
      </w:r>
      <w:r>
        <w:rPr>
          <w:rFonts w:hint="eastAsia" w:ascii="Times New Roman" w:hAnsi="Times New Roman" w:cs="Times New Roman"/>
          <w:sz w:val="24"/>
          <w:szCs w:val="24"/>
          <w:u w:val="single"/>
          <w:lang w:val="en-US" w:eastAsia="zh-CN"/>
        </w:rPr>
        <w:t>9.4</w:t>
      </w:r>
      <w:r>
        <w:rPr>
          <w:rFonts w:hint="default" w:ascii="Times New Roman" w:hAnsi="Times New Roman" w:cs="Times New Roman"/>
          <w:sz w:val="24"/>
          <w:szCs w:val="24"/>
          <w:u w:val="single"/>
          <w:lang w:val="en-US" w:eastAsia="zh-CN"/>
        </w:rPr>
        <w:t>%，项目污泥产生量为</w:t>
      </w:r>
      <w:r>
        <w:rPr>
          <w:rFonts w:hint="eastAsia" w:ascii="Times New Roman" w:hAnsi="Times New Roman" w:cs="Times New Roman"/>
          <w:sz w:val="24"/>
          <w:szCs w:val="24"/>
          <w:u w:val="single"/>
          <w:lang w:val="en-US" w:eastAsia="zh-CN"/>
        </w:rPr>
        <w:t>13.02</w:t>
      </w:r>
      <w:r>
        <w:rPr>
          <w:rFonts w:hint="default" w:ascii="Times New Roman" w:hAnsi="Times New Roman" w:cs="Times New Roman"/>
          <w:sz w:val="24"/>
          <w:szCs w:val="24"/>
          <w:u w:val="single"/>
          <w:lang w:val="en-US" w:eastAsia="zh-CN"/>
        </w:rPr>
        <w:t>t/d</w:t>
      </w:r>
      <w:r>
        <w:rPr>
          <w:rFonts w:hint="eastAsia" w:ascii="Times New Roman" w:hAnsi="Times New Roman" w:cs="Times New Roman"/>
          <w:sz w:val="24"/>
          <w:szCs w:val="24"/>
          <w:u w:val="single"/>
          <w:lang w:val="en-US" w:eastAsia="zh-CN"/>
        </w:rPr>
        <w:t>，4166.7</w:t>
      </w:r>
      <w:r>
        <w:rPr>
          <w:rFonts w:hint="default" w:ascii="Times New Roman" w:hAnsi="Times New Roman" w:cs="Times New Roman"/>
          <w:sz w:val="24"/>
          <w:szCs w:val="24"/>
          <w:u w:val="single"/>
          <w:lang w:val="en-US" w:eastAsia="zh-CN"/>
        </w:rPr>
        <w:t>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val="en-US" w:eastAsia="zh-CN"/>
        </w:rPr>
        <w:t>污泥经污泥泵抽至污泥浓缩池，污泥进行机械压滤浓缩后，产生的污泥渗滤液收集引流至污水处理系统，生化污泥经机械压滤脱水，将含水率由9</w:t>
      </w:r>
      <w:r>
        <w:rPr>
          <w:rFonts w:hint="eastAsia" w:ascii="Times New Roman" w:hAnsi="Times New Roman" w:cs="Times New Roman"/>
          <w:sz w:val="24"/>
          <w:szCs w:val="24"/>
          <w:u w:val="single"/>
          <w:lang w:val="en-US" w:eastAsia="zh-CN"/>
        </w:rPr>
        <w:t>9.4</w:t>
      </w:r>
      <w:r>
        <w:rPr>
          <w:rFonts w:hint="default" w:ascii="Times New Roman" w:hAnsi="Times New Roman" w:cs="Times New Roman"/>
          <w:sz w:val="24"/>
          <w:szCs w:val="24"/>
          <w:u w:val="single"/>
          <w:lang w:val="en-US" w:eastAsia="zh-CN"/>
        </w:rPr>
        <w:t>%降低到80%左右，项目经压滤脱水后的泥饼产生量为0.</w:t>
      </w:r>
      <w:r>
        <w:rPr>
          <w:rFonts w:hint="eastAsia" w:ascii="Times New Roman" w:hAnsi="Times New Roman" w:cs="Times New Roman"/>
          <w:sz w:val="24"/>
          <w:szCs w:val="24"/>
          <w:u w:val="single"/>
          <w:lang w:val="en-US" w:eastAsia="zh-CN"/>
        </w:rPr>
        <w:t>39</w:t>
      </w:r>
      <w:r>
        <w:rPr>
          <w:rFonts w:hint="default" w:ascii="Times New Roman" w:hAnsi="Times New Roman" w:cs="Times New Roman"/>
          <w:sz w:val="24"/>
          <w:szCs w:val="24"/>
          <w:u w:val="single"/>
          <w:lang w:val="en-US" w:eastAsia="zh-CN"/>
        </w:rPr>
        <w:t>t/d（</w:t>
      </w:r>
      <w:r>
        <w:rPr>
          <w:rFonts w:hint="eastAsia" w:ascii="Times New Roman" w:hAnsi="Times New Roman" w:cs="Times New Roman"/>
          <w:sz w:val="24"/>
          <w:szCs w:val="24"/>
          <w:u w:val="single"/>
          <w:lang w:val="en-US" w:eastAsia="zh-CN"/>
        </w:rPr>
        <w:t>125</w:t>
      </w:r>
      <w:r>
        <w:rPr>
          <w:rFonts w:hint="default" w:ascii="Times New Roman" w:hAnsi="Times New Roman" w:cs="Times New Roman"/>
          <w:sz w:val="24"/>
          <w:szCs w:val="24"/>
          <w:u w:val="single"/>
          <w:lang w:val="en-US" w:eastAsia="zh-CN"/>
        </w:rPr>
        <w:t>t/a）。污泥经脱水后制成泥饼临时存放在污泥脱水间</w:t>
      </w:r>
      <w:r>
        <w:rPr>
          <w:rFonts w:hint="eastAsia" w:ascii="Times New Roman" w:hAnsi="Times New Roman" w:cs="Times New Roman"/>
          <w:sz w:val="24"/>
          <w:szCs w:val="24"/>
          <w:u w:val="single"/>
          <w:lang w:val="en-US" w:eastAsia="zh-CN"/>
        </w:rPr>
        <w:t>，定期</w:t>
      </w:r>
      <w:r>
        <w:rPr>
          <w:rFonts w:hint="default" w:ascii="Times New Roman" w:hAnsi="Times New Roman" w:cs="Times New Roman"/>
          <w:sz w:val="24"/>
          <w:szCs w:val="24"/>
          <w:u w:val="single"/>
          <w:lang w:val="en-US" w:eastAsia="zh-CN"/>
        </w:rPr>
        <w:t>外售给有机肥厂</w:t>
      </w:r>
      <w:r>
        <w:rPr>
          <w:rFonts w:hint="eastAsia" w:ascii="Times New Roman" w:hAnsi="Times New Roman" w:cs="Times New Roman"/>
          <w:sz w:val="24"/>
          <w:szCs w:val="24"/>
          <w:u w:val="single"/>
          <w:lang w:val="en-US" w:eastAsia="zh-CN"/>
        </w:rPr>
        <w:t>，</w:t>
      </w:r>
      <w:r>
        <w:rPr>
          <w:rFonts w:hint="default" w:ascii="Times New Roman" w:hAnsi="Times New Roman" w:cs="Times New Roman"/>
          <w:sz w:val="24"/>
          <w:szCs w:val="24"/>
          <w:u w:val="single"/>
          <w:lang w:val="en-US" w:eastAsia="zh-CN"/>
        </w:rPr>
        <w:t>生产有机肥</w:t>
      </w:r>
      <w:r>
        <w:rPr>
          <w:rFonts w:hint="eastAsia" w:ascii="Times New Roman" w:hAnsi="Times New Roman" w:cs="Times New Roman"/>
          <w:sz w:val="24"/>
          <w:szCs w:val="24"/>
          <w:u w:val="singl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⑤污水处理站废油脂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rPr>
        <w:t>污水处理站气浮工段会产生部分废油脂，</w:t>
      </w:r>
      <w:r>
        <w:rPr>
          <w:rFonts w:hint="eastAsia" w:ascii="Times New Roman" w:hAnsi="Times New Roman" w:eastAsia="宋体" w:cs="Times New Roman"/>
          <w:sz w:val="24"/>
          <w:szCs w:val="24"/>
          <w:u w:val="single"/>
          <w:lang w:val="en-US" w:eastAsia="zh-CN"/>
        </w:rPr>
        <w:t>参考《大连正牧食品有限公司肉羊、肉牛屠宰项目环境影响报告书》（2021年12月1日批复）中的源强，废油脂</w:t>
      </w:r>
      <w:r>
        <w:rPr>
          <w:rFonts w:hint="eastAsia" w:ascii="Times New Roman" w:hAnsi="Times New Roman" w:eastAsia="宋体" w:cs="Times New Roman"/>
          <w:sz w:val="24"/>
          <w:szCs w:val="24"/>
          <w:u w:val="single"/>
          <w:lang w:eastAsia="zh-CN"/>
        </w:rPr>
        <w:t>产生系数</w:t>
      </w:r>
      <w:r>
        <w:rPr>
          <w:rFonts w:hint="default" w:ascii="Times New Roman" w:hAnsi="Times New Roman" w:cs="Times New Roman"/>
          <w:sz w:val="24"/>
          <w:szCs w:val="24"/>
          <w:u w:val="single"/>
        </w:rPr>
        <w:t>为</w:t>
      </w:r>
      <w:r>
        <w:rPr>
          <w:rFonts w:hint="eastAsia" w:ascii="Times New Roman" w:hAnsi="Times New Roman" w:eastAsia="宋体" w:cs="Times New Roman"/>
          <w:sz w:val="24"/>
          <w:szCs w:val="24"/>
          <w:u w:val="single"/>
          <w:lang w:val="en-US" w:eastAsia="zh-CN"/>
        </w:rPr>
        <w:t>1kg</w:t>
      </w:r>
      <w:r>
        <w:rPr>
          <w:rFonts w:hint="default" w:ascii="Times New Roman" w:hAnsi="Times New Roman" w:cs="Times New Roman"/>
          <w:sz w:val="24"/>
          <w:szCs w:val="24"/>
          <w:u w:val="single"/>
        </w:rPr>
        <w:t>/</w:t>
      </w:r>
      <w:r>
        <w:rPr>
          <w:rFonts w:hint="eastAsia" w:ascii="Times New Roman" w:hAnsi="Times New Roman" w:eastAsia="宋体" w:cs="Times New Roman"/>
          <w:sz w:val="24"/>
          <w:szCs w:val="24"/>
          <w:u w:val="single"/>
          <w:lang w:val="en-US" w:eastAsia="zh-CN"/>
        </w:rPr>
        <w:t>t活屠重，本项目活屠重约8805t/a，则废油脂</w:t>
      </w:r>
      <w:r>
        <w:rPr>
          <w:rFonts w:hint="default" w:ascii="Times New Roman" w:hAnsi="Times New Roman" w:cs="Times New Roman"/>
          <w:sz w:val="24"/>
          <w:szCs w:val="24"/>
          <w:u w:val="single"/>
        </w:rPr>
        <w:t>产生量</w:t>
      </w:r>
      <w:r>
        <w:rPr>
          <w:rFonts w:hint="eastAsia" w:ascii="Times New Roman" w:hAnsi="Times New Roman" w:eastAsia="宋体" w:cs="Times New Roman"/>
          <w:sz w:val="24"/>
          <w:szCs w:val="24"/>
          <w:u w:val="single"/>
          <w:lang w:val="en-US" w:eastAsia="zh-CN"/>
        </w:rPr>
        <w:t>8.8</w:t>
      </w:r>
      <w:r>
        <w:rPr>
          <w:rFonts w:hint="default" w:ascii="Times New Roman" w:hAnsi="Times New Roman" w:cs="Times New Roman"/>
          <w:sz w:val="24"/>
          <w:szCs w:val="24"/>
          <w:u w:val="single"/>
        </w:rPr>
        <w:t>t/a</w:t>
      </w:r>
      <w:r>
        <w:rPr>
          <w:rFonts w:hint="eastAsia" w:ascii="Times New Roman" w:hAnsi="Times New Roman" w:eastAsia="宋体" w:cs="Times New Roman"/>
          <w:sz w:val="24"/>
          <w:szCs w:val="24"/>
          <w:u w:val="singl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国家危险废物名录》（2021年版），含油废水处理中隔油、气浮、沉淀等处理过程中产生的浮油、浮渣和污泥（不包括废水生化处理污泥）属于危险废物，类别为HW08废矿物油与含矿物油废物，代码为900-210-08。废油脂收集至密封桶后暂存于危废暂存间，定期交有相应资质单位处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⑥栅渣</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废水进入污水处理站前须进行固液分离，会有格栅残渣产生，主要为零碎块、脂肪、内脏杂物等残留物，</w:t>
      </w:r>
      <w:r>
        <w:rPr>
          <w:rFonts w:hint="default" w:ascii="Times New Roman" w:hAnsi="Times New Roman" w:cs="Times New Roman"/>
          <w:sz w:val="24"/>
          <w:szCs w:val="24"/>
          <w:u w:val="single"/>
          <w:lang w:val="en-US" w:eastAsia="zh-CN"/>
        </w:rPr>
        <w:t>参考《大连正牧食品有限公司肉羊、肉牛屠宰项目环境影响报告书》（2021年12月1日批复）中的源强，</w:t>
      </w:r>
      <w:r>
        <w:rPr>
          <w:rFonts w:hint="eastAsia" w:ascii="Times New Roman" w:hAnsi="Times New Roman" w:cs="Times New Roman"/>
          <w:sz w:val="24"/>
          <w:szCs w:val="24"/>
          <w:u w:val="single"/>
          <w:lang w:val="en-US" w:eastAsia="zh-CN"/>
        </w:rPr>
        <w:t>栅渣</w:t>
      </w:r>
      <w:r>
        <w:rPr>
          <w:rFonts w:hint="eastAsia" w:ascii="Times New Roman" w:hAnsi="Times New Roman" w:eastAsia="宋体" w:cs="Times New Roman"/>
          <w:sz w:val="24"/>
          <w:szCs w:val="24"/>
          <w:u w:val="single"/>
          <w:lang w:eastAsia="zh-CN"/>
        </w:rPr>
        <w:t>产生系数</w:t>
      </w:r>
      <w:r>
        <w:rPr>
          <w:rFonts w:hint="default" w:ascii="Times New Roman" w:hAnsi="Times New Roman" w:cs="Times New Roman"/>
          <w:sz w:val="24"/>
          <w:szCs w:val="24"/>
          <w:u w:val="single"/>
        </w:rPr>
        <w:t>为</w:t>
      </w:r>
      <w:r>
        <w:rPr>
          <w:rFonts w:hint="eastAsia" w:ascii="Times New Roman" w:hAnsi="Times New Roman" w:eastAsia="宋体" w:cs="Times New Roman"/>
          <w:sz w:val="24"/>
          <w:szCs w:val="24"/>
          <w:u w:val="single"/>
          <w:lang w:val="en-US" w:eastAsia="zh-CN"/>
        </w:rPr>
        <w:t>0.5kg</w:t>
      </w:r>
      <w:r>
        <w:rPr>
          <w:rFonts w:hint="default" w:ascii="Times New Roman" w:hAnsi="Times New Roman" w:cs="Times New Roman"/>
          <w:sz w:val="24"/>
          <w:szCs w:val="24"/>
          <w:u w:val="single"/>
        </w:rPr>
        <w:t>/</w:t>
      </w:r>
      <w:r>
        <w:rPr>
          <w:rFonts w:hint="eastAsia" w:ascii="Times New Roman" w:hAnsi="Times New Roman" w:eastAsia="宋体" w:cs="Times New Roman"/>
          <w:sz w:val="24"/>
          <w:szCs w:val="24"/>
          <w:u w:val="single"/>
          <w:lang w:val="en-US" w:eastAsia="zh-CN"/>
        </w:rPr>
        <w:t>t活屠重，</w:t>
      </w:r>
      <w:r>
        <w:rPr>
          <w:rFonts w:hint="default" w:ascii="Times New Roman" w:hAnsi="Times New Roman" w:cs="Times New Roman"/>
          <w:sz w:val="24"/>
          <w:szCs w:val="24"/>
          <w:u w:val="single"/>
        </w:rPr>
        <w:t>产生量预计为</w:t>
      </w:r>
      <w:r>
        <w:rPr>
          <w:rFonts w:hint="eastAsia" w:ascii="Times New Roman" w:hAnsi="Times New Roman" w:eastAsia="宋体" w:cs="Times New Roman"/>
          <w:sz w:val="24"/>
          <w:szCs w:val="24"/>
          <w:u w:val="single"/>
          <w:lang w:val="en-US" w:eastAsia="zh-CN"/>
        </w:rPr>
        <w:t>4</w:t>
      </w:r>
      <w:r>
        <w:rPr>
          <w:rFonts w:hint="default" w:ascii="Times New Roman" w:hAnsi="Times New Roman" w:cs="Times New Roman"/>
          <w:sz w:val="24"/>
          <w:szCs w:val="24"/>
          <w:u w:val="single"/>
        </w:rPr>
        <w:t>.</w:t>
      </w:r>
      <w:r>
        <w:rPr>
          <w:rFonts w:hint="eastAsia" w:ascii="Times New Roman" w:hAnsi="Times New Roman" w:eastAsia="宋体" w:cs="Times New Roman"/>
          <w:sz w:val="24"/>
          <w:szCs w:val="24"/>
          <w:u w:val="single"/>
          <w:lang w:val="en-US" w:eastAsia="zh-CN"/>
        </w:rPr>
        <w:t>4</w:t>
      </w:r>
      <w:r>
        <w:rPr>
          <w:rFonts w:hint="default" w:ascii="Times New Roman" w:hAnsi="Times New Roman" w:cs="Times New Roman"/>
          <w:sz w:val="24"/>
          <w:szCs w:val="24"/>
          <w:u w:val="single"/>
        </w:rPr>
        <w:t>t/a，栅渣与羊粪及肠胃内容物一起当日使用密闭运输车拉走外售用于肥田进行综合利用，做到日产日清。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⑦检疫废物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检疫废物是检测人员通过抽检方式对内脏及肉品进行取样检测后产生的废物，取样规格为50g/次，每天约检测10次，则本项目检疫废物产生量为0.5kg/d，合0.1</w:t>
      </w:r>
      <w:r>
        <w:rPr>
          <w:rFonts w:hint="eastAsia" w:ascii="Times New Roman" w:hAnsi="Times New Roman" w:eastAsia="宋体" w:cs="Times New Roman"/>
          <w:sz w:val="24"/>
          <w:szCs w:val="24"/>
          <w:u w:val="single"/>
          <w:lang w:val="en-US" w:eastAsia="zh-CN"/>
        </w:rPr>
        <w:t>6</w:t>
      </w:r>
      <w:r>
        <w:rPr>
          <w:rFonts w:hint="default" w:ascii="Times New Roman" w:hAnsi="Times New Roman" w:cs="Times New Roman"/>
          <w:sz w:val="24"/>
          <w:szCs w:val="24"/>
          <w:u w:val="single"/>
        </w:rPr>
        <w:t>t/a。根据《国家危险废物名录》（2021年版），检疫废物属于危险废物，类别为HW49其他废物，代码为900-047-49。检疫废物收集后暂存于危废暂存间，定期交有相应资质单位处置。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⑧生活垃圾</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该项目共有职工约</w:t>
      </w:r>
      <w:r>
        <w:rPr>
          <w:rFonts w:hint="eastAsia" w:ascii="Times New Roman" w:hAnsi="Times New Roman" w:eastAsia="宋体" w:cs="Times New Roman"/>
          <w:sz w:val="24"/>
          <w:szCs w:val="24"/>
          <w:u w:val="single"/>
          <w:lang w:val="en-US" w:eastAsia="zh-CN"/>
        </w:rPr>
        <w:t>50</w:t>
      </w:r>
      <w:r>
        <w:rPr>
          <w:rFonts w:hint="default" w:ascii="Times New Roman" w:hAnsi="Times New Roman" w:cs="Times New Roman"/>
          <w:sz w:val="24"/>
          <w:szCs w:val="24"/>
          <w:u w:val="single"/>
        </w:rPr>
        <w:t>人，垃圾</w:t>
      </w:r>
      <w:r>
        <w:rPr>
          <w:rFonts w:hint="eastAsia" w:ascii="Times New Roman" w:hAnsi="Times New Roman" w:eastAsia="宋体" w:cs="Times New Roman"/>
          <w:sz w:val="24"/>
          <w:szCs w:val="24"/>
          <w:u w:val="single"/>
          <w:lang w:eastAsia="zh-CN"/>
        </w:rPr>
        <w:t>产生</w:t>
      </w:r>
      <w:r>
        <w:rPr>
          <w:rFonts w:hint="default" w:ascii="Times New Roman" w:hAnsi="Times New Roman" w:cs="Times New Roman"/>
          <w:sz w:val="24"/>
          <w:szCs w:val="24"/>
          <w:u w:val="single"/>
        </w:rPr>
        <w:t>量按0.5kg/人·d计，则该项目建成后生活垃圾的排放量为</w:t>
      </w:r>
      <w:r>
        <w:rPr>
          <w:rFonts w:hint="eastAsia" w:ascii="Times New Roman" w:hAnsi="Times New Roman" w:eastAsia="宋体" w:cs="Times New Roman"/>
          <w:sz w:val="24"/>
          <w:szCs w:val="24"/>
          <w:u w:val="single"/>
          <w:lang w:val="en-US" w:eastAsia="zh-CN"/>
        </w:rPr>
        <w:t>25</w:t>
      </w:r>
      <w:r>
        <w:rPr>
          <w:rFonts w:hint="default" w:ascii="Times New Roman" w:hAnsi="Times New Roman" w:cs="Times New Roman"/>
          <w:sz w:val="24"/>
          <w:szCs w:val="24"/>
          <w:u w:val="single"/>
        </w:rPr>
        <w:t>kg/d、</w:t>
      </w:r>
      <w:r>
        <w:rPr>
          <w:rFonts w:hint="eastAsia" w:ascii="Times New Roman" w:hAnsi="Times New Roman" w:eastAsia="宋体" w:cs="Times New Roman"/>
          <w:sz w:val="24"/>
          <w:szCs w:val="24"/>
          <w:u w:val="single"/>
          <w:lang w:val="en-US" w:eastAsia="zh-CN"/>
        </w:rPr>
        <w:t>8</w:t>
      </w:r>
      <w:r>
        <w:rPr>
          <w:rFonts w:hint="default" w:ascii="Times New Roman" w:hAnsi="Times New Roman" w:cs="Times New Roman"/>
          <w:sz w:val="24"/>
          <w:szCs w:val="24"/>
          <w:u w:val="single"/>
        </w:rPr>
        <w:t>t/a，生活垃圾经收集后交环卫部门统一处置。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本工程固废产生、处置情况及固废性质见下表。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633"/>
        <w:textAlignment w:val="baseline"/>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3-</w:t>
      </w:r>
      <w:r>
        <w:rPr>
          <w:rFonts w:hint="eastAsia" w:ascii="Times New Roman" w:hAnsi="Times New Roman" w:eastAsia="宋体" w:cs="Times New Roman"/>
          <w:b/>
          <w:bCs/>
          <w:sz w:val="24"/>
          <w:szCs w:val="24"/>
          <w:u w:val="none" w:color="auto"/>
          <w:lang w:val="en-US" w:eastAsia="zh-CN"/>
        </w:rPr>
        <w:t>29</w:t>
      </w:r>
      <w:r>
        <w:rPr>
          <w:rFonts w:ascii="Times New Roman" w:hAnsi="Times New Roman" w:eastAsia="Times New Roman" w:cs="Times New Roman"/>
          <w:b/>
          <w:bCs/>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项目固体废弃物产生量一览表</w:t>
      </w:r>
      <w:r>
        <w:rPr>
          <w:rFonts w:ascii="宋体" w:hAnsi="宋体" w:eastAsia="宋体" w:cs="宋体"/>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u w:val="none" w:color="auto"/>
        </w:rPr>
        <w:t>t/a</w:t>
      </w:r>
    </w:p>
    <w:tbl>
      <w:tblPr>
        <w:tblStyle w:val="24"/>
        <w:tblW w:w="8950" w:type="dxa"/>
        <w:tblInd w:w="57"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1870"/>
        <w:gridCol w:w="1163"/>
        <w:gridCol w:w="1372"/>
        <w:gridCol w:w="300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污染源</w:t>
            </w: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污染物</w:t>
            </w:r>
          </w:p>
        </w:tc>
        <w:tc>
          <w:tcPr>
            <w:tcW w:w="116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产生量</w:t>
            </w:r>
          </w:p>
        </w:tc>
        <w:tc>
          <w:tcPr>
            <w:tcW w:w="137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性质</w:t>
            </w:r>
          </w:p>
        </w:tc>
        <w:tc>
          <w:tcPr>
            <w:tcW w:w="300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处理措施</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待宰区</w:t>
            </w: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粪便</w:t>
            </w:r>
          </w:p>
        </w:tc>
        <w:tc>
          <w:tcPr>
            <w:tcW w:w="1163" w:type="dxa"/>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172.8</w:t>
            </w:r>
          </w:p>
        </w:tc>
        <w:tc>
          <w:tcPr>
            <w:tcW w:w="137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一般固废</w:t>
            </w:r>
          </w:p>
        </w:tc>
        <w:tc>
          <w:tcPr>
            <w:tcW w:w="3002"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外售用于肥田综合利用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屠宰车间</w:t>
            </w: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肠胃内容物</w:t>
            </w:r>
          </w:p>
        </w:tc>
        <w:tc>
          <w:tcPr>
            <w:tcW w:w="1163" w:type="dxa"/>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325</w:t>
            </w:r>
          </w:p>
        </w:tc>
        <w:tc>
          <w:tcPr>
            <w:tcW w:w="137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一般固废</w:t>
            </w:r>
          </w:p>
        </w:tc>
        <w:tc>
          <w:tcPr>
            <w:tcW w:w="3002" w:type="dxa"/>
            <w:vMerge w:val="continue"/>
            <w:tcBorders>
              <w:tl2br w:val="nil"/>
              <w:tr2bl w:val="nil"/>
            </w:tcBorders>
            <w:vAlign w:val="center"/>
          </w:tcPr>
          <w:p>
            <w:pPr>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污水处理</w:t>
            </w: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污水处理站污泥</w:t>
            </w:r>
          </w:p>
        </w:tc>
        <w:tc>
          <w:tcPr>
            <w:tcW w:w="1163" w:type="dxa"/>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125</w:t>
            </w:r>
          </w:p>
        </w:tc>
        <w:tc>
          <w:tcPr>
            <w:tcW w:w="137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一般固废</w:t>
            </w:r>
          </w:p>
        </w:tc>
        <w:tc>
          <w:tcPr>
            <w:tcW w:w="3002" w:type="dxa"/>
            <w:tcBorders>
              <w:tl2br w:val="nil"/>
              <w:tr2bl w:val="nil"/>
            </w:tcBorders>
            <w:vAlign w:val="center"/>
          </w:tcPr>
          <w:p>
            <w:pPr>
              <w:jc w:val="center"/>
              <w:rPr>
                <w:rFonts w:hint="eastAsia" w:ascii="Times New Roman" w:hAnsi="Times New Roman" w:eastAsia="宋体" w:cs="Times New Roman"/>
                <w:lang w:eastAsia="zh-CN"/>
              </w:rPr>
            </w:pPr>
            <w:r>
              <w:rPr>
                <w:rFonts w:hint="default" w:ascii="Times New Roman" w:hAnsi="Times New Roman" w:cs="Times New Roman"/>
              </w:rPr>
              <w:t>经脱水</w:t>
            </w:r>
            <w:r>
              <w:rPr>
                <w:rFonts w:hint="eastAsia" w:ascii="Times New Roman" w:hAnsi="Times New Roman" w:eastAsia="宋体" w:cs="Times New Roman"/>
                <w:lang w:eastAsia="zh-CN"/>
              </w:rPr>
              <w:t>收集</w:t>
            </w:r>
            <w:r>
              <w:rPr>
                <w:rFonts w:hint="default" w:ascii="Times New Roman" w:hAnsi="Times New Roman" w:cs="Times New Roman"/>
              </w:rPr>
              <w:t>后</w:t>
            </w:r>
            <w:r>
              <w:rPr>
                <w:rFonts w:hint="eastAsia" w:ascii="Times New Roman" w:hAnsi="Times New Roman" w:eastAsia="宋体" w:cs="Times New Roman"/>
                <w:lang w:eastAsia="zh-CN"/>
              </w:rPr>
              <w:t>，</w:t>
            </w:r>
            <w:r>
              <w:rPr>
                <w:rFonts w:hint="default" w:ascii="Times New Roman" w:hAnsi="Times New Roman" w:cs="Times New Roman"/>
              </w:rPr>
              <w:t>外售</w:t>
            </w:r>
            <w:r>
              <w:rPr>
                <w:rFonts w:hint="eastAsia" w:ascii="Times New Roman" w:hAnsi="Times New Roman" w:eastAsia="宋体" w:cs="Times New Roman"/>
                <w:lang w:eastAsia="zh-CN"/>
              </w:rPr>
              <w:t>制作有机肥</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vMerge w:val="continue"/>
            <w:tcBorders>
              <w:tl2br w:val="nil"/>
              <w:tr2bl w:val="nil"/>
            </w:tcBorders>
            <w:vAlign w:val="center"/>
          </w:tcPr>
          <w:p>
            <w:pPr>
              <w:jc w:val="center"/>
              <w:rPr>
                <w:rFonts w:hint="default" w:ascii="Times New Roman" w:hAnsi="Times New Roman" w:cs="Times New Roman"/>
              </w:rPr>
            </w:pP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栅渣</w:t>
            </w:r>
          </w:p>
        </w:tc>
        <w:tc>
          <w:tcPr>
            <w:tcW w:w="1163" w:type="dxa"/>
            <w:tcBorders>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4</w:t>
            </w:r>
            <w:r>
              <w:rPr>
                <w:rFonts w:hint="default" w:ascii="Times New Roman" w:hAnsi="Times New Roman" w:cs="Times New Roman"/>
              </w:rPr>
              <w:t>.</w:t>
            </w:r>
            <w:r>
              <w:rPr>
                <w:rFonts w:hint="eastAsia" w:ascii="Times New Roman" w:hAnsi="Times New Roman" w:eastAsia="宋体" w:cs="Times New Roman"/>
                <w:lang w:val="en-US" w:eastAsia="zh-CN"/>
              </w:rPr>
              <w:t>4</w:t>
            </w:r>
          </w:p>
        </w:tc>
        <w:tc>
          <w:tcPr>
            <w:tcW w:w="137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一般固废</w:t>
            </w:r>
          </w:p>
        </w:tc>
        <w:tc>
          <w:tcPr>
            <w:tcW w:w="300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外售用于肥田综合利用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vMerge w:val="continue"/>
            <w:tcBorders>
              <w:tl2br w:val="nil"/>
              <w:tr2bl w:val="nil"/>
            </w:tcBorders>
            <w:vAlign w:val="center"/>
          </w:tcPr>
          <w:p>
            <w:pPr>
              <w:jc w:val="center"/>
              <w:rPr>
                <w:rFonts w:hint="default" w:ascii="Times New Roman" w:hAnsi="Times New Roman" w:cs="Times New Roman"/>
              </w:rPr>
            </w:pP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废油脂</w:t>
            </w:r>
          </w:p>
        </w:tc>
        <w:tc>
          <w:tcPr>
            <w:tcW w:w="1163" w:type="dxa"/>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8.8</w:t>
            </w:r>
          </w:p>
        </w:tc>
        <w:tc>
          <w:tcPr>
            <w:tcW w:w="137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危险废物</w:t>
            </w:r>
          </w:p>
        </w:tc>
        <w:tc>
          <w:tcPr>
            <w:tcW w:w="300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危废暂存间暂存后，定期交有相应资质单位处置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待宰区</w:t>
            </w: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病死</w:t>
            </w:r>
            <w:r>
              <w:rPr>
                <w:rFonts w:hint="eastAsia" w:ascii="Times New Roman" w:hAnsi="Times New Roman" w:eastAsia="宋体" w:cs="Times New Roman"/>
                <w:lang w:eastAsia="zh-CN"/>
              </w:rPr>
              <w:t>牛</w:t>
            </w:r>
            <w:r>
              <w:rPr>
                <w:rFonts w:hint="default" w:ascii="Times New Roman" w:hAnsi="Times New Roman" w:cs="Times New Roman"/>
              </w:rPr>
              <w:t>羊</w:t>
            </w:r>
          </w:p>
        </w:tc>
        <w:tc>
          <w:tcPr>
            <w:tcW w:w="1163" w:type="dxa"/>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1.25</w:t>
            </w:r>
          </w:p>
        </w:tc>
        <w:tc>
          <w:tcPr>
            <w:tcW w:w="1372"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一般固废</w:t>
            </w:r>
          </w:p>
        </w:tc>
        <w:tc>
          <w:tcPr>
            <w:tcW w:w="3002" w:type="dxa"/>
            <w:vMerge w:val="restart"/>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eastAsia="zh-CN"/>
              </w:rPr>
              <w:t>厂区暂存后，</w:t>
            </w:r>
            <w:r>
              <w:rPr>
                <w:rFonts w:hint="default" w:ascii="Times New Roman" w:hAnsi="Times New Roman" w:cs="Times New Roman"/>
              </w:rPr>
              <w:t>送往叶县益康动物无害化处理有限公司进行处置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屠宰车间</w:t>
            </w: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不合格肉品</w:t>
            </w:r>
          </w:p>
        </w:tc>
        <w:tc>
          <w:tcPr>
            <w:tcW w:w="1163" w:type="dxa"/>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372" w:type="dxa"/>
            <w:vMerge w:val="continue"/>
            <w:tcBorders>
              <w:tl2br w:val="nil"/>
              <w:tr2bl w:val="nil"/>
            </w:tcBorders>
            <w:vAlign w:val="center"/>
          </w:tcPr>
          <w:p>
            <w:pPr>
              <w:jc w:val="center"/>
              <w:rPr>
                <w:rFonts w:hint="default" w:ascii="Times New Roman" w:hAnsi="Times New Roman" w:cs="Times New Roman"/>
              </w:rPr>
            </w:pPr>
          </w:p>
        </w:tc>
        <w:tc>
          <w:tcPr>
            <w:tcW w:w="3002" w:type="dxa"/>
            <w:vMerge w:val="continue"/>
            <w:tcBorders>
              <w:tl2br w:val="nil"/>
              <w:tr2bl w:val="nil"/>
            </w:tcBorders>
            <w:vAlign w:val="center"/>
          </w:tcPr>
          <w:p>
            <w:pPr>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化验室</w:t>
            </w: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检疫废物</w:t>
            </w:r>
          </w:p>
        </w:tc>
        <w:tc>
          <w:tcPr>
            <w:tcW w:w="1163" w:type="dxa"/>
            <w:tcBorders>
              <w:tl2br w:val="nil"/>
              <w:tr2bl w:val="nil"/>
            </w:tcBorders>
            <w:vAlign w:val="center"/>
          </w:tcPr>
          <w:p>
            <w:pPr>
              <w:jc w:val="center"/>
              <w:rPr>
                <w:rFonts w:hint="eastAsia" w:ascii="Times New Roman" w:hAnsi="Times New Roman" w:eastAsia="宋体" w:cs="Times New Roman"/>
                <w:lang w:eastAsia="zh-CN"/>
              </w:rPr>
            </w:pPr>
            <w:r>
              <w:rPr>
                <w:rFonts w:hint="default" w:ascii="Times New Roman" w:hAnsi="Times New Roman" w:cs="Times New Roman"/>
              </w:rPr>
              <w:t>0.1</w:t>
            </w:r>
            <w:r>
              <w:rPr>
                <w:rFonts w:hint="eastAsia" w:ascii="Times New Roman" w:hAnsi="Times New Roman" w:eastAsia="宋体" w:cs="Times New Roman"/>
                <w:lang w:val="en-US" w:eastAsia="zh-CN"/>
              </w:rPr>
              <w:t>6</w:t>
            </w:r>
          </w:p>
        </w:tc>
        <w:tc>
          <w:tcPr>
            <w:tcW w:w="137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危险废物</w:t>
            </w:r>
          </w:p>
        </w:tc>
        <w:tc>
          <w:tcPr>
            <w:tcW w:w="300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危废暂存间暂存后，定期交有相应资质单位处置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54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员工日常生活 办公</w:t>
            </w:r>
          </w:p>
        </w:tc>
        <w:tc>
          <w:tcPr>
            <w:tcW w:w="187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生活垃圾</w:t>
            </w:r>
          </w:p>
        </w:tc>
        <w:tc>
          <w:tcPr>
            <w:tcW w:w="1163" w:type="dxa"/>
            <w:tcBorders>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8</w:t>
            </w:r>
          </w:p>
        </w:tc>
        <w:tc>
          <w:tcPr>
            <w:tcW w:w="137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一般固废</w:t>
            </w:r>
          </w:p>
        </w:tc>
        <w:tc>
          <w:tcPr>
            <w:tcW w:w="300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收集后交环卫部门统一处置</w:t>
            </w:r>
          </w:p>
        </w:tc>
      </w:tr>
    </w:tbl>
    <w:p>
      <w:pPr>
        <w:spacing w:before="268" w:line="224" w:lineRule="auto"/>
        <w:outlineLvl w:val="3"/>
        <w:rPr>
          <w:rFonts w:ascii="楷体" w:hAnsi="楷体" w:eastAsia="楷体" w:cs="楷体"/>
          <w:sz w:val="28"/>
          <w:szCs w:val="28"/>
        </w:rPr>
      </w:pPr>
      <w:bookmarkStart w:id="297" w:name="bookmark61"/>
      <w:bookmarkEnd w:id="297"/>
      <w:r>
        <w:rPr>
          <w:rFonts w:ascii="Times New Roman" w:hAnsi="Times New Roman" w:eastAsia="Times New Roman" w:cs="Times New Roman"/>
          <w:spacing w:val="-1"/>
          <w:sz w:val="28"/>
          <w:szCs w:val="28"/>
        </w:rPr>
        <w:t>3.3.3</w:t>
      </w:r>
      <w:r>
        <w:rPr>
          <w:rFonts w:ascii="楷体" w:hAnsi="楷体" w:eastAsia="楷体" w:cs="楷体"/>
          <w:spacing w:val="-1"/>
          <w:sz w:val="28"/>
          <w:szCs w:val="28"/>
        </w:rPr>
        <w:t>本项目完成后污染物产生及排放情况汇总</w:t>
      </w:r>
    </w:p>
    <w:p>
      <w:pPr>
        <w:keepNext w:val="0"/>
        <w:keepLines w:val="0"/>
        <w:pageBreakBefore w:val="0"/>
        <w:widowControl/>
        <w:kinsoku w:val="0"/>
        <w:wordWrap/>
        <w:overflowPunct/>
        <w:topLinePunct w:val="0"/>
        <w:autoSpaceDE w:val="0"/>
        <w:autoSpaceDN w:val="0"/>
        <w:bidi w:val="0"/>
        <w:adjustRightInd w:val="0"/>
        <w:snapToGrid w:val="0"/>
        <w:spacing w:before="228" w:line="360" w:lineRule="auto"/>
        <w:ind w:left="658"/>
        <w:textAlignment w:val="baseline"/>
        <w:rPr>
          <w:rFonts w:ascii="宋体" w:hAnsi="宋体" w:eastAsia="宋体" w:cs="宋体"/>
          <w:sz w:val="24"/>
          <w:szCs w:val="24"/>
        </w:rPr>
      </w:pPr>
      <w:r>
        <w:rPr>
          <w:rFonts w:ascii="宋体" w:hAnsi="宋体" w:eastAsia="宋体" w:cs="宋体"/>
          <w:spacing w:val="-1"/>
          <w:sz w:val="24"/>
          <w:szCs w:val="24"/>
        </w:rPr>
        <w:t>本项目完成后污染物产生及排放情况汇总见表</w:t>
      </w:r>
      <w:r>
        <w:rPr>
          <w:rFonts w:ascii="Times New Roman" w:hAnsi="Times New Roman" w:eastAsia="Times New Roman" w:cs="Times New Roman"/>
          <w:spacing w:val="-1"/>
          <w:sz w:val="24"/>
          <w:szCs w:val="24"/>
        </w:rPr>
        <w:t>3-</w:t>
      </w:r>
      <w:r>
        <w:rPr>
          <w:rFonts w:hint="eastAsia" w:ascii="Times New Roman" w:hAnsi="Times New Roman" w:eastAsia="宋体" w:cs="Times New Roman"/>
          <w:spacing w:val="-1"/>
          <w:sz w:val="24"/>
          <w:szCs w:val="24"/>
          <w:lang w:val="en-US" w:eastAsia="zh-CN"/>
        </w:rPr>
        <w:t>30</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30</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本次工程污染物排放情况汇总一览表</w:t>
      </w:r>
    </w:p>
    <w:tbl>
      <w:tblPr>
        <w:tblStyle w:val="24"/>
        <w:tblW w:w="9184"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861"/>
        <w:gridCol w:w="761"/>
        <w:gridCol w:w="1086"/>
        <w:gridCol w:w="1209"/>
        <w:gridCol w:w="1583"/>
        <w:gridCol w:w="1365"/>
        <w:gridCol w:w="163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1" w:hRule="atLeast"/>
          <w:jc w:val="center"/>
        </w:trPr>
        <w:tc>
          <w:tcPr>
            <w:tcW w:w="682"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u w:val="none" w:color="auto"/>
                <w14:textOutline w14:w="3795" w14:cap="sq" w14:cmpd="sng">
                  <w14:solidFill>
                    <w14:srgbClr w14:val="000000"/>
                  </w14:solidFill>
                  <w14:prstDash w14:val="solid"/>
                  <w14:bevel/>
                </w14:textOutline>
              </w:rPr>
              <w:t>类别</w:t>
            </w:r>
          </w:p>
        </w:tc>
        <w:tc>
          <w:tcPr>
            <w:tcW w:w="1622"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14:textOutline w14:w="3795" w14:cap="sq" w14:cmpd="sng">
                  <w14:solidFill>
                    <w14:srgbClr w14:val="000000"/>
                  </w14:solidFill>
                  <w14:prstDash w14:val="solid"/>
                  <w14:bevel/>
                </w14:textOutline>
              </w:rPr>
              <w:t>产生环节</w:t>
            </w:r>
          </w:p>
        </w:tc>
        <w:tc>
          <w:tcPr>
            <w:tcW w:w="1086"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position w:val="7"/>
                <w:u w:val="none" w:color="auto"/>
                <w14:textOutline w14:w="3795" w14:cap="sq" w14:cmpd="sng">
                  <w14:solidFill>
                    <w14:srgbClr w14:val="000000"/>
                  </w14:solidFill>
                  <w14:prstDash w14:val="solid"/>
                  <w14:bevel/>
                </w14:textOutline>
              </w:rPr>
              <w:t>污染物</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3"/>
                <w:u w:val="none" w:color="auto"/>
                <w14:textOutline w14:w="3795" w14:cap="sq" w14:cmpd="sng">
                  <w14:solidFill>
                    <w14:srgbClr w14:val="000000"/>
                  </w14:solidFill>
                  <w14:prstDash w14:val="solid"/>
                  <w14:bevel/>
                </w14:textOutline>
              </w:rPr>
              <w:t>因子</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14:textOutline w14:w="3795" w14:cap="sq" w14:cmpd="sng">
                  <w14:solidFill>
                    <w14:srgbClr w14:val="000000"/>
                  </w14:solidFill>
                  <w14:prstDash w14:val="solid"/>
                  <w14:bevel/>
                </w14:textOutline>
              </w:rPr>
              <w:t>产生浓度</w:t>
            </w:r>
          </w:p>
        </w:tc>
        <w:tc>
          <w:tcPr>
            <w:tcW w:w="1583"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14:textOutline w14:w="3795" w14:cap="sq" w14:cmpd="sng">
                  <w14:solidFill>
                    <w14:srgbClr w14:val="000000"/>
                  </w14:solidFill>
                  <w14:prstDash w14:val="solid"/>
                  <w14:bevel/>
                </w14:textOutline>
              </w:rPr>
              <w:t>产生量</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14:textOutline w14:w="3795" w14:cap="sq" w14:cmpd="sng">
                  <w14:solidFill>
                    <w14:srgbClr w14:val="000000"/>
                  </w14:solidFill>
                  <w14:prstDash w14:val="solid"/>
                  <w14:bevel/>
                </w14:textOutline>
              </w:rPr>
              <w:t>排放浓度</w:t>
            </w:r>
          </w:p>
        </w:tc>
        <w:tc>
          <w:tcPr>
            <w:tcW w:w="1637"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14:textOutline w14:w="3795" w14:cap="sq" w14:cmpd="sng">
                  <w14:solidFill>
                    <w14:srgbClr w14:val="000000"/>
                  </w14:solidFill>
                  <w14:prstDash w14:val="solid"/>
                  <w14:bevel/>
                </w14:textOutline>
              </w:rPr>
              <w:t>排放量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18" w:hRule="atLeast"/>
          <w:jc w:val="center"/>
        </w:trPr>
        <w:tc>
          <w:tcPr>
            <w:tcW w:w="682"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废气</w:t>
            </w:r>
          </w:p>
        </w:tc>
        <w:tc>
          <w:tcPr>
            <w:tcW w:w="1622" w:type="dxa"/>
            <w:gridSpan w:val="2"/>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b w:val="0"/>
                <w:bCs w:val="0"/>
                <w:u w:val="none" w:color="auto"/>
                <w:lang w:eastAsia="zh-CN"/>
              </w:rPr>
            </w:pPr>
            <w:r>
              <w:rPr>
                <w:b w:val="0"/>
                <w:bCs w:val="0"/>
                <w:spacing w:val="3"/>
                <w:u w:val="none" w:color="auto"/>
              </w:rPr>
              <w:t>待宰</w:t>
            </w:r>
            <w:r>
              <w:rPr>
                <w:b w:val="0"/>
                <w:bCs w:val="0"/>
                <w:spacing w:val="1"/>
                <w:u w:val="none" w:color="auto"/>
              </w:rPr>
              <w:t>区、屠</w:t>
            </w:r>
            <w:r>
              <w:rPr>
                <w:b w:val="0"/>
                <w:bCs w:val="0"/>
                <w:u w:val="none" w:color="auto"/>
              </w:rPr>
              <w:t>宰车</w:t>
            </w:r>
            <w:r>
              <w:rPr>
                <w:b w:val="0"/>
                <w:bCs w:val="0"/>
                <w:spacing w:val="1"/>
                <w:u w:val="none" w:color="auto"/>
              </w:rPr>
              <w:t>间、污</w:t>
            </w:r>
            <w:r>
              <w:rPr>
                <w:b w:val="0"/>
                <w:bCs w:val="0"/>
                <w:spacing w:val="6"/>
                <w:u w:val="none" w:color="auto"/>
              </w:rPr>
              <w:t>水处理</w:t>
            </w:r>
            <w:r>
              <w:rPr>
                <w:b w:val="0"/>
                <w:bCs w:val="0"/>
                <w:u w:val="none" w:color="auto"/>
              </w:rPr>
              <w:t>站</w:t>
            </w:r>
            <w:r>
              <w:rPr>
                <w:rFonts w:hint="eastAsia"/>
                <w:b w:val="0"/>
                <w:bCs w:val="0"/>
                <w:u w:val="none" w:color="auto"/>
                <w:lang w:eastAsia="zh-CN"/>
              </w:rPr>
              <w:t>、一般固废暂存间</w:t>
            </w:r>
          </w:p>
        </w:tc>
        <w:tc>
          <w:tcPr>
            <w:tcW w:w="1086"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3"/>
                <w:szCs w:val="13"/>
                <w:u w:val="none" w:color="auto"/>
              </w:rPr>
            </w:pPr>
            <w:r>
              <w:rPr>
                <w:rFonts w:ascii="Times New Roman" w:hAnsi="Times New Roman" w:eastAsia="Times New Roman" w:cs="Times New Roman"/>
                <w:b w:val="0"/>
                <w:bCs w:val="0"/>
                <w:spacing w:val="7"/>
                <w:sz w:val="20"/>
                <w:szCs w:val="20"/>
                <w:u w:val="none" w:color="auto"/>
              </w:rPr>
              <w:t>NH</w:t>
            </w:r>
            <w:r>
              <w:rPr>
                <w:rFonts w:ascii="Times New Roman" w:hAnsi="Times New Roman" w:eastAsia="Times New Roman" w:cs="Times New Roman"/>
                <w:b w:val="0"/>
                <w:bCs w:val="0"/>
                <w:spacing w:val="7"/>
                <w:position w:val="-1"/>
                <w:sz w:val="13"/>
                <w:szCs w:val="13"/>
                <w:u w:val="none" w:color="auto"/>
              </w:rPr>
              <w:t>3</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2"/>
                <w:sz w:val="20"/>
                <w:szCs w:val="20"/>
                <w:u w:val="none" w:color="auto"/>
              </w:rPr>
              <w:t>/</w:t>
            </w:r>
          </w:p>
        </w:tc>
        <w:tc>
          <w:tcPr>
            <w:tcW w:w="1583" w:type="dxa"/>
            <w:vMerge w:val="restart"/>
            <w:tcBorders>
              <w:tl2br w:val="nil"/>
              <w:tr2bl w:val="nil"/>
            </w:tcBorders>
            <w:vAlign w:val="center"/>
          </w:tcPr>
          <w:p>
            <w:pPr>
              <w:jc w:val="center"/>
              <w:rPr>
                <w:rFonts w:hint="eastAsia" w:ascii="Times New Roman" w:hAnsi="Times New Roman" w:cs="Times New Roman"/>
                <w:sz w:val="20"/>
                <w:szCs w:val="20"/>
                <w:lang w:val="en-US" w:eastAsia="zh-CN"/>
              </w:rPr>
            </w:pPr>
            <w:r>
              <w:rPr>
                <w:rFonts w:hint="default" w:ascii="Times New Roman" w:hAnsi="Times New Roman" w:cs="Times New Roman"/>
                <w:sz w:val="20"/>
                <w:szCs w:val="20"/>
              </w:rPr>
              <w:t>NH</w:t>
            </w:r>
            <w:r>
              <w:rPr>
                <w:rFonts w:hint="default" w:ascii="Times New Roman" w:hAnsi="Times New Roman" w:cs="Times New Roman"/>
                <w:sz w:val="20"/>
                <w:szCs w:val="20"/>
                <w:vertAlign w:val="subscript"/>
              </w:rPr>
              <w:t>3</w:t>
            </w:r>
            <w:r>
              <w:rPr>
                <w:rFonts w:hint="eastAsia" w:ascii="Times New Roman" w:hAnsi="Times New Roman" w:eastAsia="宋体" w:cs="Times New Roman"/>
                <w:sz w:val="20"/>
                <w:szCs w:val="20"/>
                <w:lang w:eastAsia="zh-CN"/>
              </w:rPr>
              <w:t>：</w:t>
            </w:r>
            <w:r>
              <w:rPr>
                <w:rFonts w:hint="eastAsia" w:ascii="Times New Roman" w:hAnsi="Times New Roman" w:eastAsia="宋体" w:cs="Times New Roman"/>
                <w:sz w:val="20"/>
                <w:szCs w:val="20"/>
                <w:lang w:val="en-US" w:eastAsia="zh-CN"/>
              </w:rPr>
              <w:t>3.6595</w:t>
            </w:r>
            <w:r>
              <w:rPr>
                <w:rFonts w:hint="default" w:ascii="Times New Roman" w:hAnsi="Times New Roman" w:cs="Times New Roman"/>
                <w:sz w:val="20"/>
                <w:szCs w:val="20"/>
              </w:rPr>
              <w:t>kg/h</w:t>
            </w:r>
            <w:r>
              <w:rPr>
                <w:rFonts w:hint="default" w:ascii="Times New Roman" w:hAnsi="Times New Roman" w:cs="Times New Roman"/>
                <w:sz w:val="20"/>
                <w:szCs w:val="20"/>
                <w:lang w:eastAsia="zh-CN"/>
              </w:rPr>
              <w:t>，</w:t>
            </w:r>
            <w:r>
              <w:rPr>
                <w:rFonts w:hint="eastAsia" w:ascii="Times New Roman" w:hAnsi="Times New Roman" w:cs="Times New Roman"/>
                <w:sz w:val="20"/>
                <w:szCs w:val="20"/>
                <w:lang w:val="en-US" w:eastAsia="zh-CN"/>
              </w:rPr>
              <w:t>1.661</w:t>
            </w:r>
            <w:r>
              <w:rPr>
                <w:rFonts w:hint="default" w:ascii="Times New Roman" w:hAnsi="Times New Roman" w:cs="Times New Roman"/>
                <w:sz w:val="20"/>
                <w:szCs w:val="20"/>
                <w:lang w:val="en-US" w:eastAsia="zh-CN"/>
              </w:rPr>
              <w:t>t</w:t>
            </w:r>
            <w:r>
              <w:rPr>
                <w:rFonts w:hint="eastAsia" w:ascii="Times New Roman" w:hAnsi="Times New Roman" w:cs="Times New Roman"/>
                <w:sz w:val="20"/>
                <w:szCs w:val="20"/>
                <w:lang w:val="en-US" w:eastAsia="zh-CN"/>
              </w:rPr>
              <w:t>/a</w:t>
            </w:r>
          </w:p>
          <w:p>
            <w:pPr>
              <w:jc w:val="center"/>
              <w:rPr>
                <w:rFonts w:hint="default" w:ascii="Times New Roman" w:hAnsi="Times New Roman" w:cs="Times New Roman"/>
                <w:sz w:val="20"/>
                <w:szCs w:val="20"/>
              </w:rPr>
            </w:pP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b w:val="0"/>
                <w:bCs w:val="0"/>
                <w:u w:val="none" w:color="auto"/>
              </w:rPr>
            </w:pP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S</w:t>
            </w:r>
            <w:r>
              <w:rPr>
                <w:rFonts w:hint="eastAsia" w:ascii="Times New Roman" w:hAnsi="Times New Roman" w:eastAsia="宋体" w:cs="Times New Roman"/>
                <w:sz w:val="20"/>
                <w:szCs w:val="20"/>
                <w:lang w:eastAsia="zh-CN"/>
              </w:rPr>
              <w:t>：</w:t>
            </w: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32002</w:t>
            </w:r>
            <w:r>
              <w:rPr>
                <w:rFonts w:hint="default" w:ascii="Times New Roman" w:hAnsi="Times New Roman" w:cs="Times New Roman"/>
                <w:sz w:val="20"/>
                <w:szCs w:val="20"/>
              </w:rPr>
              <w:t>kg/h</w:t>
            </w:r>
            <w:r>
              <w:rPr>
                <w:rFonts w:hint="eastAsia" w:ascii="Times New Roman" w:hAnsi="Times New Roman" w:eastAsia="宋体" w:cs="Times New Roman"/>
                <w:sz w:val="20"/>
                <w:szCs w:val="20"/>
                <w:lang w:eastAsia="zh-CN"/>
              </w:rPr>
              <w:t>，</w:t>
            </w:r>
            <w:r>
              <w:rPr>
                <w:rFonts w:hint="eastAsia" w:ascii="Times New Roman" w:hAnsi="Times New Roman" w:eastAsia="宋体" w:cs="Times New Roman"/>
                <w:sz w:val="20"/>
                <w:szCs w:val="20"/>
                <w:lang w:val="en-US" w:eastAsia="zh-CN"/>
              </w:rPr>
              <w:t>0.12878</w:t>
            </w:r>
            <w:r>
              <w:rPr>
                <w:rFonts w:hint="default" w:ascii="Times New Roman" w:hAnsi="Times New Roman" w:cs="Times New Roman"/>
                <w:sz w:val="20"/>
                <w:szCs w:val="20"/>
                <w:lang w:val="en-US" w:eastAsia="zh-CN"/>
              </w:rPr>
              <w:t>t</w:t>
            </w:r>
            <w:r>
              <w:rPr>
                <w:rFonts w:hint="eastAsia" w:ascii="Times New Roman" w:hAnsi="Times New Roman" w:cs="Times New Roman"/>
                <w:sz w:val="20"/>
                <w:szCs w:val="20"/>
                <w:lang w:val="en-US" w:eastAsia="zh-CN"/>
              </w:rPr>
              <w:t>/a</w:t>
            </w:r>
          </w:p>
        </w:tc>
        <w:tc>
          <w:tcPr>
            <w:tcW w:w="1365"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spacing w:val="2"/>
                <w:sz w:val="20"/>
                <w:szCs w:val="20"/>
                <w:u w:val="none" w:color="auto"/>
                <w:lang w:eastAsia="zh-CN"/>
              </w:rPr>
            </w:pPr>
            <w:r>
              <w:rPr>
                <w:rFonts w:hint="eastAsia" w:ascii="Times New Roman" w:hAnsi="Times New Roman" w:eastAsia="宋体" w:cs="Times New Roman"/>
                <w:b w:val="0"/>
                <w:bCs w:val="0"/>
                <w:spacing w:val="2"/>
                <w:sz w:val="20"/>
                <w:szCs w:val="20"/>
                <w:u w:val="none" w:color="auto"/>
                <w:lang w:eastAsia="zh-CN"/>
              </w:rPr>
              <w:t>有组织排放</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snapToGrid w:val="0"/>
                <w:color w:val="000000"/>
                <w:kern w:val="0"/>
                <w:sz w:val="20"/>
                <w:szCs w:val="20"/>
                <w:u w:val="none" w:color="auto"/>
                <w:lang w:val="en-US" w:eastAsia="zh-CN" w:bidi="ar-SA"/>
              </w:rPr>
            </w:pPr>
            <w:r>
              <w:rPr>
                <w:rFonts w:hint="eastAsia" w:ascii="Times New Roman" w:hAnsi="Times New Roman" w:eastAsia="宋体" w:cs="Times New Roman"/>
                <w:b w:val="0"/>
                <w:bCs w:val="0"/>
                <w:spacing w:val="2"/>
                <w:sz w:val="20"/>
                <w:szCs w:val="20"/>
                <w:u w:val="none" w:color="auto"/>
                <w:lang w:eastAsia="zh-CN"/>
              </w:rPr>
              <w:t>（</w:t>
            </w:r>
            <w:r>
              <w:rPr>
                <w:rFonts w:hint="eastAsia" w:ascii="Times New Roman" w:hAnsi="Times New Roman" w:eastAsia="宋体" w:cs="Times New Roman"/>
                <w:b w:val="0"/>
                <w:bCs w:val="0"/>
                <w:spacing w:val="2"/>
                <w:sz w:val="20"/>
                <w:szCs w:val="20"/>
                <w:u w:val="none" w:color="auto"/>
                <w:lang w:val="en-US" w:eastAsia="zh-CN"/>
              </w:rPr>
              <w:t>DA001</w:t>
            </w:r>
            <w:r>
              <w:rPr>
                <w:rFonts w:hint="eastAsia" w:ascii="Times New Roman" w:hAnsi="Times New Roman" w:eastAsia="宋体" w:cs="Times New Roman"/>
                <w:b w:val="0"/>
                <w:bCs w:val="0"/>
                <w:spacing w:val="2"/>
                <w:sz w:val="20"/>
                <w:szCs w:val="20"/>
                <w:u w:val="none" w:color="auto"/>
                <w:lang w:eastAsia="zh-CN"/>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8"/>
                <w:szCs w:val="18"/>
                <w:u w:val="none" w:color="auto"/>
              </w:rPr>
            </w:pPr>
            <w:r>
              <w:rPr>
                <w:rFonts w:hint="default" w:ascii="Times New Roman" w:hAnsi="Times New Roman" w:cs="Times New Roman"/>
                <w:sz w:val="20"/>
                <w:szCs w:val="20"/>
              </w:rPr>
              <w:t>0.</w:t>
            </w:r>
            <w:r>
              <w:rPr>
                <w:rFonts w:hint="eastAsia" w:ascii="Times New Roman" w:hAnsi="Times New Roman" w:eastAsia="宋体" w:cs="Times New Roman"/>
                <w:sz w:val="20"/>
                <w:szCs w:val="20"/>
                <w:lang w:val="en-US" w:eastAsia="zh-CN"/>
              </w:rPr>
              <w:t>1049</w:t>
            </w:r>
            <w:r>
              <w:rPr>
                <w:rFonts w:hint="default" w:ascii="Times New Roman" w:hAnsi="Times New Roman" w:cs="Times New Roman"/>
                <w:sz w:val="20"/>
                <w:szCs w:val="20"/>
              </w:rPr>
              <w:t>kg/h</w:t>
            </w:r>
            <w:r>
              <w:rPr>
                <w:rFonts w:hint="default" w:ascii="Times New Roman" w:hAnsi="Times New Roman" w:cs="Times New Roman"/>
                <w:sz w:val="20"/>
                <w:szCs w:val="20"/>
                <w:lang w:eastAsia="zh-CN"/>
              </w:rPr>
              <w:t>，</w:t>
            </w:r>
            <w:r>
              <w:rPr>
                <w:rFonts w:hint="eastAsia" w:ascii="Times New Roman" w:hAnsi="Times New Roman" w:cs="Times New Roman"/>
                <w:sz w:val="20"/>
                <w:szCs w:val="20"/>
                <w:lang w:val="en-US" w:eastAsia="zh-CN"/>
              </w:rPr>
              <w:t>0.07768</w:t>
            </w:r>
            <w:r>
              <w:rPr>
                <w:rFonts w:hint="default" w:ascii="Times New Roman" w:hAnsi="Times New Roman" w:cs="Times New Roman"/>
                <w:sz w:val="20"/>
                <w:szCs w:val="20"/>
                <w:lang w:val="en-US" w:eastAsia="zh-CN"/>
              </w:rPr>
              <w:t>t</w:t>
            </w:r>
            <w:r>
              <w:rPr>
                <w:rFonts w:hint="eastAsia" w:ascii="Times New Roman" w:hAnsi="Times New Roman" w:cs="Times New Roman"/>
                <w:sz w:val="20"/>
                <w:szCs w:val="20"/>
                <w:lang w:val="en-US" w:eastAsia="zh-CN"/>
              </w:rPr>
              <w: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88"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086"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3"/>
                <w:sz w:val="20"/>
                <w:szCs w:val="20"/>
                <w:u w:val="none" w:color="auto"/>
              </w:rPr>
              <w:t>H</w:t>
            </w:r>
            <w:r>
              <w:rPr>
                <w:rFonts w:ascii="Times New Roman" w:hAnsi="Times New Roman" w:eastAsia="Times New Roman" w:cs="Times New Roman"/>
                <w:b w:val="0"/>
                <w:bCs w:val="0"/>
                <w:spacing w:val="3"/>
                <w:position w:val="-1"/>
                <w:sz w:val="13"/>
                <w:szCs w:val="13"/>
                <w:u w:val="none" w:color="auto"/>
              </w:rPr>
              <w:t>2</w:t>
            </w:r>
            <w:r>
              <w:rPr>
                <w:rFonts w:ascii="Times New Roman" w:hAnsi="Times New Roman" w:eastAsia="Times New Roman" w:cs="Times New Roman"/>
                <w:b w:val="0"/>
                <w:bCs w:val="0"/>
                <w:spacing w:val="3"/>
                <w:sz w:val="20"/>
                <w:szCs w:val="20"/>
                <w:u w:val="none" w:color="auto"/>
              </w:rPr>
              <w:t>S</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2"/>
                <w:sz w:val="20"/>
                <w:szCs w:val="20"/>
                <w:u w:val="none" w:color="auto"/>
              </w:rPr>
              <w:t>/</w:t>
            </w:r>
          </w:p>
        </w:tc>
        <w:tc>
          <w:tcPr>
            <w:tcW w:w="1583"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p>
        </w:tc>
        <w:tc>
          <w:tcPr>
            <w:tcW w:w="1365"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b w:val="0"/>
                <w:bCs w:val="0"/>
                <w:snapToGrid w:val="0"/>
                <w:color w:val="000000"/>
                <w:kern w:val="0"/>
                <w:sz w:val="20"/>
                <w:szCs w:val="20"/>
                <w:u w:val="none" w:color="auto"/>
                <w:lang w:val="en-US" w:eastAsia="en-US" w:bidi="ar-SA"/>
              </w:rPr>
            </w:pP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8"/>
                <w:szCs w:val="18"/>
                <w:u w:val="none" w:color="auto"/>
              </w:rPr>
            </w:pPr>
            <w:r>
              <w:rPr>
                <w:rFonts w:hint="default" w:ascii="Times New Roman" w:hAnsi="Times New Roman" w:cs="Times New Roman"/>
                <w:sz w:val="20"/>
                <w:szCs w:val="20"/>
                <w:lang w:val="en-US" w:eastAsia="zh-CN"/>
              </w:rPr>
              <w:t>0.00</w:t>
            </w:r>
            <w:r>
              <w:rPr>
                <w:rFonts w:hint="eastAsia" w:ascii="Times New Roman" w:hAnsi="Times New Roman" w:cs="Times New Roman"/>
                <w:sz w:val="20"/>
                <w:szCs w:val="20"/>
                <w:lang w:val="en-US" w:eastAsia="zh-CN"/>
              </w:rPr>
              <w:t>8892</w:t>
            </w:r>
            <w:r>
              <w:rPr>
                <w:rFonts w:hint="default" w:ascii="Times New Roman" w:hAnsi="Times New Roman" w:cs="Times New Roman"/>
                <w:sz w:val="20"/>
                <w:szCs w:val="20"/>
              </w:rPr>
              <w:t>kg/h</w:t>
            </w:r>
            <w:r>
              <w:rPr>
                <w:rFonts w:hint="eastAsia" w:ascii="Times New Roman" w:hAnsi="Times New Roman" w:eastAsia="宋体" w:cs="Times New Roman"/>
                <w:sz w:val="20"/>
                <w:szCs w:val="20"/>
                <w:lang w:eastAsia="zh-CN"/>
              </w:rPr>
              <w:t>，</w:t>
            </w:r>
            <w:r>
              <w:rPr>
                <w:rFonts w:hint="eastAsia" w:ascii="Times New Roman" w:hAnsi="Times New Roman" w:eastAsia="宋体" w:cs="Times New Roman"/>
                <w:sz w:val="20"/>
                <w:szCs w:val="20"/>
                <w:lang w:val="en-US" w:eastAsia="zh-CN"/>
              </w:rPr>
              <w:t>0.00523</w:t>
            </w:r>
            <w:r>
              <w:rPr>
                <w:rFonts w:hint="default" w:ascii="Times New Roman" w:hAnsi="Times New Roman" w:cs="Times New Roman"/>
                <w:sz w:val="20"/>
                <w:szCs w:val="20"/>
                <w:lang w:val="en-US" w:eastAsia="zh-CN"/>
              </w:rPr>
              <w:t>t</w:t>
            </w:r>
            <w:r>
              <w:rPr>
                <w:rFonts w:hint="eastAsia" w:ascii="Times New Roman" w:hAnsi="Times New Roman" w:cs="Times New Roman"/>
                <w:sz w:val="20"/>
                <w:szCs w:val="20"/>
                <w:lang w:val="en-US" w:eastAsia="zh-CN"/>
              </w:rPr>
              <w: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568"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p>
        </w:tc>
        <w:tc>
          <w:tcPr>
            <w:tcW w:w="1086"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3"/>
                <w:szCs w:val="13"/>
                <w:u w:val="none" w:color="auto"/>
              </w:rPr>
            </w:pPr>
            <w:r>
              <w:rPr>
                <w:rFonts w:ascii="Times New Roman" w:hAnsi="Times New Roman" w:eastAsia="Times New Roman" w:cs="Times New Roman"/>
                <w:b w:val="0"/>
                <w:bCs w:val="0"/>
                <w:spacing w:val="7"/>
                <w:sz w:val="20"/>
                <w:szCs w:val="20"/>
                <w:u w:val="none" w:color="auto"/>
              </w:rPr>
              <w:t>NH</w:t>
            </w:r>
            <w:r>
              <w:rPr>
                <w:rFonts w:ascii="Times New Roman" w:hAnsi="Times New Roman" w:eastAsia="Times New Roman" w:cs="Times New Roman"/>
                <w:b w:val="0"/>
                <w:bCs w:val="0"/>
                <w:spacing w:val="7"/>
                <w:position w:val="-1"/>
                <w:sz w:val="13"/>
                <w:szCs w:val="13"/>
                <w:u w:val="none" w:color="auto"/>
              </w:rPr>
              <w:t>3</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2"/>
                <w:sz w:val="20"/>
                <w:szCs w:val="20"/>
                <w:u w:val="none" w:color="auto"/>
              </w:rPr>
              <w:t>/</w:t>
            </w:r>
          </w:p>
        </w:tc>
        <w:tc>
          <w:tcPr>
            <w:tcW w:w="1583"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p>
        </w:tc>
        <w:tc>
          <w:tcPr>
            <w:tcW w:w="1365"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2"/>
                <w:sz w:val="20"/>
                <w:szCs w:val="20"/>
                <w:u w:val="none" w:color="auto"/>
                <w:lang w:eastAsia="zh-CN"/>
              </w:rPr>
              <w:t>无组织排放</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8"/>
                <w:szCs w:val="18"/>
                <w:u w:val="none" w:color="auto"/>
              </w:rPr>
            </w:pPr>
            <w:r>
              <w:rPr>
                <w:rFonts w:hint="default" w:ascii="Times New Roman" w:hAnsi="Times New Roman" w:cs="Times New Roman"/>
                <w:sz w:val="20"/>
                <w:szCs w:val="20"/>
              </w:rPr>
              <w:t>0.</w:t>
            </w:r>
            <w:r>
              <w:rPr>
                <w:rFonts w:hint="eastAsia" w:ascii="Times New Roman" w:hAnsi="Times New Roman" w:eastAsia="宋体" w:cs="Times New Roman"/>
                <w:sz w:val="20"/>
                <w:szCs w:val="20"/>
                <w:lang w:val="en-US" w:eastAsia="zh-CN"/>
              </w:rPr>
              <w:t>13415</w:t>
            </w:r>
            <w:r>
              <w:rPr>
                <w:rFonts w:hint="default" w:ascii="Times New Roman" w:hAnsi="Times New Roman" w:cs="Times New Roman"/>
                <w:sz w:val="20"/>
                <w:szCs w:val="20"/>
              </w:rPr>
              <w:t>kg/h</w:t>
            </w:r>
            <w:r>
              <w:rPr>
                <w:rFonts w:hint="eastAsia" w:ascii="Times New Roman" w:hAnsi="Times New Roman" w:eastAsia="宋体" w:cs="Times New Roman"/>
                <w:sz w:val="20"/>
                <w:szCs w:val="20"/>
                <w:lang w:eastAsia="zh-CN"/>
              </w:rPr>
              <w:t>，</w:t>
            </w:r>
            <w:r>
              <w:rPr>
                <w:rFonts w:hint="eastAsia" w:ascii="Times New Roman" w:hAnsi="Times New Roman" w:eastAsia="宋体" w:cs="Times New Roman"/>
                <w:sz w:val="20"/>
                <w:szCs w:val="20"/>
                <w:lang w:val="en-US" w:eastAsia="zh-CN"/>
              </w:rPr>
              <w:t>0.0862</w:t>
            </w:r>
            <w:r>
              <w:rPr>
                <w:rFonts w:hint="default" w:ascii="Times New Roman" w:hAnsi="Times New Roman" w:cs="Times New Roman"/>
                <w:sz w:val="20"/>
                <w:szCs w:val="20"/>
                <w:lang w:val="en-US" w:eastAsia="zh-CN"/>
              </w:rPr>
              <w:t>t</w:t>
            </w:r>
            <w:r>
              <w:rPr>
                <w:rFonts w:hint="eastAsia" w:ascii="Times New Roman" w:hAnsi="Times New Roman" w:cs="Times New Roman"/>
                <w:sz w:val="20"/>
                <w:szCs w:val="20"/>
                <w:lang w:val="en-US" w:eastAsia="zh-CN"/>
              </w:rPr>
              <w: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02"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086"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3"/>
                <w:sz w:val="20"/>
                <w:szCs w:val="20"/>
                <w:u w:val="none" w:color="auto"/>
              </w:rPr>
              <w:t>H</w:t>
            </w:r>
            <w:r>
              <w:rPr>
                <w:rFonts w:ascii="Times New Roman" w:hAnsi="Times New Roman" w:eastAsia="Times New Roman" w:cs="Times New Roman"/>
                <w:b w:val="0"/>
                <w:bCs w:val="0"/>
                <w:spacing w:val="3"/>
                <w:position w:val="-1"/>
                <w:sz w:val="13"/>
                <w:szCs w:val="13"/>
                <w:u w:val="none" w:color="auto"/>
              </w:rPr>
              <w:t>2</w:t>
            </w:r>
            <w:r>
              <w:rPr>
                <w:rFonts w:ascii="Times New Roman" w:hAnsi="Times New Roman" w:eastAsia="Times New Roman" w:cs="Times New Roman"/>
                <w:b w:val="0"/>
                <w:bCs w:val="0"/>
                <w:spacing w:val="3"/>
                <w:sz w:val="20"/>
                <w:szCs w:val="20"/>
                <w:u w:val="none" w:color="auto"/>
              </w:rPr>
              <w:t>S</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2"/>
                <w:sz w:val="20"/>
                <w:szCs w:val="20"/>
                <w:u w:val="none" w:color="auto"/>
              </w:rPr>
              <w:t>/</w:t>
            </w:r>
          </w:p>
        </w:tc>
        <w:tc>
          <w:tcPr>
            <w:tcW w:w="1583" w:type="dxa"/>
            <w:vMerge w:val="continue"/>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b w:val="0"/>
                <w:bCs w:val="0"/>
                <w:u w:val="none" w:color="auto"/>
              </w:rPr>
            </w:pPr>
          </w:p>
        </w:tc>
        <w:tc>
          <w:tcPr>
            <w:tcW w:w="1365"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b w:val="0"/>
                <w:bCs w:val="0"/>
                <w:sz w:val="20"/>
                <w:szCs w:val="20"/>
                <w:u w:val="none" w:color="auto"/>
              </w:rPr>
            </w:pPr>
          </w:p>
        </w:tc>
        <w:tc>
          <w:tcPr>
            <w:tcW w:w="1637"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b w:val="0"/>
                <w:bCs w:val="0"/>
                <w:sz w:val="18"/>
                <w:szCs w:val="18"/>
                <w:u w:val="none" w:color="auto"/>
              </w:rPr>
            </w:pPr>
            <w:r>
              <w:rPr>
                <w:rFonts w:hint="default" w:ascii="Times New Roman" w:hAnsi="Times New Roman" w:cs="Times New Roman"/>
                <w:sz w:val="20"/>
                <w:szCs w:val="20"/>
                <w:lang w:val="en-US" w:eastAsia="zh-CN"/>
              </w:rPr>
              <w:t>0.00</w:t>
            </w:r>
            <w:r>
              <w:rPr>
                <w:rFonts w:hint="eastAsia" w:ascii="Times New Roman" w:hAnsi="Times New Roman" w:cs="Times New Roman"/>
                <w:sz w:val="20"/>
                <w:szCs w:val="20"/>
                <w:lang w:val="en-US" w:eastAsia="zh-CN"/>
              </w:rPr>
              <w:t>988</w:t>
            </w:r>
            <w:r>
              <w:rPr>
                <w:rFonts w:hint="default" w:ascii="Times New Roman" w:hAnsi="Times New Roman" w:cs="Times New Roman"/>
                <w:sz w:val="20"/>
                <w:szCs w:val="20"/>
              </w:rPr>
              <w:t>kg/h</w:t>
            </w:r>
            <w:r>
              <w:rPr>
                <w:rFonts w:hint="eastAsia" w:ascii="Times New Roman" w:hAnsi="Times New Roman" w:eastAsia="宋体" w:cs="Times New Roman"/>
                <w:sz w:val="20"/>
                <w:szCs w:val="20"/>
                <w:lang w:eastAsia="zh-CN"/>
              </w:rPr>
              <w:t>，</w:t>
            </w:r>
            <w:r>
              <w:rPr>
                <w:rFonts w:hint="eastAsia" w:ascii="Times New Roman" w:hAnsi="Times New Roman" w:eastAsia="宋体" w:cs="Times New Roman"/>
                <w:sz w:val="20"/>
                <w:szCs w:val="20"/>
                <w:lang w:val="en-US" w:eastAsia="zh-CN"/>
              </w:rPr>
              <w:t>0.00581</w:t>
            </w:r>
            <w:r>
              <w:rPr>
                <w:rFonts w:hint="default" w:ascii="Times New Roman" w:hAnsi="Times New Roman" w:cs="Times New Roman"/>
                <w:sz w:val="20"/>
                <w:szCs w:val="20"/>
                <w:lang w:val="en-US" w:eastAsia="zh-CN"/>
              </w:rPr>
              <w:t>t</w:t>
            </w:r>
            <w:r>
              <w:rPr>
                <w:rFonts w:hint="eastAsia" w:ascii="Times New Roman" w:hAnsi="Times New Roman" w:cs="Times New Roman"/>
                <w:sz w:val="20"/>
                <w:szCs w:val="20"/>
                <w:lang w:val="en-US" w:eastAsia="zh-CN"/>
              </w:rPr>
              <w: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职工食堂</w:t>
            </w:r>
          </w:p>
        </w:tc>
        <w:tc>
          <w:tcPr>
            <w:tcW w:w="1086"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3"/>
                <w:u w:val="none" w:color="auto"/>
              </w:rPr>
              <w:t>油烟</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3"/>
                <w:szCs w:val="13"/>
                <w:u w:val="none" w:color="auto"/>
              </w:rPr>
            </w:pPr>
            <w:r>
              <w:rPr>
                <w:rFonts w:hint="eastAsia" w:ascii="Times New Roman" w:hAnsi="Times New Roman" w:eastAsia="宋体" w:cs="Times New Roman"/>
                <w:b w:val="0"/>
                <w:bCs w:val="0"/>
                <w:spacing w:val="-1"/>
                <w:sz w:val="20"/>
                <w:szCs w:val="20"/>
                <w:u w:val="none" w:color="auto"/>
                <w:lang w:val="en-US" w:eastAsia="zh-CN"/>
              </w:rPr>
              <w:t>5.63</w:t>
            </w:r>
            <w:r>
              <w:rPr>
                <w:rFonts w:ascii="Times New Roman" w:hAnsi="Times New Roman" w:eastAsia="Times New Roman" w:cs="Times New Roman"/>
                <w:b w:val="0"/>
                <w:bCs w:val="0"/>
                <w:spacing w:val="-1"/>
                <w:sz w:val="20"/>
                <w:szCs w:val="20"/>
                <w:u w:val="none" w:color="auto"/>
              </w:rPr>
              <w:t>mg/m</w:t>
            </w:r>
            <w:r>
              <w:rPr>
                <w:rFonts w:ascii="Times New Roman" w:hAnsi="Times New Roman" w:eastAsia="Times New Roman" w:cs="Times New Roman"/>
                <w:b w:val="0"/>
                <w:bCs w:val="0"/>
                <w:spacing w:val="-1"/>
                <w:position w:val="6"/>
                <w:sz w:val="13"/>
                <w:szCs w:val="13"/>
                <w:u w:val="none" w:color="auto"/>
              </w:rPr>
              <w:t>3</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3"/>
                <w:sz w:val="20"/>
                <w:szCs w:val="20"/>
                <w:u w:val="none" w:color="auto"/>
                <w:lang w:val="en-US" w:eastAsia="zh-CN"/>
              </w:rPr>
              <w:t>14.4kg</w:t>
            </w:r>
            <w:r>
              <w:rPr>
                <w:rFonts w:ascii="Times New Roman" w:hAnsi="Times New Roman" w:eastAsia="Times New Roman" w:cs="Times New Roman"/>
                <w:b w:val="0"/>
                <w:bCs w:val="0"/>
                <w:spacing w:val="3"/>
                <w:sz w:val="20"/>
                <w:szCs w:val="20"/>
                <w:u w:val="none" w:color="auto"/>
              </w:rPr>
              <w:t>/a</w:t>
            </w:r>
          </w:p>
        </w:tc>
        <w:tc>
          <w:tcPr>
            <w:tcW w:w="136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3"/>
                <w:szCs w:val="13"/>
                <w:u w:val="none" w:color="auto"/>
              </w:rPr>
            </w:pPr>
            <w:r>
              <w:rPr>
                <w:rFonts w:ascii="Times New Roman" w:hAnsi="Times New Roman" w:eastAsia="Times New Roman" w:cs="Times New Roman"/>
                <w:b w:val="0"/>
                <w:bCs w:val="0"/>
                <w:spacing w:val="2"/>
                <w:sz w:val="20"/>
                <w:szCs w:val="20"/>
                <w:u w:val="none" w:color="auto"/>
              </w:rPr>
              <w:t>0.</w:t>
            </w:r>
            <w:r>
              <w:rPr>
                <w:rFonts w:hint="eastAsia" w:ascii="Times New Roman" w:hAnsi="Times New Roman" w:eastAsia="宋体" w:cs="Times New Roman"/>
                <w:b w:val="0"/>
                <w:bCs w:val="0"/>
                <w:spacing w:val="2"/>
                <w:sz w:val="20"/>
                <w:szCs w:val="20"/>
                <w:u w:val="none" w:color="auto"/>
                <w:lang w:val="en-US" w:eastAsia="zh-CN"/>
              </w:rPr>
              <w:t>56</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2"/>
                <w:sz w:val="20"/>
                <w:szCs w:val="20"/>
                <w:u w:val="none" w:color="auto"/>
              </w:rPr>
              <w:t>/m</w:t>
            </w:r>
            <w:r>
              <w:rPr>
                <w:rFonts w:ascii="Times New Roman" w:hAnsi="Times New Roman" w:eastAsia="Times New Roman" w:cs="Times New Roman"/>
                <w:b w:val="0"/>
                <w:bCs w:val="0"/>
                <w:spacing w:val="2"/>
                <w:position w:val="6"/>
                <w:sz w:val="13"/>
                <w:szCs w:val="13"/>
                <w:u w:val="none" w:color="auto"/>
              </w:rPr>
              <w:t>3</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3"/>
                <w:sz w:val="20"/>
                <w:szCs w:val="20"/>
                <w:u w:val="none" w:color="auto"/>
                <w:lang w:val="en-US" w:eastAsia="zh-CN"/>
              </w:rPr>
              <w:t>1.44kg</w:t>
            </w:r>
            <w:r>
              <w:rPr>
                <w:rFonts w:ascii="Times New Roman" w:hAnsi="Times New Roman" w:eastAsia="Times New Roman" w:cs="Times New Roman"/>
                <w:b w:val="0"/>
                <w:bCs w:val="0"/>
                <w:spacing w:val="3"/>
                <w:sz w:val="20"/>
                <w:szCs w:val="20"/>
                <w:u w:val="none" w:color="auto"/>
              </w:rPr>
              <w: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73" w:hRule="atLeast"/>
          <w:jc w:val="center"/>
        </w:trPr>
        <w:tc>
          <w:tcPr>
            <w:tcW w:w="682"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废水</w:t>
            </w:r>
          </w:p>
        </w:tc>
        <w:tc>
          <w:tcPr>
            <w:tcW w:w="1622" w:type="dxa"/>
            <w:gridSpan w:val="2"/>
            <w:vMerge w:val="restart"/>
            <w:tcBorders>
              <w:tl2br w:val="nil"/>
              <w:tr2bl w:val="nil"/>
            </w:tcBorders>
            <w:vAlign w:val="center"/>
          </w:tcPr>
          <w:p>
            <w:pPr>
              <w:jc w:val="center"/>
            </w:pPr>
            <w:r>
              <w:t>污水站</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3"/>
                <w:sz w:val="20"/>
                <w:szCs w:val="20"/>
                <w:u w:val="none" w:color="auto"/>
                <w:lang w:val="en-US" w:eastAsia="zh-CN"/>
              </w:rPr>
              <w:t>255.54</w:t>
            </w:r>
            <w:r>
              <w:rPr>
                <w:rFonts w:ascii="Times New Roman" w:hAnsi="Times New Roman" w:eastAsia="Times New Roman" w:cs="Times New Roman"/>
                <w:b w:val="0"/>
                <w:bCs w:val="0"/>
                <w:spacing w:val="3"/>
                <w:sz w:val="20"/>
                <w:szCs w:val="20"/>
                <w:u w:val="none" w:color="auto"/>
              </w:rPr>
              <w:t>m</w:t>
            </w:r>
            <w:r>
              <w:rPr>
                <w:rFonts w:ascii="Times New Roman" w:hAnsi="Times New Roman" w:eastAsia="Times New Roman" w:cs="Times New Roman"/>
                <w:b w:val="0"/>
                <w:bCs w:val="0"/>
                <w:spacing w:val="3"/>
                <w:position w:val="6"/>
                <w:sz w:val="13"/>
                <w:szCs w:val="13"/>
                <w:u w:val="none" w:color="auto"/>
              </w:rPr>
              <w:t>3</w:t>
            </w:r>
            <w:r>
              <w:rPr>
                <w:rFonts w:ascii="Times New Roman" w:hAnsi="Times New Roman" w:eastAsia="Times New Roman" w:cs="Times New Roman"/>
                <w:b w:val="0"/>
                <w:bCs w:val="0"/>
                <w:spacing w:val="3"/>
                <w:sz w:val="20"/>
                <w:szCs w:val="20"/>
                <w:u w:val="none" w:color="auto"/>
              </w:rPr>
              <w:t>/d</w:t>
            </w:r>
          </w:p>
          <w:p>
            <w:pPr>
              <w:pStyle w:val="25"/>
              <w:keepNext w:val="0"/>
              <w:keepLines w:val="0"/>
              <w:pageBreakBefore w:val="0"/>
              <w:widowControl w:val="0"/>
              <w:tabs>
                <w:tab w:val="left" w:pos="263"/>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rFonts w:hint="eastAsia" w:ascii="Times New Roman" w:hAnsi="Times New Roman" w:cs="Times New Roman"/>
                <w:b w:val="0"/>
                <w:bCs w:val="0"/>
                <w:spacing w:val="-8"/>
                <w:u w:val="none" w:color="auto"/>
                <w:lang w:val="en-US" w:eastAsia="zh-CN"/>
              </w:rPr>
              <w:t>81772.8</w:t>
            </w:r>
            <w:r>
              <w:rPr>
                <w:rFonts w:ascii="Times New Roman" w:hAnsi="Times New Roman" w:eastAsia="Times New Roman" w:cs="Times New Roman"/>
                <w:b w:val="0"/>
                <w:bCs w:val="0"/>
                <w:spacing w:val="-8"/>
                <w:u w:val="none" w:color="auto"/>
              </w:rPr>
              <w:t>m</w:t>
            </w:r>
            <w:r>
              <w:rPr>
                <w:rFonts w:ascii="Times New Roman" w:hAnsi="Times New Roman" w:eastAsia="Times New Roman" w:cs="Times New Roman"/>
                <w:b w:val="0"/>
                <w:bCs w:val="0"/>
                <w:spacing w:val="5"/>
                <w:position w:val="6"/>
                <w:sz w:val="13"/>
                <w:szCs w:val="13"/>
                <w:u w:val="none" w:color="auto"/>
              </w:rPr>
              <w:t>3</w:t>
            </w:r>
            <w:r>
              <w:rPr>
                <w:rFonts w:ascii="Times New Roman" w:hAnsi="Times New Roman" w:eastAsia="Times New Roman" w:cs="Times New Roman"/>
                <w:b w:val="0"/>
                <w:bCs w:val="0"/>
                <w:spacing w:val="5"/>
                <w:u w:val="none" w:color="auto"/>
              </w:rPr>
              <w:t>/a</w:t>
            </w:r>
          </w:p>
        </w:tc>
        <w:tc>
          <w:tcPr>
            <w:tcW w:w="1086"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4"/>
                <w:sz w:val="20"/>
                <w:szCs w:val="20"/>
                <w:u w:val="none" w:color="auto"/>
              </w:rPr>
              <w:t>COD</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4"/>
                <w:sz w:val="20"/>
                <w:szCs w:val="20"/>
                <w:u w:val="none" w:color="auto"/>
              </w:rPr>
              <w:t>19</w:t>
            </w:r>
            <w:r>
              <w:rPr>
                <w:rFonts w:hint="eastAsia" w:ascii="Times New Roman" w:hAnsi="Times New Roman" w:eastAsia="宋体" w:cs="Times New Roman"/>
                <w:b w:val="0"/>
                <w:bCs w:val="0"/>
                <w:spacing w:val="4"/>
                <w:sz w:val="20"/>
                <w:szCs w:val="20"/>
                <w:u w:val="none" w:color="auto"/>
                <w:lang w:val="en-US" w:eastAsia="zh-CN"/>
              </w:rPr>
              <w:t>18</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583"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156.8</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jc w:val="center"/>
              <w:rPr>
                <w:rFonts w:hint="eastAsia"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222</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37"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18.2</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086"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3"/>
                <w:szCs w:val="13"/>
                <w:u w:val="none" w:color="auto"/>
              </w:rPr>
            </w:pPr>
            <w:r>
              <w:rPr>
                <w:rFonts w:ascii="Times New Roman" w:hAnsi="Times New Roman" w:eastAsia="Times New Roman" w:cs="Times New Roman"/>
                <w:b w:val="0"/>
                <w:bCs w:val="0"/>
                <w:sz w:val="20"/>
                <w:szCs w:val="20"/>
                <w:u w:val="none" w:color="auto"/>
              </w:rPr>
              <w:t>BOD</w:t>
            </w:r>
            <w:r>
              <w:rPr>
                <w:rFonts w:ascii="Times New Roman" w:hAnsi="Times New Roman" w:eastAsia="Times New Roman" w:cs="Times New Roman"/>
                <w:b w:val="0"/>
                <w:bCs w:val="0"/>
                <w:spacing w:val="19"/>
                <w:position w:val="-1"/>
                <w:sz w:val="13"/>
                <w:szCs w:val="13"/>
                <w:u w:val="none" w:color="auto"/>
              </w:rPr>
              <w:t>5</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5"/>
                <w:sz w:val="20"/>
                <w:szCs w:val="20"/>
                <w:u w:val="none" w:color="auto"/>
              </w:rPr>
              <w:t>86</w:t>
            </w:r>
            <w:r>
              <w:rPr>
                <w:rFonts w:hint="eastAsia" w:ascii="Times New Roman" w:hAnsi="Times New Roman" w:eastAsia="宋体" w:cs="Times New Roman"/>
                <w:b w:val="0"/>
                <w:bCs w:val="0"/>
                <w:spacing w:val="5"/>
                <w:sz w:val="20"/>
                <w:szCs w:val="20"/>
                <w:u w:val="none" w:color="auto"/>
                <w:lang w:val="en-US" w:eastAsia="zh-CN"/>
              </w:rPr>
              <w:t>8</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5"/>
                <w:sz w:val="20"/>
                <w:szCs w:val="20"/>
                <w:u w:val="none" w:color="auto"/>
              </w:rPr>
              <w:t>/L</w:t>
            </w:r>
          </w:p>
        </w:tc>
        <w:tc>
          <w:tcPr>
            <w:tcW w:w="1583"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71.0</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jc w:val="center"/>
              <w:rPr>
                <w:rFonts w:hint="eastAsia"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10</w:t>
            </w:r>
            <w:r>
              <w:rPr>
                <w:rFonts w:hint="eastAsia" w:ascii="Times New Roman" w:hAnsi="Times New Roman" w:eastAsia="宋体" w:cs="Times New Roman"/>
                <w:sz w:val="20"/>
                <w:szCs w:val="20"/>
                <w:lang w:val="en-US" w:eastAsia="zh-CN"/>
              </w:rPr>
              <w:t>4</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37"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8.5</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086"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1"/>
                <w:sz w:val="20"/>
                <w:szCs w:val="20"/>
                <w:u w:val="none" w:color="auto"/>
              </w:rPr>
              <w:t>SS</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5"/>
                <w:sz w:val="20"/>
                <w:szCs w:val="20"/>
                <w:u w:val="none" w:color="auto"/>
              </w:rPr>
              <w:t>9</w:t>
            </w:r>
            <w:r>
              <w:rPr>
                <w:rFonts w:hint="eastAsia" w:ascii="Times New Roman" w:hAnsi="Times New Roman" w:eastAsia="宋体" w:cs="Times New Roman"/>
                <w:b w:val="0"/>
                <w:bCs w:val="0"/>
                <w:spacing w:val="5"/>
                <w:sz w:val="20"/>
                <w:szCs w:val="20"/>
                <w:u w:val="none" w:color="auto"/>
                <w:lang w:val="en-US" w:eastAsia="zh-CN"/>
              </w:rPr>
              <w:t>63</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5"/>
                <w:sz w:val="20"/>
                <w:szCs w:val="20"/>
                <w:u w:val="none" w:color="auto"/>
              </w:rPr>
              <w:t>/L</w:t>
            </w:r>
          </w:p>
        </w:tc>
        <w:tc>
          <w:tcPr>
            <w:tcW w:w="1583"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78.7</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92.4</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37"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7.6</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086"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NH</w:t>
            </w:r>
            <w:r>
              <w:rPr>
                <w:rFonts w:ascii="Times New Roman" w:hAnsi="Times New Roman" w:eastAsia="Times New Roman" w:cs="Times New Roman"/>
                <w:b w:val="0"/>
                <w:bCs w:val="0"/>
                <w:spacing w:val="7"/>
                <w:position w:val="-1"/>
                <w:sz w:val="13"/>
                <w:szCs w:val="13"/>
                <w:u w:val="none" w:color="auto"/>
              </w:rPr>
              <w:t>3</w:t>
            </w:r>
            <w:r>
              <w:rPr>
                <w:rFonts w:ascii="Times New Roman" w:hAnsi="Times New Roman" w:eastAsia="Times New Roman" w:cs="Times New Roman"/>
                <w:b w:val="0"/>
                <w:bCs w:val="0"/>
                <w:spacing w:val="7"/>
                <w:sz w:val="20"/>
                <w:szCs w:val="20"/>
                <w:u w:val="none" w:color="auto"/>
              </w:rPr>
              <w:t>-N</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6"/>
                <w:sz w:val="20"/>
                <w:szCs w:val="20"/>
                <w:u w:val="none" w:color="auto"/>
              </w:rPr>
              <w:t>9</w:t>
            </w:r>
            <w:r>
              <w:rPr>
                <w:rFonts w:hint="eastAsia" w:ascii="Times New Roman" w:hAnsi="Times New Roman" w:eastAsia="宋体" w:cs="Times New Roman"/>
                <w:b w:val="0"/>
                <w:bCs w:val="0"/>
                <w:spacing w:val="6"/>
                <w:sz w:val="20"/>
                <w:szCs w:val="20"/>
                <w:u w:val="none" w:color="auto"/>
                <w:lang w:val="en-US" w:eastAsia="zh-CN"/>
              </w:rPr>
              <w:t>6</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6"/>
                <w:sz w:val="20"/>
                <w:szCs w:val="20"/>
                <w:u w:val="none" w:color="auto"/>
              </w:rPr>
              <w:t>/L</w:t>
            </w:r>
          </w:p>
        </w:tc>
        <w:tc>
          <w:tcPr>
            <w:tcW w:w="1583" w:type="dxa"/>
            <w:tcBorders>
              <w:tl2br w:val="nil"/>
              <w:tr2bl w:val="nil"/>
            </w:tcBorders>
            <w:vAlign w:val="center"/>
          </w:tcPr>
          <w:p>
            <w:pPr>
              <w:jc w:val="center"/>
              <w:rPr>
                <w:rFonts w:hint="eastAsia"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7.85</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18.2</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37"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1.49</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086" w:type="dxa"/>
            <w:tcBorders>
              <w:tl2br w:val="nil"/>
              <w:tr2bl w:val="nil"/>
            </w:tcBorders>
            <w:vAlign w:val="center"/>
          </w:tcPr>
          <w:p>
            <w:pPr>
              <w:jc w:val="center"/>
              <w:rPr>
                <w:sz w:val="20"/>
                <w:szCs w:val="20"/>
              </w:rPr>
            </w:pPr>
            <w:r>
              <w:rPr>
                <w:sz w:val="20"/>
                <w:szCs w:val="20"/>
              </w:rPr>
              <w:t>总磷</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4"/>
                <w:sz w:val="20"/>
                <w:szCs w:val="20"/>
                <w:u w:val="none" w:color="auto"/>
              </w:rPr>
              <w:t>1</w:t>
            </w:r>
            <w:r>
              <w:rPr>
                <w:rFonts w:hint="eastAsia" w:ascii="Times New Roman" w:hAnsi="Times New Roman" w:eastAsia="宋体" w:cs="Times New Roman"/>
                <w:b w:val="0"/>
                <w:bCs w:val="0"/>
                <w:spacing w:val="4"/>
                <w:sz w:val="20"/>
                <w:szCs w:val="20"/>
                <w:u w:val="none" w:color="auto"/>
                <w:lang w:val="en-US" w:eastAsia="zh-CN"/>
              </w:rPr>
              <w:t>1.6</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583"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sz w:val="20"/>
                <w:szCs w:val="20"/>
              </w:rPr>
              <w:t>0.</w:t>
            </w:r>
            <w:r>
              <w:rPr>
                <w:rFonts w:hint="eastAsia" w:ascii="Times New Roman" w:hAnsi="Times New Roman" w:eastAsia="宋体" w:cs="Times New Roman"/>
                <w:sz w:val="20"/>
                <w:szCs w:val="20"/>
                <w:lang w:val="en-US" w:eastAsia="zh-CN"/>
              </w:rPr>
              <w:t>95</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1.8</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37" w:type="dxa"/>
            <w:tcBorders>
              <w:tl2br w:val="nil"/>
              <w:tr2bl w:val="nil"/>
            </w:tcBorders>
            <w:vAlign w:val="center"/>
          </w:tcPr>
          <w:p>
            <w:pPr>
              <w:jc w:val="center"/>
              <w:rPr>
                <w:rFonts w:hint="eastAsia" w:ascii="Times New Roman" w:hAnsi="Times New Roman" w:eastAsia="宋体" w:cs="Times New Roman"/>
                <w:snapToGrid w:val="0"/>
                <w:color w:val="000000"/>
                <w:kern w:val="0"/>
                <w:sz w:val="18"/>
                <w:szCs w:val="18"/>
                <w:lang w:val="en-US" w:eastAsia="zh-CN" w:bidi="ar-SA"/>
              </w:rPr>
            </w:pPr>
            <w:r>
              <w:rPr>
                <w:rFonts w:hint="default" w:ascii="Times New Roman" w:hAnsi="Times New Roman" w:cs="Times New Roman"/>
                <w:sz w:val="20"/>
                <w:szCs w:val="20"/>
              </w:rPr>
              <w:t>0.</w:t>
            </w:r>
            <w:r>
              <w:rPr>
                <w:rFonts w:hint="eastAsia" w:ascii="Times New Roman" w:hAnsi="Times New Roman" w:eastAsia="宋体" w:cs="Times New Roman"/>
                <w:sz w:val="20"/>
                <w:szCs w:val="20"/>
                <w:lang w:val="en-US" w:eastAsia="zh-CN"/>
              </w:rPr>
              <w:t>15</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086" w:type="dxa"/>
            <w:tcBorders>
              <w:tl2br w:val="nil"/>
              <w:tr2bl w:val="nil"/>
            </w:tcBorders>
            <w:vAlign w:val="center"/>
          </w:tcPr>
          <w:p>
            <w:pPr>
              <w:jc w:val="center"/>
              <w:rPr>
                <w:sz w:val="20"/>
                <w:szCs w:val="20"/>
              </w:rPr>
            </w:pPr>
            <w:r>
              <w:rPr>
                <w:sz w:val="20"/>
                <w:szCs w:val="20"/>
              </w:rPr>
              <w:t>总氮</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4"/>
                <w:sz w:val="20"/>
                <w:szCs w:val="20"/>
                <w:u w:val="none" w:color="auto"/>
                <w:lang w:val="en-US" w:eastAsia="zh-CN"/>
              </w:rPr>
              <w:t>204</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583"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16.7</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30.6</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37"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2.5</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1"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22" w:type="dxa"/>
            <w:gridSpan w:val="2"/>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086" w:type="dxa"/>
            <w:tcBorders>
              <w:tl2br w:val="nil"/>
              <w:tr2bl w:val="nil"/>
            </w:tcBorders>
            <w:vAlign w:val="center"/>
          </w:tcPr>
          <w:p>
            <w:pPr>
              <w:jc w:val="center"/>
              <w:rPr>
                <w:sz w:val="20"/>
                <w:szCs w:val="20"/>
              </w:rPr>
            </w:pPr>
            <w:r>
              <w:rPr>
                <w:sz w:val="20"/>
                <w:szCs w:val="20"/>
              </w:rPr>
              <w:t>动植物油</w:t>
            </w:r>
          </w:p>
        </w:tc>
        <w:tc>
          <w:tcPr>
            <w:tcW w:w="120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4"/>
                <w:sz w:val="20"/>
                <w:szCs w:val="20"/>
                <w:u w:val="none" w:color="auto"/>
              </w:rPr>
              <w:t>1</w:t>
            </w:r>
            <w:r>
              <w:rPr>
                <w:rFonts w:hint="eastAsia" w:ascii="Times New Roman" w:hAnsi="Times New Roman" w:eastAsia="宋体" w:cs="Times New Roman"/>
                <w:b w:val="0"/>
                <w:bCs w:val="0"/>
                <w:spacing w:val="4"/>
                <w:sz w:val="20"/>
                <w:szCs w:val="20"/>
                <w:u w:val="none" w:color="auto"/>
                <w:lang w:val="en-US" w:eastAsia="zh-CN"/>
              </w:rPr>
              <w:t>44</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583"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11.8</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27.2</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37" w:type="dxa"/>
            <w:tcBorders>
              <w:tl2br w:val="nil"/>
              <w:tr2bl w:val="nil"/>
            </w:tcBorders>
            <w:vAlign w:val="center"/>
          </w:tcPr>
          <w:p>
            <w:pPr>
              <w:jc w:val="center"/>
              <w:rPr>
                <w:rFonts w:hint="default"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z w:val="20"/>
                <w:szCs w:val="20"/>
                <w:lang w:val="en-US" w:eastAsia="zh-CN"/>
              </w:rPr>
              <w:t>2.2</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45" w:hRule="atLeast"/>
          <w:jc w:val="center"/>
        </w:trPr>
        <w:tc>
          <w:tcPr>
            <w:tcW w:w="682"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spacing w:val="-5"/>
                <w:u w:val="none" w:color="auto"/>
              </w:rPr>
            </w:pPr>
            <w:r>
              <w:rPr>
                <w:b w:val="0"/>
                <w:bCs w:val="0"/>
                <w:spacing w:val="-5"/>
                <w:u w:val="none" w:color="auto"/>
              </w:rPr>
              <w:t>固体</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废物</w:t>
            </w:r>
          </w:p>
        </w:tc>
        <w:tc>
          <w:tcPr>
            <w:tcW w:w="86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spacing w:val="5"/>
                <w:u w:val="none" w:color="auto"/>
              </w:rPr>
            </w:pPr>
            <w:r>
              <w:rPr>
                <w:b w:val="0"/>
                <w:bCs w:val="0"/>
                <w:spacing w:val="5"/>
                <w:u w:val="none" w:color="auto"/>
              </w:rPr>
              <w:t>一般</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固</w:t>
            </w:r>
            <w:r>
              <w:rPr>
                <w:b w:val="0"/>
                <w:bCs w:val="0"/>
                <w:spacing w:val="1"/>
                <w:u w:val="none" w:color="auto"/>
              </w:rPr>
              <w:t>废</w:t>
            </w: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粪便</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2"/>
                <w:sz w:val="20"/>
                <w:szCs w:val="20"/>
                <w:u w:val="none" w:color="auto"/>
                <w:lang w:val="en-US" w:eastAsia="zh-CN"/>
              </w:rPr>
              <w:t>172.8</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86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肠胃内容物</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3"/>
                <w:sz w:val="20"/>
                <w:szCs w:val="20"/>
                <w:u w:val="none" w:color="auto"/>
                <w:lang w:val="en-US" w:eastAsia="zh-CN"/>
              </w:rPr>
              <w:t>325</w:t>
            </w:r>
            <w:r>
              <w:rPr>
                <w:rFonts w:ascii="Times New Roman" w:hAnsi="Times New Roman" w:eastAsia="Times New Roman" w:cs="Times New Roman"/>
                <w:b w:val="0"/>
                <w:bCs w:val="0"/>
                <w:spacing w:val="3"/>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86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污水处理站污泥</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z w:val="20"/>
                <w:szCs w:val="20"/>
                <w:u w:val="none" w:color="auto"/>
                <w:lang w:val="en-US" w:eastAsia="zh-CN"/>
              </w:rPr>
              <w:t>125</w:t>
            </w:r>
            <w:r>
              <w:rPr>
                <w:rFonts w:ascii="Times New Roman" w:hAnsi="Times New Roman" w:eastAsia="Times New Roman" w:cs="Times New Roman"/>
                <w:b w:val="0"/>
                <w:bCs w:val="0"/>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86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栅渣</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1"/>
                <w:sz w:val="20"/>
                <w:szCs w:val="20"/>
                <w:u w:val="none" w:color="auto"/>
                <w:lang w:val="en-US" w:eastAsia="zh-CN"/>
              </w:rPr>
              <w:t>4</w:t>
            </w:r>
            <w:r>
              <w:rPr>
                <w:rFonts w:ascii="Times New Roman" w:hAnsi="Times New Roman" w:eastAsia="Times New Roman" w:cs="Times New Roman"/>
                <w:b w:val="0"/>
                <w:bCs w:val="0"/>
                <w:spacing w:val="1"/>
                <w:sz w:val="20"/>
                <w:szCs w:val="20"/>
                <w:u w:val="none" w:color="auto"/>
              </w:rPr>
              <w:t>.</w:t>
            </w:r>
            <w:r>
              <w:rPr>
                <w:rFonts w:hint="eastAsia" w:ascii="Times New Roman" w:hAnsi="Times New Roman" w:eastAsia="宋体" w:cs="Times New Roman"/>
                <w:b w:val="0"/>
                <w:bCs w:val="0"/>
                <w:spacing w:val="1"/>
                <w:sz w:val="20"/>
                <w:szCs w:val="20"/>
                <w:u w:val="none" w:color="auto"/>
                <w:lang w:val="en-US" w:eastAsia="zh-CN"/>
              </w:rPr>
              <w:t>4</w:t>
            </w:r>
            <w:r>
              <w:rPr>
                <w:rFonts w:ascii="Times New Roman" w:hAnsi="Times New Roman" w:eastAsia="Times New Roman" w:cs="Times New Roman"/>
                <w:b w:val="0"/>
                <w:bCs w:val="0"/>
                <w:spacing w:val="1"/>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86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u w:val="none" w:color="auto"/>
              </w:rPr>
              <w:t>生活垃圾</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3"/>
                <w:sz w:val="20"/>
                <w:szCs w:val="20"/>
                <w:u w:val="none" w:color="auto"/>
                <w:lang w:val="en-US" w:eastAsia="zh-CN"/>
              </w:rPr>
              <w:t>8</w:t>
            </w:r>
            <w:r>
              <w:rPr>
                <w:rFonts w:ascii="Times New Roman" w:hAnsi="Times New Roman" w:eastAsia="Times New Roman" w:cs="Times New Roman"/>
                <w:b w:val="0"/>
                <w:bCs w:val="0"/>
                <w:spacing w:val="3"/>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86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病死</w:t>
            </w:r>
            <w:r>
              <w:rPr>
                <w:rFonts w:hint="eastAsia"/>
                <w:b w:val="0"/>
                <w:bCs w:val="0"/>
                <w:spacing w:val="7"/>
                <w:u w:val="none" w:color="auto"/>
                <w:lang w:eastAsia="zh-CN"/>
              </w:rPr>
              <w:t>牛</w:t>
            </w:r>
            <w:r>
              <w:rPr>
                <w:b w:val="0"/>
                <w:bCs w:val="0"/>
                <w:spacing w:val="7"/>
                <w:u w:val="none" w:color="auto"/>
              </w:rPr>
              <w:t>羊</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1"/>
                <w:sz w:val="20"/>
                <w:szCs w:val="20"/>
                <w:u w:val="none" w:color="auto"/>
                <w:lang w:val="en-US" w:eastAsia="zh-CN"/>
              </w:rPr>
              <w:t>1.25</w:t>
            </w:r>
            <w:r>
              <w:rPr>
                <w:rFonts w:ascii="Times New Roman" w:hAnsi="Times New Roman" w:eastAsia="Times New Roman" w:cs="Times New Roman"/>
                <w:b w:val="0"/>
                <w:bCs w:val="0"/>
                <w:spacing w:val="1"/>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86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不合格肉品</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hint="eastAsia" w:ascii="Times New Roman" w:hAnsi="Times New Roman" w:eastAsia="宋体" w:cs="Times New Roman"/>
                <w:b w:val="0"/>
                <w:bCs w:val="0"/>
                <w:spacing w:val="-1"/>
                <w:sz w:val="20"/>
                <w:szCs w:val="20"/>
                <w:u w:val="none" w:color="auto"/>
                <w:lang w:val="en-US" w:eastAsia="zh-CN"/>
              </w:rPr>
              <w:t>25</w:t>
            </w:r>
            <w:r>
              <w:rPr>
                <w:rFonts w:ascii="Times New Roman" w:hAnsi="Times New Roman" w:eastAsia="Times New Roman" w:cs="Times New Roman"/>
                <w:b w:val="0"/>
                <w:bCs w:val="0"/>
                <w:spacing w:val="-1"/>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861"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b w:val="0"/>
                <w:bCs w:val="0"/>
                <w:sz w:val="20"/>
                <w:szCs w:val="20"/>
                <w:u w:val="none" w:color="auto"/>
                <w:lang w:eastAsia="zh-CN"/>
              </w:rPr>
            </w:pPr>
            <w:r>
              <w:rPr>
                <w:rFonts w:hint="eastAsia" w:eastAsia="宋体"/>
                <w:b w:val="0"/>
                <w:bCs w:val="0"/>
                <w:sz w:val="20"/>
                <w:szCs w:val="20"/>
                <w:u w:val="none" w:color="auto"/>
                <w:lang w:eastAsia="zh-CN"/>
              </w:rPr>
              <w:t>危险</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Arial" w:eastAsia="宋体"/>
                <w:b w:val="0"/>
                <w:bCs w:val="0"/>
                <w:sz w:val="20"/>
                <w:szCs w:val="20"/>
                <w:u w:val="none" w:color="auto"/>
                <w:lang w:eastAsia="zh-CN"/>
              </w:rPr>
            </w:pPr>
            <w:r>
              <w:rPr>
                <w:rFonts w:hint="eastAsia" w:eastAsia="宋体"/>
                <w:b w:val="0"/>
                <w:bCs w:val="0"/>
                <w:sz w:val="20"/>
                <w:szCs w:val="20"/>
                <w:u w:val="none" w:color="auto"/>
                <w:lang w:eastAsia="zh-CN"/>
              </w:rPr>
              <w:t>废物</w:t>
            </w: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b w:val="0"/>
                <w:bCs w:val="0"/>
                <w:snapToGrid w:val="0"/>
                <w:color w:val="000000"/>
                <w:kern w:val="0"/>
                <w:sz w:val="20"/>
                <w:szCs w:val="20"/>
                <w:u w:val="none" w:color="auto"/>
                <w:lang w:val="en-US" w:eastAsia="en-US" w:bidi="ar-SA"/>
              </w:rPr>
            </w:pPr>
            <w:r>
              <w:rPr>
                <w:b w:val="0"/>
                <w:bCs w:val="0"/>
                <w:spacing w:val="7"/>
                <w:u w:val="none" w:color="auto"/>
              </w:rPr>
              <w:t>废油脂</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b w:val="0"/>
                <w:bCs w:val="0"/>
                <w:snapToGrid w:val="0"/>
                <w:color w:val="000000"/>
                <w:kern w:val="0"/>
                <w:sz w:val="20"/>
                <w:szCs w:val="20"/>
                <w:u w:val="none" w:color="auto"/>
                <w:lang w:val="en-US" w:eastAsia="en-US" w:bidi="ar-SA"/>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b w:val="0"/>
                <w:bCs w:val="0"/>
                <w:snapToGrid w:val="0"/>
                <w:color w:val="000000"/>
                <w:kern w:val="0"/>
                <w:sz w:val="20"/>
                <w:szCs w:val="20"/>
                <w:u w:val="none" w:color="auto"/>
                <w:lang w:val="en-US" w:eastAsia="en-US" w:bidi="ar-SA"/>
              </w:rPr>
            </w:pPr>
            <w:r>
              <w:rPr>
                <w:rFonts w:hint="eastAsia" w:ascii="Times New Roman" w:hAnsi="Times New Roman" w:eastAsia="宋体" w:cs="Times New Roman"/>
                <w:b w:val="0"/>
                <w:bCs w:val="0"/>
                <w:spacing w:val="2"/>
                <w:sz w:val="20"/>
                <w:szCs w:val="20"/>
                <w:u w:val="none" w:color="auto"/>
                <w:lang w:val="en-US" w:eastAsia="zh-CN"/>
              </w:rPr>
              <w:t>8.8</w:t>
            </w:r>
            <w:r>
              <w:rPr>
                <w:rFonts w:ascii="Times New Roman" w:hAnsi="Times New Roman" w:eastAsia="Times New Roman" w:cs="Times New Roman"/>
                <w:b w:val="0"/>
                <w:bCs w:val="0"/>
                <w:spacing w:val="2"/>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b w:val="0"/>
                <w:bCs w:val="0"/>
                <w:snapToGrid w:val="0"/>
                <w:color w:val="000000"/>
                <w:kern w:val="0"/>
                <w:sz w:val="20"/>
                <w:szCs w:val="20"/>
                <w:u w:val="none" w:color="auto"/>
                <w:lang w:val="en-US" w:eastAsia="en-US" w:bidi="ar-SA"/>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b w:val="0"/>
                <w:bCs w:val="0"/>
                <w:snapToGrid w:val="0"/>
                <w:color w:val="000000"/>
                <w:kern w:val="0"/>
                <w:sz w:val="20"/>
                <w:szCs w:val="20"/>
                <w:u w:val="none" w:color="auto"/>
                <w:lang w:val="en-US" w:eastAsia="en-US" w:bidi="ar-SA"/>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68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86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b w:val="0"/>
                <w:bCs w:val="0"/>
                <w:sz w:val="20"/>
                <w:szCs w:val="20"/>
                <w:u w:val="none" w:color="auto"/>
                <w:lang w:eastAsia="zh-CN"/>
              </w:rPr>
            </w:pPr>
          </w:p>
        </w:tc>
        <w:tc>
          <w:tcPr>
            <w:tcW w:w="1847"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b w:val="0"/>
                <w:bCs w:val="0"/>
                <w:snapToGrid w:val="0"/>
                <w:color w:val="000000"/>
                <w:kern w:val="0"/>
                <w:sz w:val="20"/>
                <w:szCs w:val="20"/>
                <w:u w:val="none" w:color="auto"/>
                <w:lang w:val="en-US" w:eastAsia="en-US" w:bidi="ar-SA"/>
              </w:rPr>
            </w:pPr>
            <w:r>
              <w:rPr>
                <w:b w:val="0"/>
                <w:bCs w:val="0"/>
                <w:spacing w:val="7"/>
                <w:u w:val="none" w:color="auto"/>
              </w:rPr>
              <w:t>检疫废物</w:t>
            </w:r>
          </w:p>
        </w:tc>
        <w:tc>
          <w:tcPr>
            <w:tcW w:w="1209"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b w:val="0"/>
                <w:bCs w:val="0"/>
                <w:snapToGrid w:val="0"/>
                <w:color w:val="000000"/>
                <w:kern w:val="0"/>
                <w:sz w:val="20"/>
                <w:szCs w:val="20"/>
                <w:u w:val="none" w:color="auto"/>
                <w:lang w:val="en-US" w:eastAsia="en-US" w:bidi="ar-SA"/>
              </w:rPr>
            </w:pPr>
            <w:r>
              <w:rPr>
                <w:b w:val="0"/>
                <w:bCs w:val="0"/>
                <w:spacing w:val="5"/>
                <w:position w:val="-3"/>
                <w:u w:val="none" w:color="auto"/>
              </w:rPr>
              <w:t>——</w:t>
            </w:r>
          </w:p>
        </w:tc>
        <w:tc>
          <w:tcPr>
            <w:tcW w:w="158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Times New Roman" w:cs="Times New Roman"/>
                <w:b w:val="0"/>
                <w:bCs w:val="0"/>
                <w:snapToGrid w:val="0"/>
                <w:color w:val="000000"/>
                <w:kern w:val="0"/>
                <w:sz w:val="20"/>
                <w:szCs w:val="20"/>
                <w:u w:val="none" w:color="auto"/>
                <w:lang w:val="en-US" w:eastAsia="zh-CN" w:bidi="ar-SA"/>
              </w:rPr>
            </w:pPr>
            <w:r>
              <w:rPr>
                <w:rFonts w:ascii="Times New Roman" w:hAnsi="Times New Roman" w:eastAsia="Times New Roman" w:cs="Times New Roman"/>
                <w:b w:val="0"/>
                <w:bCs w:val="0"/>
                <w:spacing w:val="-1"/>
                <w:sz w:val="20"/>
                <w:szCs w:val="20"/>
                <w:u w:val="none" w:color="auto"/>
              </w:rPr>
              <w:t>0.1</w:t>
            </w:r>
            <w:r>
              <w:rPr>
                <w:rFonts w:hint="eastAsia" w:ascii="Times New Roman" w:hAnsi="Times New Roman" w:eastAsia="宋体" w:cs="Times New Roman"/>
                <w:b w:val="0"/>
                <w:bCs w:val="0"/>
                <w:spacing w:val="-1"/>
                <w:sz w:val="20"/>
                <w:szCs w:val="20"/>
                <w:u w:val="none" w:color="auto"/>
                <w:lang w:val="en-US" w:eastAsia="zh-CN"/>
              </w:rPr>
              <w:t>6</w:t>
            </w:r>
            <w:r>
              <w:rPr>
                <w:rFonts w:ascii="Times New Roman" w:hAnsi="Times New Roman" w:eastAsia="Times New Roman" w:cs="Times New Roman"/>
                <w:b w:val="0"/>
                <w:bCs w:val="0"/>
                <w:spacing w:val="-1"/>
                <w:sz w:val="20"/>
                <w:szCs w:val="20"/>
                <w:u w:val="none" w:color="auto"/>
              </w:rPr>
              <w:t>t/a</w:t>
            </w:r>
          </w:p>
        </w:tc>
        <w:tc>
          <w:tcPr>
            <w:tcW w:w="1365"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b w:val="0"/>
                <w:bCs w:val="0"/>
                <w:snapToGrid w:val="0"/>
                <w:color w:val="000000"/>
                <w:kern w:val="0"/>
                <w:sz w:val="20"/>
                <w:szCs w:val="20"/>
                <w:u w:val="none" w:color="auto"/>
                <w:lang w:val="en-US" w:eastAsia="en-US" w:bidi="ar-SA"/>
              </w:rPr>
            </w:pPr>
            <w:r>
              <w:rPr>
                <w:b w:val="0"/>
                <w:bCs w:val="0"/>
                <w:spacing w:val="5"/>
                <w:position w:val="-3"/>
                <w:u w:val="none" w:color="auto"/>
              </w:rPr>
              <w:t>——</w:t>
            </w:r>
          </w:p>
        </w:tc>
        <w:tc>
          <w:tcPr>
            <w:tcW w:w="163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b w:val="0"/>
                <w:bCs w:val="0"/>
                <w:snapToGrid w:val="0"/>
                <w:color w:val="000000"/>
                <w:kern w:val="0"/>
                <w:sz w:val="20"/>
                <w:szCs w:val="20"/>
                <w:u w:val="none" w:color="auto"/>
                <w:lang w:val="en-US" w:eastAsia="en-US" w:bidi="ar-SA"/>
              </w:rPr>
            </w:pPr>
            <w:r>
              <w:rPr>
                <w:rFonts w:ascii="Times New Roman" w:hAnsi="Times New Roman" w:eastAsia="Times New Roman" w:cs="Times New Roman"/>
                <w:b w:val="0"/>
                <w:bCs w:val="0"/>
                <w:sz w:val="20"/>
                <w:szCs w:val="20"/>
                <w:u w:val="none" w:color="auto"/>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633" w:hRule="atLeast"/>
          <w:jc w:val="center"/>
        </w:trPr>
        <w:tc>
          <w:tcPr>
            <w:tcW w:w="682" w:type="dxa"/>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
                <w:u w:val="none" w:color="auto"/>
              </w:rPr>
              <w:t>噪声</w:t>
            </w:r>
          </w:p>
        </w:tc>
        <w:tc>
          <w:tcPr>
            <w:tcW w:w="8502" w:type="dxa"/>
            <w:gridSpan w:val="7"/>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u w:val="none" w:color="auto"/>
              </w:rPr>
            </w:pPr>
            <w:r>
              <w:rPr>
                <w:b w:val="0"/>
                <w:bCs w:val="0"/>
                <w:u w:val="none" w:color="auto"/>
              </w:rPr>
              <w:t>制冷系统、污水站内的泵房、风机、屠宰车间设备以及车间配套风机噪声，噪声级为</w:t>
            </w:r>
            <w:r>
              <w:rPr>
                <w:rFonts w:ascii="Times New Roman" w:hAnsi="Times New Roman" w:eastAsia="Times New Roman" w:cs="Times New Roman"/>
                <w:b w:val="0"/>
                <w:bCs w:val="0"/>
                <w:u w:val="none" w:color="auto"/>
              </w:rPr>
              <w:t>70-95dB</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2"/>
                <w:u w:val="none" w:color="auto"/>
              </w:rPr>
              <w:t>（</w:t>
            </w:r>
            <w:r>
              <w:rPr>
                <w:rFonts w:ascii="Times New Roman" w:hAnsi="Times New Roman" w:eastAsia="Times New Roman" w:cs="Times New Roman"/>
                <w:b w:val="0"/>
                <w:bCs w:val="0"/>
                <w:spacing w:val="-2"/>
                <w:u w:val="none" w:color="auto"/>
              </w:rPr>
              <w:t>A</w:t>
            </w:r>
            <w:r>
              <w:rPr>
                <w:b w:val="0"/>
                <w:bCs w:val="0"/>
                <w:spacing w:val="-2"/>
                <w:u w:val="none" w:color="auto"/>
              </w:rPr>
              <w:t>）</w:t>
            </w:r>
          </w:p>
        </w:tc>
      </w:tr>
    </w:tbl>
    <w:p>
      <w:pPr>
        <w:pStyle w:val="4"/>
        <w:keepNext/>
        <w:keepLines/>
        <w:pageBreakBefore w:val="0"/>
        <w:widowControl/>
        <w:kinsoku w:val="0"/>
        <w:wordWrap/>
        <w:overflowPunct/>
        <w:topLinePunct w:val="0"/>
        <w:autoSpaceDE w:val="0"/>
        <w:autoSpaceDN w:val="0"/>
        <w:bidi w:val="0"/>
        <w:adjustRightInd w:val="0"/>
        <w:snapToGrid w:val="0"/>
        <w:spacing w:before="380" w:after="20" w:line="413" w:lineRule="auto"/>
        <w:textAlignment w:val="baseline"/>
        <w:rPr>
          <w:rFonts w:ascii="黑体" w:hAnsi="黑体" w:eastAsia="黑体" w:cs="黑体"/>
          <w:sz w:val="32"/>
          <w:szCs w:val="32"/>
        </w:rPr>
      </w:pPr>
      <w:bookmarkStart w:id="298" w:name="bookmark62"/>
      <w:bookmarkEnd w:id="298"/>
      <w:bookmarkStart w:id="299" w:name="_Toc12548"/>
      <w:bookmarkStart w:id="300" w:name="_Toc468"/>
      <w:r>
        <w:rPr>
          <w:rFonts w:ascii="Times New Roman" w:hAnsi="Times New Roman" w:eastAsia="Times New Roman" w:cs="Times New Roman"/>
          <w:spacing w:val="-1"/>
          <w:sz w:val="32"/>
          <w:szCs w:val="32"/>
        </w:rPr>
        <w:t>3.4</w:t>
      </w:r>
      <w:r>
        <w:rPr>
          <w:rFonts w:ascii="黑体" w:hAnsi="黑体" w:eastAsia="黑体" w:cs="黑体"/>
          <w:spacing w:val="-1"/>
          <w:sz w:val="32"/>
          <w:szCs w:val="32"/>
        </w:rPr>
        <w:t>清洁生产分析</w:t>
      </w:r>
      <w:bookmarkEnd w:id="299"/>
      <w:bookmarkEnd w:id="300"/>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结合本项目特点，确定本项目清洁生产从资源能源利用指标、生产工艺与装备要求、产品指标、废物回收利用指标，以及环境管理</w:t>
      </w:r>
      <w:r>
        <w:rPr>
          <w:rFonts w:hint="eastAsia" w:ascii="Times New Roman" w:hAnsi="Times New Roman" w:eastAsia="宋体" w:cs="Times New Roman"/>
          <w:sz w:val="24"/>
          <w:szCs w:val="24"/>
          <w:lang w:eastAsia="zh-CN"/>
        </w:rPr>
        <w:t>五</w:t>
      </w:r>
      <w:r>
        <w:rPr>
          <w:rFonts w:hint="default" w:ascii="Times New Roman" w:hAnsi="Times New Roman" w:cs="Times New Roman"/>
          <w:sz w:val="24"/>
          <w:szCs w:val="24"/>
        </w:rPr>
        <w:t>个方面着手分析，</w:t>
      </w:r>
      <w:r>
        <w:rPr>
          <w:rFonts w:hint="eastAsia" w:ascii="Times New Roman" w:hAnsi="Times New Roman" w:eastAsia="宋体" w:cs="Times New Roman"/>
          <w:sz w:val="24"/>
          <w:szCs w:val="24"/>
          <w:lang w:eastAsia="zh-CN"/>
        </w:rPr>
        <w:t>并从</w:t>
      </w:r>
      <w:r>
        <w:rPr>
          <w:rFonts w:hint="default" w:ascii="Times New Roman" w:hAnsi="Times New Roman" w:cs="Times New Roman"/>
          <w:sz w:val="24"/>
          <w:szCs w:val="24"/>
        </w:rPr>
        <w:t>清洁生产</w:t>
      </w:r>
      <w:r>
        <w:rPr>
          <w:rFonts w:hint="eastAsia" w:ascii="Times New Roman" w:hAnsi="Times New Roman" w:eastAsia="宋体" w:cs="Times New Roman"/>
          <w:sz w:val="24"/>
          <w:szCs w:val="24"/>
          <w:lang w:eastAsia="zh-CN"/>
        </w:rPr>
        <w:t>的角度对企业</w:t>
      </w:r>
      <w:r>
        <w:rPr>
          <w:rFonts w:hint="default" w:ascii="Times New Roman" w:hAnsi="Times New Roman" w:cs="Times New Roman"/>
          <w:sz w:val="24"/>
          <w:szCs w:val="24"/>
        </w:rPr>
        <w:t>进行</w:t>
      </w:r>
      <w:r>
        <w:rPr>
          <w:rFonts w:hint="eastAsia" w:ascii="Times New Roman" w:hAnsi="Times New Roman" w:eastAsia="宋体" w:cs="Times New Roman"/>
          <w:sz w:val="24"/>
          <w:szCs w:val="24"/>
          <w:lang w:eastAsia="zh-CN"/>
        </w:rPr>
        <w:t>总结评价和指导</w:t>
      </w:r>
      <w:r>
        <w:rPr>
          <w:rFonts w:hint="default" w:ascii="Times New Roman" w:hAnsi="Times New Roman" w:cs="Times New Roman"/>
          <w:sz w:val="24"/>
          <w:szCs w:val="24"/>
        </w:rPr>
        <w:t>。</w:t>
      </w:r>
    </w:p>
    <w:p>
      <w:pPr>
        <w:spacing w:before="91" w:line="224" w:lineRule="auto"/>
        <w:outlineLvl w:val="3"/>
        <w:rPr>
          <w:rFonts w:ascii="楷体" w:hAnsi="楷体" w:eastAsia="楷体" w:cs="楷体"/>
          <w:sz w:val="28"/>
          <w:szCs w:val="28"/>
        </w:rPr>
      </w:pPr>
      <w:bookmarkStart w:id="301" w:name="bookmark63"/>
      <w:bookmarkEnd w:id="301"/>
      <w:r>
        <w:rPr>
          <w:rFonts w:ascii="Times New Roman" w:hAnsi="Times New Roman" w:eastAsia="Times New Roman" w:cs="Times New Roman"/>
          <w:spacing w:val="-3"/>
          <w:sz w:val="28"/>
          <w:szCs w:val="28"/>
        </w:rPr>
        <w:t>3.4.1</w:t>
      </w:r>
      <w:r>
        <w:rPr>
          <w:rFonts w:ascii="楷体" w:hAnsi="楷体" w:eastAsia="楷体" w:cs="楷体"/>
          <w:spacing w:val="-3"/>
          <w:sz w:val="28"/>
          <w:szCs w:val="28"/>
        </w:rPr>
        <w:t>生产工艺与装备先进性分析</w:t>
      </w:r>
    </w:p>
    <w:p>
      <w:pPr>
        <w:spacing w:before="228" w:line="384" w:lineRule="auto"/>
        <w:ind w:firstLine="481"/>
        <w:jc w:val="both"/>
        <w:rPr>
          <w:rFonts w:ascii="宋体" w:hAnsi="宋体" w:eastAsia="宋体" w:cs="宋体"/>
          <w:sz w:val="24"/>
          <w:szCs w:val="24"/>
        </w:rPr>
      </w:pPr>
      <w:r>
        <w:rPr>
          <w:rFonts w:ascii="宋体" w:hAnsi="宋体" w:eastAsia="宋体" w:cs="宋体"/>
          <w:spacing w:val="2"/>
          <w:sz w:val="24"/>
          <w:szCs w:val="24"/>
        </w:rPr>
        <w:t>本项目为</w:t>
      </w:r>
      <w:r>
        <w:rPr>
          <w:rFonts w:hint="eastAsia" w:ascii="宋体" w:hAnsi="宋体" w:eastAsia="宋体" w:cs="宋体"/>
          <w:spacing w:val="2"/>
          <w:sz w:val="24"/>
          <w:szCs w:val="24"/>
          <w:lang w:eastAsia="zh-CN"/>
        </w:rPr>
        <w:t>牛羊</w:t>
      </w:r>
      <w:r>
        <w:rPr>
          <w:rFonts w:ascii="宋体" w:hAnsi="宋体" w:eastAsia="宋体" w:cs="宋体"/>
          <w:spacing w:val="2"/>
          <w:sz w:val="24"/>
          <w:szCs w:val="24"/>
        </w:rPr>
        <w:t>屠宰场建设项目，通过宰杀放血、剖腹、取内脏等工艺生产生鲜</w:t>
      </w:r>
      <w:r>
        <w:rPr>
          <w:rFonts w:hint="eastAsia" w:ascii="宋体" w:hAnsi="宋体" w:eastAsia="宋体" w:cs="宋体"/>
          <w:spacing w:val="9"/>
          <w:sz w:val="24"/>
          <w:szCs w:val="24"/>
          <w:lang w:eastAsia="zh-CN"/>
        </w:rPr>
        <w:t>牛</w:t>
      </w:r>
      <w:r>
        <w:rPr>
          <w:rFonts w:ascii="宋体" w:hAnsi="宋体" w:eastAsia="宋体" w:cs="宋体"/>
          <w:spacing w:val="2"/>
          <w:sz w:val="24"/>
          <w:szCs w:val="24"/>
        </w:rPr>
        <w:t>羊肉。本项目建设标准化</w:t>
      </w:r>
      <w:r>
        <w:rPr>
          <w:rFonts w:hint="eastAsia" w:ascii="宋体" w:hAnsi="宋体" w:eastAsia="宋体" w:cs="宋体"/>
          <w:spacing w:val="2"/>
          <w:sz w:val="24"/>
          <w:szCs w:val="24"/>
          <w:lang w:eastAsia="zh-CN"/>
        </w:rPr>
        <w:t>牛</w:t>
      </w:r>
      <w:r>
        <w:rPr>
          <w:rFonts w:ascii="宋体" w:hAnsi="宋体" w:eastAsia="宋体" w:cs="宋体"/>
          <w:spacing w:val="2"/>
          <w:sz w:val="24"/>
          <w:szCs w:val="24"/>
        </w:rPr>
        <w:t>羊屠宰生产线一条，依托自动化生产流水线确保生产工序的有序进行，实现集约化、规模化屠宰，同时确保产品质量满足《鲜（冻）畜肉</w:t>
      </w:r>
      <w:r>
        <w:rPr>
          <w:rFonts w:ascii="宋体" w:hAnsi="宋体" w:eastAsia="宋体" w:cs="宋体"/>
          <w:spacing w:val="-1"/>
          <w:sz w:val="24"/>
          <w:szCs w:val="24"/>
        </w:rPr>
        <w:t>卫生标准》（</w:t>
      </w:r>
      <w:r>
        <w:rPr>
          <w:rFonts w:ascii="Times New Roman" w:hAnsi="Times New Roman" w:eastAsia="Times New Roman" w:cs="Times New Roman"/>
          <w:spacing w:val="-1"/>
          <w:sz w:val="24"/>
          <w:szCs w:val="24"/>
        </w:rPr>
        <w:t>GB2707-2005</w:t>
      </w:r>
      <w:r>
        <w:rPr>
          <w:rFonts w:ascii="宋体" w:hAnsi="宋体" w:eastAsia="宋体" w:cs="宋体"/>
          <w:spacing w:val="9"/>
          <w:sz w:val="24"/>
          <w:szCs w:val="24"/>
        </w:rPr>
        <w:t>），</w:t>
      </w:r>
      <w:r>
        <w:rPr>
          <w:rFonts w:ascii="宋体" w:hAnsi="宋体" w:eastAsia="宋体" w:cs="宋体"/>
          <w:spacing w:val="-1"/>
          <w:sz w:val="24"/>
          <w:szCs w:val="24"/>
        </w:rPr>
        <w:t>保障</w:t>
      </w:r>
      <w:r>
        <w:rPr>
          <w:rFonts w:hint="eastAsia" w:ascii="宋体" w:hAnsi="宋体" w:eastAsia="宋体" w:cs="宋体"/>
          <w:spacing w:val="-1"/>
          <w:sz w:val="24"/>
          <w:szCs w:val="24"/>
          <w:lang w:eastAsia="zh-CN"/>
        </w:rPr>
        <w:t>叶县及周边县市</w:t>
      </w:r>
      <w:r>
        <w:rPr>
          <w:rFonts w:ascii="宋体" w:hAnsi="宋体" w:eastAsia="宋体" w:cs="宋体"/>
          <w:spacing w:val="-1"/>
          <w:sz w:val="24"/>
          <w:szCs w:val="24"/>
        </w:rPr>
        <w:t>城乡居民肉食品供应。</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（1）工艺设备先进性分析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本项目采用的屠宰工艺按照肉羊屠宰操作规程执行，并在此基础上结合国内先进生产工艺进行改造，项目采用的生产工艺主要有：电击晕、刺杀放血。</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①电击晕</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羊在用屠宰设备宰杀前击晕，可以让其暂时失去知觉，避免在刺杀放血时的挣扎，从而防止畜体养分过多消耗和放血不全，对于提高肉的的品质和延长肉的保藏时间十分有利。</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电击晕俗称“麻电”。是我国大部分屠宰厂采用的方法。让电流通过畜体，麻痹中枢神经而晕倒。此法可避免宰杀时动物挣扎对工作人员造成的危险，能获得较干净的食用血，缩短放血时间，提高生产效率。电击晕以后到醒来大约1~2分钟，有足够的时间进行吊挂和刺杀放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②刺杀放血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真空放血的特点主要是所采集的血液干净卫生适用做血豆腐等食品。血液收集的干净利索，减少对屠宰现场的污染。真空放血的缺点主要是操作使用较为繁琐，影响产能，阻碍了该工艺设备在屠宰行业的推广使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采集血液主要做为血粉饲料的原料外售，对采集血液质量要求不高，宰杀放血能够满足实际生产需要。另外，宰杀工序设置在独立区域内，能够有效控制血液对屠宰现场的污染。该工艺在对血液品质要求不高的前提下，采取控制措施后能够兼具真空放血的优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（2）设备先进性分析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本项目屠宰选用先进设备，采用自动输送，胴体、内脏同步卫检、自动脱毛机等多项自动化设备，其机械化、自动化程度高。项目设备具有以下优点：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a.节约用电，在达到同产能的情况下，项目采用的设备要比普通设备最大节约20%的电能。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b.工作效率高，先进的设备在生产过程中，出现“停、卡”现象较少，同时在生产线转动过程中速度可以根据产量情况进行调整，极大地提高了生产效率。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c.出肉率高，先进的设备在生产过程中能够减少肉屑产生，从而提高肉的产率。</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d.保证</w:t>
      </w:r>
      <w:r>
        <w:rPr>
          <w:rFonts w:hint="eastAsia" w:ascii="Times New Roman" w:hAnsi="Times New Roman" w:eastAsia="宋体" w:cs="Times New Roman"/>
          <w:sz w:val="24"/>
          <w:szCs w:val="24"/>
          <w:lang w:eastAsia="zh-CN"/>
        </w:rPr>
        <w:t>牛羊</w:t>
      </w:r>
      <w:r>
        <w:rPr>
          <w:rFonts w:hint="default" w:ascii="Times New Roman" w:hAnsi="Times New Roman" w:cs="Times New Roman"/>
          <w:sz w:val="24"/>
          <w:szCs w:val="24"/>
        </w:rPr>
        <w:t>肉胴体的完好性，项目所采用的自动脱毛机能更好的对肉胴体进行保护，确保胴体表面无伤痕，可以提高产品的外表观感。</w:t>
      </w:r>
    </w:p>
    <w:p>
      <w:pPr>
        <w:spacing w:before="92" w:line="224" w:lineRule="auto"/>
        <w:outlineLvl w:val="3"/>
        <w:rPr>
          <w:rFonts w:ascii="楷体" w:hAnsi="楷体" w:eastAsia="楷体" w:cs="楷体"/>
          <w:sz w:val="28"/>
          <w:szCs w:val="28"/>
        </w:rPr>
      </w:pPr>
      <w:bookmarkStart w:id="302" w:name="bookmark64"/>
      <w:bookmarkEnd w:id="302"/>
      <w:r>
        <w:rPr>
          <w:rFonts w:ascii="Times New Roman" w:hAnsi="Times New Roman" w:eastAsia="Times New Roman" w:cs="Times New Roman"/>
          <w:spacing w:val="-1"/>
          <w:sz w:val="28"/>
          <w:szCs w:val="28"/>
        </w:rPr>
        <w:t>3.4.2</w:t>
      </w:r>
      <w:r>
        <w:rPr>
          <w:rFonts w:ascii="楷体" w:hAnsi="楷体" w:eastAsia="楷体" w:cs="楷体"/>
          <w:spacing w:val="-1"/>
          <w:sz w:val="28"/>
          <w:szCs w:val="28"/>
        </w:rPr>
        <w:t>原材料及产品指标</w:t>
      </w:r>
    </w:p>
    <w:p>
      <w:pPr>
        <w:keepNext w:val="0"/>
        <w:keepLines w:val="0"/>
        <w:pageBreakBefore w:val="0"/>
        <w:widowControl w:val="0"/>
        <w:kinsoku/>
        <w:wordWrap/>
        <w:overflowPunct/>
        <w:topLinePunct w:val="0"/>
        <w:autoSpaceDE w:val="0"/>
        <w:autoSpaceDN w:val="0"/>
        <w:bidi w:val="0"/>
        <w:adjustRightInd w:val="0"/>
        <w:snapToGrid w:val="0"/>
        <w:spacing w:before="229" w:line="384" w:lineRule="auto"/>
        <w:ind w:left="119" w:right="108" w:firstLine="482"/>
        <w:jc w:val="both"/>
        <w:textAlignment w:val="baseline"/>
        <w:rPr>
          <w:rFonts w:ascii="宋体" w:hAnsi="宋体" w:eastAsia="宋体" w:cs="宋体"/>
          <w:sz w:val="24"/>
          <w:szCs w:val="24"/>
        </w:rPr>
      </w:pPr>
      <w:r>
        <w:rPr>
          <w:rFonts w:ascii="宋体" w:hAnsi="宋体" w:eastAsia="宋体" w:cs="宋体"/>
          <w:spacing w:val="2"/>
          <w:sz w:val="24"/>
          <w:szCs w:val="24"/>
        </w:rPr>
        <w:t>本项目为屠宰场建设项目，活</w:t>
      </w:r>
      <w:r>
        <w:rPr>
          <w:rFonts w:hint="eastAsia" w:ascii="宋体" w:hAnsi="宋体" w:eastAsia="宋体" w:cs="宋体"/>
          <w:spacing w:val="2"/>
          <w:sz w:val="24"/>
          <w:szCs w:val="24"/>
          <w:lang w:eastAsia="zh-CN"/>
        </w:rPr>
        <w:t>牛</w:t>
      </w:r>
      <w:r>
        <w:rPr>
          <w:rFonts w:ascii="宋体" w:hAnsi="宋体" w:eastAsia="宋体" w:cs="宋体"/>
          <w:spacing w:val="2"/>
          <w:sz w:val="24"/>
          <w:szCs w:val="24"/>
        </w:rPr>
        <w:t>羊均购自</w:t>
      </w:r>
      <w:r>
        <w:rPr>
          <w:rFonts w:hint="eastAsia" w:ascii="宋体" w:hAnsi="宋体" w:eastAsia="宋体" w:cs="宋体"/>
          <w:spacing w:val="2"/>
          <w:sz w:val="24"/>
          <w:szCs w:val="24"/>
          <w:lang w:eastAsia="zh-CN"/>
        </w:rPr>
        <w:t>叶县及周边县市</w:t>
      </w:r>
      <w:r>
        <w:rPr>
          <w:rFonts w:ascii="宋体" w:hAnsi="宋体" w:eastAsia="宋体" w:cs="宋体"/>
          <w:spacing w:val="2"/>
          <w:sz w:val="24"/>
          <w:szCs w:val="24"/>
        </w:rPr>
        <w:t>市场及养殖场，并严格执行《牛</w:t>
      </w:r>
      <w:r>
        <w:rPr>
          <w:rFonts w:ascii="宋体" w:hAnsi="宋体" w:eastAsia="宋体" w:cs="宋体"/>
          <w:spacing w:val="1"/>
          <w:sz w:val="24"/>
          <w:szCs w:val="24"/>
        </w:rPr>
        <w:t>羊屠宰产品品质检验规程》（</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18393-2001</w:t>
      </w:r>
      <w:r>
        <w:rPr>
          <w:rFonts w:ascii="宋体" w:hAnsi="宋体" w:eastAsia="宋体" w:cs="宋体"/>
          <w:spacing w:val="1"/>
          <w:sz w:val="24"/>
          <w:szCs w:val="24"/>
        </w:rPr>
        <w:t>）要</w:t>
      </w:r>
      <w:r>
        <w:rPr>
          <w:rFonts w:ascii="宋体" w:hAnsi="宋体" w:eastAsia="宋体" w:cs="宋体"/>
          <w:sz w:val="24"/>
          <w:szCs w:val="24"/>
        </w:rPr>
        <w:t>求，进场前应取得产地动物防疫监</w:t>
      </w:r>
      <w:r>
        <w:rPr>
          <w:rFonts w:ascii="宋体" w:hAnsi="宋体" w:eastAsia="宋体" w:cs="宋体"/>
          <w:spacing w:val="2"/>
          <w:sz w:val="24"/>
          <w:szCs w:val="24"/>
        </w:rPr>
        <w:t>督机构开具的检疫合格证，并进行严格检验检疫，确保进场羊牲畜健康未异常，保证本项目原材料安全、健康。如出现病害及疫情状况，严禁进场卸车，并在检验检疫部门下按照《病死及病害动物无害化处理技术规范》（农医发</w:t>
      </w:r>
      <w:r>
        <w:rPr>
          <w:rFonts w:ascii="Times New Roman" w:hAnsi="Times New Roman" w:eastAsia="Times New Roman" w:cs="Times New Roman"/>
          <w:spacing w:val="2"/>
          <w:sz w:val="24"/>
          <w:szCs w:val="24"/>
        </w:rPr>
        <w:t>[2017]25</w:t>
      </w:r>
      <w:r>
        <w:rPr>
          <w:rFonts w:ascii="宋体" w:hAnsi="宋体" w:eastAsia="宋体" w:cs="宋体"/>
          <w:spacing w:val="2"/>
          <w:sz w:val="24"/>
          <w:szCs w:val="24"/>
        </w:rPr>
        <w:t>号）要求</w:t>
      </w:r>
      <w:r>
        <w:rPr>
          <w:rFonts w:ascii="宋体" w:hAnsi="宋体" w:eastAsia="宋体" w:cs="宋体"/>
          <w:spacing w:val="-1"/>
          <w:sz w:val="24"/>
          <w:szCs w:val="24"/>
        </w:rPr>
        <w:t>进行无害化处理。</w:t>
      </w:r>
    </w:p>
    <w:p>
      <w:pPr>
        <w:keepNext w:val="0"/>
        <w:keepLines w:val="0"/>
        <w:pageBreakBefore w:val="0"/>
        <w:widowControl/>
        <w:kinsoku/>
        <w:wordWrap/>
        <w:overflowPunct/>
        <w:topLinePunct w:val="0"/>
        <w:autoSpaceDE w:val="0"/>
        <w:autoSpaceDN w:val="0"/>
        <w:bidi w:val="0"/>
        <w:adjustRightInd w:val="0"/>
        <w:snapToGrid w:val="0"/>
        <w:spacing w:line="360" w:lineRule="auto"/>
        <w:ind w:left="125" w:firstLine="476"/>
        <w:jc w:val="both"/>
        <w:textAlignment w:val="baseline"/>
        <w:rPr>
          <w:rFonts w:ascii="宋体" w:hAnsi="宋体" w:eastAsia="宋体" w:cs="宋体"/>
          <w:sz w:val="24"/>
          <w:szCs w:val="24"/>
        </w:rPr>
      </w:pPr>
      <w:r>
        <w:rPr>
          <w:rFonts w:ascii="宋体" w:hAnsi="宋体" w:eastAsia="宋体" w:cs="宋体"/>
          <w:spacing w:val="-2"/>
          <w:sz w:val="24"/>
          <w:szCs w:val="24"/>
        </w:rPr>
        <w:t>本项目主要产品为</w:t>
      </w:r>
      <w:r>
        <w:rPr>
          <w:rFonts w:hint="eastAsia" w:ascii="宋体" w:hAnsi="宋体" w:eastAsia="宋体" w:cs="宋体"/>
          <w:spacing w:val="-2"/>
          <w:sz w:val="24"/>
          <w:szCs w:val="24"/>
          <w:lang w:eastAsia="zh-CN"/>
        </w:rPr>
        <w:t>牛羊生鲜</w:t>
      </w:r>
      <w:r>
        <w:rPr>
          <w:rFonts w:ascii="宋体" w:hAnsi="宋体" w:eastAsia="宋体" w:cs="宋体"/>
          <w:spacing w:val="-2"/>
          <w:sz w:val="24"/>
          <w:szCs w:val="24"/>
        </w:rPr>
        <w:t>肉</w:t>
      </w:r>
      <w:r>
        <w:rPr>
          <w:rFonts w:hint="eastAsia" w:ascii="宋体" w:hAnsi="宋体" w:eastAsia="宋体" w:cs="宋体"/>
          <w:spacing w:val="-2"/>
          <w:sz w:val="24"/>
          <w:szCs w:val="24"/>
          <w:lang w:eastAsia="zh-CN"/>
        </w:rPr>
        <w:t>和冻肉</w:t>
      </w:r>
      <w:r>
        <w:rPr>
          <w:rFonts w:ascii="宋体" w:hAnsi="宋体" w:eastAsia="宋体" w:cs="宋体"/>
          <w:spacing w:val="-3"/>
          <w:sz w:val="24"/>
          <w:szCs w:val="24"/>
        </w:rPr>
        <w:t>，</w:t>
      </w:r>
      <w:r>
        <w:rPr>
          <w:rFonts w:ascii="宋体" w:hAnsi="宋体" w:eastAsia="宋体" w:cs="宋体"/>
          <w:spacing w:val="-2"/>
          <w:sz w:val="24"/>
          <w:szCs w:val="24"/>
        </w:rPr>
        <w:t>副产品包括红白内脏、</w:t>
      </w:r>
      <w:r>
        <w:rPr>
          <w:rFonts w:hint="eastAsia" w:ascii="宋体" w:hAnsi="宋体" w:eastAsia="宋体" w:cs="宋体"/>
          <w:spacing w:val="-2"/>
          <w:sz w:val="24"/>
          <w:szCs w:val="24"/>
          <w:lang w:eastAsia="zh-CN"/>
        </w:rPr>
        <w:t>牛</w:t>
      </w:r>
      <w:r>
        <w:rPr>
          <w:rFonts w:ascii="宋体" w:hAnsi="宋体" w:eastAsia="宋体" w:cs="宋体"/>
          <w:spacing w:val="-2"/>
          <w:sz w:val="24"/>
          <w:szCs w:val="24"/>
        </w:rPr>
        <w:t>羊血、</w:t>
      </w:r>
      <w:r>
        <w:rPr>
          <w:rFonts w:hint="eastAsia" w:ascii="宋体" w:hAnsi="宋体" w:eastAsia="宋体" w:cs="宋体"/>
          <w:spacing w:val="-2"/>
          <w:sz w:val="24"/>
          <w:szCs w:val="24"/>
          <w:lang w:eastAsia="zh-CN"/>
        </w:rPr>
        <w:t>牛</w:t>
      </w:r>
      <w:r>
        <w:rPr>
          <w:rFonts w:ascii="宋体" w:hAnsi="宋体" w:eastAsia="宋体" w:cs="宋体"/>
          <w:spacing w:val="-2"/>
          <w:sz w:val="24"/>
          <w:szCs w:val="24"/>
        </w:rPr>
        <w:t>羊毛</w:t>
      </w:r>
      <w:r>
        <w:rPr>
          <w:rFonts w:hint="eastAsia" w:ascii="宋体" w:hAnsi="宋体" w:eastAsia="宋体" w:cs="宋体"/>
          <w:spacing w:val="-2"/>
          <w:sz w:val="24"/>
          <w:szCs w:val="24"/>
          <w:lang w:eastAsia="zh-CN"/>
        </w:rPr>
        <w:t>皮</w:t>
      </w:r>
      <w:r>
        <w:rPr>
          <w:rFonts w:ascii="宋体" w:hAnsi="宋体" w:eastAsia="宋体" w:cs="宋体"/>
          <w:spacing w:val="-2"/>
          <w:sz w:val="24"/>
          <w:szCs w:val="24"/>
        </w:rPr>
        <w:t>等，产品质量必须满足《鲜（冻）畜肉卫生标准》（</w:t>
      </w:r>
      <w:r>
        <w:rPr>
          <w:rFonts w:ascii="Times New Roman" w:hAnsi="Times New Roman" w:eastAsia="Times New Roman" w:cs="Times New Roman"/>
          <w:spacing w:val="-2"/>
          <w:sz w:val="24"/>
          <w:szCs w:val="24"/>
        </w:rPr>
        <w:t>GB2707-2005</w:t>
      </w:r>
      <w:r>
        <w:rPr>
          <w:rFonts w:ascii="宋体" w:hAnsi="宋体" w:eastAsia="宋体" w:cs="宋体"/>
          <w:spacing w:val="12"/>
          <w:sz w:val="24"/>
          <w:szCs w:val="24"/>
        </w:rPr>
        <w:t>），</w:t>
      </w:r>
      <w:r>
        <w:rPr>
          <w:rFonts w:ascii="宋体" w:hAnsi="宋体" w:eastAsia="宋体" w:cs="宋体"/>
          <w:spacing w:val="-2"/>
          <w:sz w:val="24"/>
          <w:szCs w:val="24"/>
        </w:rPr>
        <w:t>并出具产品质量合格证书。</w:t>
      </w:r>
    </w:p>
    <w:p>
      <w:pPr>
        <w:spacing w:before="92" w:line="227" w:lineRule="auto"/>
        <w:outlineLvl w:val="3"/>
        <w:rPr>
          <w:rFonts w:ascii="楷体" w:hAnsi="楷体" w:eastAsia="楷体" w:cs="楷体"/>
          <w:sz w:val="28"/>
          <w:szCs w:val="28"/>
        </w:rPr>
      </w:pPr>
      <w:bookmarkStart w:id="303" w:name="bookmark65"/>
      <w:bookmarkEnd w:id="303"/>
      <w:r>
        <w:rPr>
          <w:rFonts w:ascii="Times New Roman" w:hAnsi="Times New Roman" w:eastAsia="Times New Roman" w:cs="Times New Roman"/>
          <w:spacing w:val="-1"/>
          <w:sz w:val="28"/>
          <w:szCs w:val="28"/>
        </w:rPr>
        <w:t>3.4.3</w:t>
      </w:r>
      <w:r>
        <w:rPr>
          <w:rFonts w:ascii="楷体" w:hAnsi="楷体" w:eastAsia="楷体" w:cs="楷体"/>
          <w:spacing w:val="-1"/>
          <w:sz w:val="28"/>
          <w:szCs w:val="28"/>
        </w:rPr>
        <w:t>资源能源利用指标</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为节约能源，项目将采取以下节能措施：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（1）本项目选用标准化</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羊屠宰生产线，采取流水线作业，生产效率高，自动化程度高，可以</w:t>
      </w:r>
      <w:r>
        <w:rPr>
          <w:rFonts w:hint="eastAsia" w:ascii="Times New Roman" w:hAnsi="Times New Roman" w:eastAsia="宋体" w:cs="Times New Roman"/>
          <w:sz w:val="24"/>
          <w:szCs w:val="24"/>
          <w:lang w:eastAsia="zh-CN"/>
        </w:rPr>
        <w:t>显著降低</w:t>
      </w:r>
      <w:r>
        <w:rPr>
          <w:rFonts w:hint="default" w:ascii="Times New Roman" w:hAnsi="Times New Roman" w:cs="Times New Roman"/>
          <w:sz w:val="24"/>
          <w:szCs w:val="24"/>
        </w:rPr>
        <w:t>能耗。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（2）选用节能型变压器、节能型灯具，低压配电装置尽量靠近负荷中心，对于各种生产动力设备等采取了变频控制，使设备根据工艺的需要进行运转，节约能源。</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（3）生产厂房充分利用自然光、在许可条件下，满足工艺操作窗比，减少能源消耗。</w:t>
      </w:r>
    </w:p>
    <w:p>
      <w:pPr>
        <w:keepNext w:val="0"/>
        <w:keepLines w:val="0"/>
        <w:pageBreakBefore w:val="0"/>
        <w:widowControl/>
        <w:kinsoku w:val="0"/>
        <w:wordWrap/>
        <w:overflowPunct/>
        <w:topLinePunct w:val="0"/>
        <w:autoSpaceDE w:val="0"/>
        <w:autoSpaceDN w:val="0"/>
        <w:bidi w:val="0"/>
        <w:adjustRightInd w:val="0"/>
        <w:snapToGrid w:val="0"/>
        <w:spacing w:before="92" w:line="360" w:lineRule="auto"/>
        <w:textAlignment w:val="baseline"/>
        <w:outlineLvl w:val="3"/>
        <w:rPr>
          <w:rFonts w:ascii="楷体" w:hAnsi="楷体" w:eastAsia="楷体" w:cs="楷体"/>
          <w:sz w:val="28"/>
          <w:szCs w:val="28"/>
        </w:rPr>
      </w:pPr>
      <w:bookmarkStart w:id="304" w:name="bookmark66"/>
      <w:bookmarkEnd w:id="304"/>
      <w:r>
        <w:rPr>
          <w:rFonts w:ascii="Times New Roman" w:hAnsi="Times New Roman" w:eastAsia="Times New Roman" w:cs="Times New Roman"/>
          <w:spacing w:val="-1"/>
          <w:sz w:val="28"/>
          <w:szCs w:val="28"/>
        </w:rPr>
        <w:t>3.4.4</w:t>
      </w:r>
      <w:r>
        <w:rPr>
          <w:rFonts w:ascii="楷体" w:hAnsi="楷体" w:eastAsia="楷体" w:cs="楷体"/>
          <w:spacing w:val="-1"/>
          <w:sz w:val="28"/>
          <w:szCs w:val="28"/>
        </w:rPr>
        <w:t>废物回收利用指标</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项目产生的</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羊粪便、肠胃内容物、栅渣当日使用密闭运输车拉走外售用于肥田进行综合利用，实现资源化利用；病死</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羊及不合格肉品送有资质的无害化处置单位进行统一处置；污水处理站污泥经脱水</w:t>
      </w:r>
      <w:r>
        <w:rPr>
          <w:rFonts w:hint="eastAsia" w:ascii="Times New Roman" w:hAnsi="Times New Roman" w:eastAsia="宋体" w:cs="Times New Roman"/>
          <w:sz w:val="24"/>
          <w:szCs w:val="24"/>
          <w:lang w:eastAsia="zh-CN"/>
        </w:rPr>
        <w:t>收集</w:t>
      </w:r>
      <w:r>
        <w:rPr>
          <w:rFonts w:hint="default" w:ascii="Times New Roman" w:hAnsi="Times New Roman" w:cs="Times New Roman"/>
          <w:sz w:val="24"/>
          <w:szCs w:val="24"/>
        </w:rPr>
        <w:t>后</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外售</w:t>
      </w:r>
      <w:r>
        <w:rPr>
          <w:rFonts w:hint="eastAsia" w:ascii="Times New Roman" w:hAnsi="Times New Roman" w:eastAsia="宋体" w:cs="Times New Roman"/>
          <w:sz w:val="24"/>
          <w:szCs w:val="24"/>
          <w:lang w:eastAsia="zh-CN"/>
        </w:rPr>
        <w:t>制作有机肥</w:t>
      </w:r>
      <w:r>
        <w:rPr>
          <w:rFonts w:hint="default" w:ascii="Times New Roman" w:hAnsi="Times New Roman" w:cs="Times New Roman"/>
          <w:sz w:val="24"/>
          <w:szCs w:val="24"/>
        </w:rPr>
        <w:t>；生活垃圾收集后交环卫部门统一处置。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综上所述，本项目产生的固废均能得到合理利用和有效处置，满足清洁生产废物回收利用评价指标要求。</w:t>
      </w:r>
    </w:p>
    <w:p>
      <w:pPr>
        <w:spacing w:before="92" w:line="224" w:lineRule="auto"/>
        <w:outlineLvl w:val="3"/>
        <w:rPr>
          <w:rFonts w:ascii="楷体" w:hAnsi="楷体" w:eastAsia="楷体" w:cs="楷体"/>
          <w:sz w:val="28"/>
          <w:szCs w:val="28"/>
        </w:rPr>
      </w:pPr>
      <w:bookmarkStart w:id="305" w:name="bookmark67"/>
      <w:bookmarkEnd w:id="305"/>
      <w:r>
        <w:rPr>
          <w:rFonts w:ascii="Times New Roman" w:hAnsi="Times New Roman" w:eastAsia="Times New Roman" w:cs="Times New Roman"/>
          <w:spacing w:val="-1"/>
          <w:sz w:val="28"/>
          <w:szCs w:val="28"/>
        </w:rPr>
        <w:t>3.4.5</w:t>
      </w:r>
      <w:r>
        <w:rPr>
          <w:rFonts w:ascii="楷体" w:hAnsi="楷体" w:eastAsia="楷体" w:cs="楷体"/>
          <w:spacing w:val="-1"/>
          <w:sz w:val="28"/>
          <w:szCs w:val="28"/>
        </w:rPr>
        <w:t>环境管理要求</w:t>
      </w:r>
    </w:p>
    <w:p>
      <w:pPr>
        <w:spacing w:before="229" w:line="218" w:lineRule="auto"/>
        <w:ind w:left="603"/>
        <w:rPr>
          <w:rFonts w:ascii="宋体" w:hAnsi="宋体" w:eastAsia="宋体" w:cs="宋体"/>
          <w:sz w:val="24"/>
          <w:szCs w:val="24"/>
        </w:rPr>
      </w:pPr>
      <w:r>
        <w:rPr>
          <w:rFonts w:ascii="宋体" w:hAnsi="宋体" w:eastAsia="宋体" w:cs="宋体"/>
          <w:spacing w:val="-1"/>
          <w:sz w:val="24"/>
          <w:szCs w:val="24"/>
        </w:rPr>
        <w:t>本评价对本项目实施提出相应的环境管理建议，具体见表</w:t>
      </w:r>
      <w:r>
        <w:rPr>
          <w:rFonts w:ascii="Times New Roman" w:hAnsi="Times New Roman" w:eastAsia="Times New Roman" w:cs="Times New Roman"/>
          <w:spacing w:val="-1"/>
          <w:sz w:val="24"/>
          <w:szCs w:val="24"/>
        </w:rPr>
        <w:t>3-</w:t>
      </w:r>
      <w:r>
        <w:rPr>
          <w:rFonts w:hint="eastAsia" w:ascii="Times New Roman" w:hAnsi="Times New Roman" w:eastAsia="宋体" w:cs="Times New Roman"/>
          <w:spacing w:val="-1"/>
          <w:sz w:val="24"/>
          <w:szCs w:val="24"/>
          <w:lang w:val="en-US" w:eastAsia="zh-CN"/>
        </w:rPr>
        <w:t>31</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ind w:left="2608"/>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3-</w:t>
      </w:r>
      <w:r>
        <w:rPr>
          <w:rFonts w:hint="eastAsia" w:ascii="Times New Roman" w:hAnsi="Times New Roman" w:eastAsia="宋体" w:cs="Times New Roman"/>
          <w:b/>
          <w:bCs/>
          <w:sz w:val="24"/>
          <w:szCs w:val="24"/>
          <w:lang w:val="en-US" w:eastAsia="zh-CN"/>
        </w:rPr>
        <w:t>31</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环境</w:t>
      </w:r>
      <w:r>
        <w:rPr>
          <w:rFonts w:ascii="宋体" w:hAnsi="宋体" w:eastAsia="宋体" w:cs="宋体"/>
          <w:spacing w:val="-1"/>
          <w:sz w:val="24"/>
          <w:szCs w:val="24"/>
          <w14:textOutline w14:w="4358" w14:cap="sq" w14:cmpd="sng">
            <w14:solidFill>
              <w14:srgbClr w14:val="000000"/>
            </w14:solidFill>
            <w14:prstDash w14:val="solid"/>
            <w14:bevel/>
          </w14:textOutline>
        </w:rPr>
        <w:t>管理要求一览表</w:t>
      </w:r>
    </w:p>
    <w:tbl>
      <w:tblPr>
        <w:tblStyle w:val="24"/>
        <w:tblW w:w="8950"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2410"/>
        <w:gridCol w:w="585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6"/>
                <w:sz w:val="21"/>
                <w:szCs w:val="21"/>
                <w14:textOutline w14:w="3795" w14:cap="sq" w14:cmpd="sng">
                  <w14:solidFill>
                    <w14:srgbClr w14:val="000000"/>
                  </w14:solidFill>
                  <w14:prstDash w14:val="solid"/>
                  <w14:bevel/>
                </w14:textOutline>
              </w:rPr>
              <w:t>序号</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4"/>
                <w:sz w:val="21"/>
                <w:szCs w:val="21"/>
                <w14:textOutline w14:w="3795" w14:cap="sq" w14:cmpd="sng">
                  <w14:solidFill>
                    <w14:srgbClr w14:val="000000"/>
                  </w14:solidFill>
                  <w14:prstDash w14:val="solid"/>
                  <w14:bevel/>
                </w14:textOutline>
              </w:rPr>
              <w:t>指标</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5"/>
                <w:sz w:val="21"/>
                <w:szCs w:val="21"/>
                <w14:textOutline w14:w="3795" w14:cap="sq" w14:cmpd="sng">
                  <w14:solidFill>
                    <w14:srgbClr w14:val="000000"/>
                  </w14:solidFill>
                  <w14:prstDash w14:val="solid"/>
                  <w14:bevel/>
                </w14:textOutline>
              </w:rPr>
              <w:t>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环境法律法规标准</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符合国家和地方有关环境法律、法规，污染物排放达到国家和地方排放标准、总量控制和排污许可证管理要求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环境审核</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按照行业企业清洁生产审核指南的要求进行审核；按照</w:t>
            </w:r>
            <w:r>
              <w:rPr>
                <w:rFonts w:ascii="Times New Roman" w:hAnsi="Times New Roman" w:eastAsia="Times New Roman" w:cs="Times New Roman"/>
                <w:sz w:val="21"/>
                <w:szCs w:val="21"/>
              </w:rPr>
              <w:t>ISO</w:t>
            </w:r>
            <w:r>
              <w:rPr>
                <w:rFonts w:ascii="Times New Roman" w:hAnsi="Times New Roman" w:eastAsia="Times New Roman" w:cs="Times New Roman"/>
                <w:spacing w:val="8"/>
                <w:sz w:val="21"/>
                <w:szCs w:val="21"/>
              </w:rPr>
              <w:t>14000</w:t>
            </w:r>
            <w:r>
              <w:rPr>
                <w:spacing w:val="8"/>
                <w:sz w:val="21"/>
                <w:szCs w:val="21"/>
              </w:rPr>
              <w:t>标准建立并运行环境管理体系，环境管理手册、</w:t>
            </w:r>
            <w:r>
              <w:rPr>
                <w:spacing w:val="9"/>
                <w:sz w:val="21"/>
                <w:szCs w:val="21"/>
              </w:rPr>
              <w:t>程序文件及作业文件齐备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原料用量及质量</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规定严格的检验、计量控制措施</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环保设备与设施</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spacing w:val="6"/>
                <w:sz w:val="21"/>
                <w:szCs w:val="21"/>
              </w:rPr>
              <w:t>运行无故障、设备完好率达</w:t>
            </w:r>
            <w:r>
              <w:rPr>
                <w:rFonts w:ascii="Times New Roman" w:hAnsi="Times New Roman" w:eastAsia="Times New Roman" w:cs="Times New Roman"/>
                <w:spacing w:val="6"/>
                <w:sz w:val="21"/>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1"/>
                <w:sz w:val="21"/>
                <w:szCs w:val="21"/>
              </w:rPr>
              <w:t>岗位培训</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所有岗位操作人员要进行严格培训</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生产设备的使用、维护、检修管理制度</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有完善的管理制度，并严格执行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生产工艺用水、电的管理</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安装计量仪表，并制定严格定量考核制度</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事故、非正常生产状况应急</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有具体的应急预案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环境管理机构</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建立并有专人负责，特别应建立起有效的环保专门机构</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10</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环境管理制度</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环境管理组织机构与管理制度健全，完善并纳入日常管理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环境管理计划</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制定近、远期环境保护计划并监督实施</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12</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环保设施的运行管理</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9"/>
                <w:sz w:val="21"/>
                <w:szCs w:val="21"/>
              </w:rPr>
              <w:t>记录运行数据并建立环保档案</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13</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污染源监测系统</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水污染物通过监测手段监控</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68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14</w:t>
            </w:r>
          </w:p>
        </w:tc>
        <w:tc>
          <w:tcPr>
            <w:tcW w:w="241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信息交流</w:t>
            </w:r>
          </w:p>
        </w:tc>
        <w:tc>
          <w:tcPr>
            <w:tcW w:w="58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8"/>
                <w:sz w:val="21"/>
                <w:szCs w:val="21"/>
              </w:rPr>
              <w:t>具备计算机网络化管理系统</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（1）设备管理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在生产机械的选用过程中，项目从生产和环保两方面进行考虑，对主要生产机械，采用高气密性型号，避免对工人及环境的不利影响。日常管理采用责任到人的方式，对生产设备进行维护保养，保证机械的正常运转。</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（2）生产组织管理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设立生产车间、生产小组，完善生产制度及调度制度，强化“清洁生产 ”观念。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（3）环境管理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制订详细的环境管理制度及环境培训计划，指定专人主管环境保护工作，积极配合当地环境监督管理部门的工作，抓好厂区的环境保护工作，提高员工环保意识，加强管理，节约用电，从生产过程尽量减少废气排放。</w:t>
      </w:r>
    </w:p>
    <w:p>
      <w:pPr>
        <w:spacing w:before="92" w:line="224" w:lineRule="auto"/>
        <w:outlineLvl w:val="3"/>
        <w:rPr>
          <w:rFonts w:ascii="楷体" w:hAnsi="楷体" w:eastAsia="楷体" w:cs="楷体"/>
          <w:sz w:val="28"/>
          <w:szCs w:val="28"/>
        </w:rPr>
      </w:pPr>
      <w:bookmarkStart w:id="306" w:name="bookmark68"/>
      <w:bookmarkEnd w:id="306"/>
      <w:r>
        <w:rPr>
          <w:rFonts w:ascii="Times New Roman" w:hAnsi="Times New Roman" w:eastAsia="Times New Roman" w:cs="Times New Roman"/>
          <w:spacing w:val="-4"/>
          <w:sz w:val="28"/>
          <w:szCs w:val="28"/>
        </w:rPr>
        <w:t>3.4.6</w:t>
      </w:r>
      <w:r>
        <w:rPr>
          <w:rFonts w:ascii="楷体" w:hAnsi="楷体" w:eastAsia="楷体" w:cs="楷体"/>
          <w:spacing w:val="-4"/>
          <w:sz w:val="28"/>
          <w:szCs w:val="28"/>
        </w:rPr>
        <w:t>清洁生产结论</w:t>
      </w:r>
    </w:p>
    <w:p>
      <w:pPr>
        <w:keepNext w:val="0"/>
        <w:keepLines w:val="0"/>
        <w:pageBreakBefore w:val="0"/>
        <w:widowControl w:val="0"/>
        <w:kinsoku/>
        <w:wordWrap/>
        <w:overflowPunct/>
        <w:topLinePunct w:val="0"/>
        <w:autoSpaceDE w:val="0"/>
        <w:autoSpaceDN w:val="0"/>
        <w:bidi w:val="0"/>
        <w:adjustRightInd w:val="0"/>
        <w:snapToGrid w:val="0"/>
        <w:spacing w:before="229" w:line="384" w:lineRule="auto"/>
        <w:ind w:left="125" w:right="34" w:firstLine="482"/>
        <w:jc w:val="both"/>
        <w:textAlignment w:val="baseline"/>
        <w:rPr>
          <w:rFonts w:ascii="宋体" w:hAnsi="宋体" w:eastAsia="宋体" w:cs="宋体"/>
          <w:sz w:val="24"/>
          <w:szCs w:val="24"/>
        </w:rPr>
      </w:pPr>
      <w:r>
        <w:rPr>
          <w:rFonts w:ascii="宋体" w:hAnsi="宋体" w:eastAsia="宋体" w:cs="宋体"/>
          <w:spacing w:val="-2"/>
          <w:sz w:val="24"/>
          <w:szCs w:val="24"/>
        </w:rPr>
        <w:t>项目清洁生产通过对生产工艺与技术装备要</w:t>
      </w:r>
      <w:r>
        <w:rPr>
          <w:rFonts w:ascii="宋体" w:hAnsi="宋体" w:eastAsia="宋体" w:cs="宋体"/>
          <w:spacing w:val="-3"/>
          <w:sz w:val="24"/>
          <w:szCs w:val="24"/>
        </w:rPr>
        <w:t>求、资源能源利用指标、产品指标、</w:t>
      </w:r>
      <w:r>
        <w:rPr>
          <w:rFonts w:ascii="宋体" w:hAnsi="宋体" w:eastAsia="宋体" w:cs="宋体"/>
          <w:spacing w:val="2"/>
          <w:sz w:val="24"/>
          <w:szCs w:val="24"/>
        </w:rPr>
        <w:t>废物回收利用指标和环境管理要求等指标进行分析后得出如下结论：本项目采用的工艺技术成熟，运行稳定可靠，资源能源利用率高，产生的</w:t>
      </w:r>
      <w:r>
        <w:rPr>
          <w:rFonts w:ascii="宋体" w:hAnsi="宋体" w:eastAsia="宋体" w:cs="宋体"/>
          <w:sz w:val="24"/>
          <w:szCs w:val="24"/>
        </w:rPr>
        <w:t>各项污染物均可实现达标排放，积极落实各项环境</w:t>
      </w:r>
      <w:r>
        <w:rPr>
          <w:rFonts w:ascii="宋体" w:hAnsi="宋体" w:eastAsia="宋体" w:cs="宋体"/>
          <w:spacing w:val="-1"/>
          <w:sz w:val="24"/>
          <w:szCs w:val="24"/>
        </w:rPr>
        <w:t>管理要求，符合清洁生产要求。</w:t>
      </w:r>
    </w:p>
    <w:p>
      <w:pPr>
        <w:keepNext w:val="0"/>
        <w:keepLines w:val="0"/>
        <w:pageBreakBefore w:val="0"/>
        <w:widowControl/>
        <w:kinsoku w:val="0"/>
        <w:wordWrap/>
        <w:overflowPunct/>
        <w:topLinePunct w:val="0"/>
        <w:autoSpaceDE w:val="0"/>
        <w:autoSpaceDN w:val="0"/>
        <w:bidi w:val="0"/>
        <w:adjustRightInd w:val="0"/>
        <w:snapToGrid w:val="0"/>
        <w:spacing w:before="92" w:line="360" w:lineRule="auto"/>
        <w:textAlignment w:val="baseline"/>
        <w:outlineLvl w:val="3"/>
        <w:rPr>
          <w:rFonts w:ascii="楷体" w:hAnsi="楷体" w:eastAsia="楷体" w:cs="楷体"/>
          <w:sz w:val="28"/>
          <w:szCs w:val="28"/>
        </w:rPr>
      </w:pPr>
      <w:bookmarkStart w:id="307" w:name="bookmark69"/>
      <w:bookmarkEnd w:id="307"/>
      <w:r>
        <w:rPr>
          <w:rFonts w:ascii="Times New Roman" w:hAnsi="Times New Roman" w:eastAsia="Times New Roman" w:cs="Times New Roman"/>
          <w:spacing w:val="-1"/>
          <w:sz w:val="28"/>
          <w:szCs w:val="28"/>
        </w:rPr>
        <w:t>3.4.7</w:t>
      </w:r>
      <w:r>
        <w:rPr>
          <w:rFonts w:ascii="楷体" w:hAnsi="楷体" w:eastAsia="楷体" w:cs="楷体"/>
          <w:spacing w:val="-1"/>
          <w:sz w:val="28"/>
          <w:szCs w:val="28"/>
        </w:rPr>
        <w:t>进一步推行清洁生产的具体措施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本项目在生产过程中拟采取以下推行清洁生产具体措施：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（1）加强企业管理的制度化、规范化，使企业按照现代化标准管理，进一步提高技术装备水平。</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（2）从源头控制污染物排放量，健全污染治理措施，主要污染物全部达标排放，最大限度地减轻对环境的污染，为企业持续发展创造条件。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（3）生产管理与环境管理的各项指标与个人经济利益挂钩，建立互相制约机制，调动职工的主动性和自觉性。</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（4）加强企业职工清洁生产培训，定期组织清洁生产审核。</w:t>
      </w:r>
      <w:bookmarkStart w:id="308" w:name="bookmark70"/>
      <w:bookmarkEnd w:id="308"/>
      <w:bookmarkStart w:id="309" w:name="bookmark71"/>
      <w:bookmarkEnd w:id="309"/>
      <w:bookmarkStart w:id="310" w:name="bookmark72"/>
      <w:bookmarkEnd w:id="310"/>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sectPr>
          <w:pgSz w:w="11906" w:h="16839"/>
          <w:pgMar w:top="1431" w:right="1350" w:bottom="1278" w:left="1402" w:header="0" w:footer="964" w:gutter="0"/>
          <w:pgBorders>
            <w:top w:val="none" w:sz="0" w:space="0"/>
            <w:left w:val="none" w:sz="0" w:space="0"/>
            <w:bottom w:val="none" w:sz="0" w:space="0"/>
            <w:right w:val="none" w:sz="0" w:space="0"/>
          </w:pgBorders>
          <w:pgNumType w:fmt="numberInDash"/>
          <w:cols w:equalWidth="0" w:num="1">
            <w:col w:w="9154"/>
          </w:cols>
        </w:sectPr>
      </w:pPr>
    </w:p>
    <w:p>
      <w:pPr>
        <w:pStyle w:val="3"/>
        <w:bidi w:val="0"/>
        <w:rPr>
          <w:rFonts w:ascii="黑体" w:hAnsi="黑体" w:eastAsia="黑体" w:cs="黑体"/>
          <w:sz w:val="44"/>
          <w:szCs w:val="44"/>
        </w:rPr>
      </w:pPr>
      <w:bookmarkStart w:id="311" w:name="_Toc24678"/>
      <w:bookmarkStart w:id="312" w:name="_Toc30593"/>
      <w:r>
        <w:rPr>
          <w:rFonts w:ascii="Times New Roman" w:hAnsi="Times New Roman" w:eastAsia="Times New Roman" w:cs="Times New Roman"/>
          <w:spacing w:val="7"/>
          <w:sz w:val="44"/>
          <w:szCs w:val="44"/>
        </w:rPr>
        <w:t>4</w:t>
      </w:r>
      <w:r>
        <w:rPr>
          <w:rFonts w:ascii="黑体" w:hAnsi="黑体" w:eastAsia="黑体" w:cs="黑体"/>
          <w:spacing w:val="7"/>
          <w:sz w:val="44"/>
          <w:szCs w:val="44"/>
        </w:rPr>
        <w:t xml:space="preserve">  环境现状调查与评价</w:t>
      </w:r>
      <w:bookmarkEnd w:id="311"/>
      <w:bookmarkEnd w:id="312"/>
    </w:p>
    <w:p>
      <w:pPr>
        <w:pStyle w:val="4"/>
        <w:bidi w:val="0"/>
        <w:rPr>
          <w:rFonts w:ascii="黑体" w:hAnsi="黑体" w:eastAsia="黑体" w:cs="黑体"/>
          <w:sz w:val="32"/>
          <w:szCs w:val="32"/>
        </w:rPr>
      </w:pPr>
      <w:bookmarkStart w:id="313" w:name="_Toc26141"/>
      <w:bookmarkStart w:id="314" w:name="_Toc28604"/>
      <w:r>
        <w:rPr>
          <w:rFonts w:ascii="Times New Roman" w:hAnsi="Times New Roman" w:eastAsia="Times New Roman" w:cs="Times New Roman"/>
          <w:spacing w:val="-6"/>
          <w:sz w:val="32"/>
          <w:szCs w:val="32"/>
        </w:rPr>
        <w:t>4.1</w:t>
      </w:r>
      <w:r>
        <w:rPr>
          <w:rFonts w:ascii="黑体" w:hAnsi="黑体" w:eastAsia="黑体" w:cs="黑体"/>
          <w:spacing w:val="-6"/>
          <w:sz w:val="32"/>
          <w:szCs w:val="32"/>
        </w:rPr>
        <w:t>自然环境概况</w:t>
      </w:r>
      <w:bookmarkEnd w:id="313"/>
      <w:bookmarkEnd w:id="314"/>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r>
        <w:rPr>
          <w:rFonts w:ascii="Times New Roman" w:hAnsi="Times New Roman" w:eastAsia="Times New Roman" w:cs="Times New Roman"/>
          <w:spacing w:val="-4"/>
          <w:sz w:val="28"/>
          <w:szCs w:val="28"/>
        </w:rPr>
        <w:t>4.1.1</w:t>
      </w:r>
      <w:r>
        <w:rPr>
          <w:rFonts w:ascii="楷体" w:hAnsi="楷体" w:eastAsia="楷体" w:cs="楷体"/>
          <w:spacing w:val="-4"/>
          <w:sz w:val="28"/>
          <w:szCs w:val="28"/>
        </w:rPr>
        <w:t>地理位置</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平顶山市位于河南省中南部，中国煤炭工业城市，西靠伏牛山，并连接洛阳；东接黄淮平原和漯河市；南与驻马店市、南阳市为邻；北与郑州市、许昌市相接。现辖汝州市、舞钢市、宝丰县、叶县、鲁山县、郏县和新华、卫东、湛河、石龙、新城五个区，总面积7882平方公里，地理坐标为北纬33°08′～34°20′、东经112°14′～113°45′。全境西高东低，呈阶梯状递降，海拔最高2153米，最低68.5米；东西长150公里，南北宽140公里，现已成为以能源、原材料工业为主体，煤炭、电力、钢铁、纺织、化工等工业综合发展的新兴工业城市，以其得天独厚的地理位置、丰富的自然资源、雄厚的经济实力以及源远流长的灿烂文化，越来越为中外所瞩目。平顶山地处京广、焦枝两大铁路干线之间，并有漯宝铁路与两大干线相连。</w:t>
      </w:r>
    </w:p>
    <w:p>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叶县位于河南省中部偏西南，地处黄淮平原与伏牛山余脉结合部，隶属平顶山市，总面积</w:t>
      </w:r>
      <w:r>
        <w:rPr>
          <w:rFonts w:ascii="Times New Roman" w:hAnsi="Times New Roman" w:eastAsia="宋体" w:cs="Times New Roman"/>
          <w:snapToGrid/>
          <w:kern w:val="2"/>
          <w:sz w:val="24"/>
          <w:szCs w:val="24"/>
          <w:lang w:eastAsia="zh-CN"/>
        </w:rPr>
        <w:t>1387</w:t>
      </w:r>
      <w:r>
        <w:rPr>
          <w:rFonts w:hint="eastAsia" w:ascii="Times New Roman" w:hAnsi="Times New Roman" w:eastAsia="宋体" w:cs="Times New Roman"/>
          <w:snapToGrid/>
          <w:kern w:val="2"/>
          <w:sz w:val="24"/>
          <w:szCs w:val="24"/>
          <w:lang w:eastAsia="zh-CN"/>
        </w:rPr>
        <w:t>平方公里。叶县东邻舞阳县和舞钢市，西接鲁山县，南与方城县接壤，北靠平顶山市区和襄城县，距平顶山市中心</w:t>
      </w:r>
      <w:r>
        <w:rPr>
          <w:rFonts w:ascii="Times New Roman" w:hAnsi="Times New Roman" w:eastAsia="宋体" w:cs="Times New Roman"/>
          <w:snapToGrid/>
          <w:kern w:val="2"/>
          <w:sz w:val="24"/>
          <w:szCs w:val="24"/>
          <w:lang w:eastAsia="zh-CN"/>
        </w:rPr>
        <w:t>22</w:t>
      </w:r>
      <w:r>
        <w:rPr>
          <w:rFonts w:hint="eastAsia" w:ascii="Times New Roman" w:hAnsi="Times New Roman" w:eastAsia="宋体" w:cs="Times New Roman"/>
          <w:snapToGrid/>
          <w:kern w:val="2"/>
          <w:sz w:val="24"/>
          <w:szCs w:val="24"/>
          <w:lang w:eastAsia="zh-CN"/>
        </w:rPr>
        <w:t>公里，距郑州市</w:t>
      </w:r>
      <w:r>
        <w:rPr>
          <w:rFonts w:ascii="Times New Roman" w:hAnsi="Times New Roman" w:eastAsia="宋体" w:cs="Times New Roman"/>
          <w:snapToGrid/>
          <w:kern w:val="2"/>
          <w:sz w:val="24"/>
          <w:szCs w:val="24"/>
          <w:lang w:eastAsia="zh-CN"/>
        </w:rPr>
        <w:t>145</w:t>
      </w:r>
      <w:r>
        <w:rPr>
          <w:rFonts w:hint="eastAsia" w:ascii="Times New Roman" w:hAnsi="Times New Roman" w:eastAsia="宋体" w:cs="Times New Roman"/>
          <w:snapToGrid/>
          <w:kern w:val="2"/>
          <w:sz w:val="24"/>
          <w:szCs w:val="24"/>
          <w:lang w:eastAsia="zh-CN"/>
        </w:rPr>
        <w:t>公里，距洛阳市</w:t>
      </w:r>
      <w:r>
        <w:rPr>
          <w:rFonts w:ascii="Times New Roman" w:hAnsi="Times New Roman" w:eastAsia="宋体" w:cs="Times New Roman"/>
          <w:snapToGrid/>
          <w:kern w:val="2"/>
          <w:sz w:val="24"/>
          <w:szCs w:val="24"/>
          <w:lang w:eastAsia="zh-CN"/>
        </w:rPr>
        <w:t>150</w:t>
      </w:r>
      <w:r>
        <w:rPr>
          <w:rFonts w:hint="eastAsia" w:ascii="Times New Roman" w:hAnsi="Times New Roman" w:eastAsia="宋体" w:cs="Times New Roman"/>
          <w:snapToGrid/>
          <w:kern w:val="2"/>
          <w:sz w:val="24"/>
          <w:szCs w:val="24"/>
          <w:lang w:eastAsia="zh-CN"/>
        </w:rPr>
        <w:t>公里，距南阳市</w:t>
      </w:r>
      <w:r>
        <w:rPr>
          <w:rFonts w:ascii="Times New Roman" w:hAnsi="Times New Roman" w:eastAsia="宋体" w:cs="Times New Roman"/>
          <w:snapToGrid/>
          <w:kern w:val="2"/>
          <w:sz w:val="24"/>
          <w:szCs w:val="24"/>
          <w:lang w:eastAsia="zh-CN"/>
        </w:rPr>
        <w:t>110</w:t>
      </w:r>
      <w:r>
        <w:rPr>
          <w:rFonts w:hint="eastAsia" w:ascii="Times New Roman" w:hAnsi="Times New Roman" w:eastAsia="宋体" w:cs="Times New Roman"/>
          <w:snapToGrid/>
          <w:kern w:val="2"/>
          <w:sz w:val="24"/>
          <w:szCs w:val="24"/>
          <w:lang w:eastAsia="zh-CN"/>
        </w:rPr>
        <w:t>公里，距漯河市</w:t>
      </w:r>
      <w:r>
        <w:rPr>
          <w:rFonts w:ascii="Times New Roman" w:hAnsi="Times New Roman" w:eastAsia="宋体" w:cs="Times New Roman"/>
          <w:snapToGrid/>
          <w:kern w:val="2"/>
          <w:sz w:val="24"/>
          <w:szCs w:val="24"/>
          <w:lang w:eastAsia="zh-CN"/>
        </w:rPr>
        <w:t>65</w:t>
      </w:r>
      <w:r>
        <w:rPr>
          <w:rFonts w:hint="eastAsia" w:ascii="Times New Roman" w:hAnsi="Times New Roman" w:eastAsia="宋体" w:cs="Times New Roman"/>
          <w:snapToGrid/>
          <w:kern w:val="2"/>
          <w:sz w:val="24"/>
          <w:szCs w:val="24"/>
          <w:lang w:eastAsia="zh-CN"/>
        </w:rPr>
        <w:t>公里。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color w:val="000000"/>
          <w:kern w:val="2"/>
          <w:sz w:val="24"/>
          <w:szCs w:val="24"/>
          <w:lang w:eastAsia="zh-CN"/>
        </w:rPr>
      </w:pPr>
      <w:r>
        <w:rPr>
          <w:rFonts w:hint="eastAsia" w:ascii="Times New Roman" w:hAnsi="Times New Roman" w:eastAsia="宋体" w:cs="Times New Roman"/>
          <w:snapToGrid/>
          <w:color w:val="000000"/>
          <w:kern w:val="2"/>
          <w:sz w:val="24"/>
          <w:szCs w:val="24"/>
          <w:lang w:eastAsia="zh-CN"/>
        </w:rPr>
        <w:t>本项目位于叶县马庄乡张庄村（河南省平顶山市迪可集团食品有限公司厂区院内），地理位置见附图一，</w:t>
      </w:r>
      <w:r>
        <w:rPr>
          <w:rFonts w:hint="eastAsia" w:ascii="Times New Roman" w:hAnsi="Times New Roman" w:eastAsia="宋体" w:cs="Times New Roman"/>
          <w:snapToGrid/>
          <w:kern w:val="2"/>
          <w:sz w:val="24"/>
          <w:szCs w:val="24"/>
          <w:lang w:eastAsia="zh-CN"/>
        </w:rPr>
        <w:t>其周围环</w:t>
      </w:r>
      <w:r>
        <w:rPr>
          <w:rFonts w:hint="eastAsia" w:ascii="Times New Roman" w:hAnsi="Times New Roman" w:eastAsia="宋体" w:cs="Times New Roman"/>
          <w:snapToGrid/>
          <w:color w:val="000000"/>
          <w:kern w:val="2"/>
          <w:sz w:val="24"/>
          <w:szCs w:val="24"/>
          <w:lang w:eastAsia="zh-CN"/>
        </w:rPr>
        <w:t>境示意图见附图二。</w:t>
      </w:r>
    </w:p>
    <w:p>
      <w:pPr>
        <w:keepNext w:val="0"/>
        <w:keepLines w:val="0"/>
        <w:pageBreakBefore w:val="0"/>
        <w:widowControl/>
        <w:kinsoku w:val="0"/>
        <w:wordWrap/>
        <w:overflowPunct/>
        <w:topLinePunct w:val="0"/>
        <w:autoSpaceDE w:val="0"/>
        <w:autoSpaceDN w:val="0"/>
        <w:bidi w:val="0"/>
        <w:adjustRightInd w:val="0"/>
        <w:snapToGrid w:val="0"/>
        <w:spacing w:before="92" w:line="360" w:lineRule="auto"/>
        <w:textAlignment w:val="baseline"/>
        <w:outlineLvl w:val="3"/>
        <w:rPr>
          <w:rFonts w:ascii="楷体" w:hAnsi="楷体" w:eastAsia="楷体" w:cs="楷体"/>
          <w:sz w:val="28"/>
          <w:szCs w:val="28"/>
        </w:rPr>
      </w:pPr>
      <w:bookmarkStart w:id="315" w:name="bookmark73"/>
      <w:bookmarkEnd w:id="315"/>
      <w:r>
        <w:rPr>
          <w:rFonts w:ascii="Times New Roman" w:hAnsi="Times New Roman" w:eastAsia="Times New Roman" w:cs="Times New Roman"/>
          <w:spacing w:val="-1"/>
          <w:sz w:val="28"/>
          <w:szCs w:val="28"/>
        </w:rPr>
        <w:t>4.1.2</w:t>
      </w:r>
      <w:r>
        <w:rPr>
          <w:rFonts w:ascii="楷体" w:hAnsi="楷体" w:eastAsia="楷体" w:cs="楷体"/>
          <w:spacing w:val="-1"/>
          <w:sz w:val="28"/>
          <w:szCs w:val="28"/>
        </w:rPr>
        <w:t>地形地貌</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叶县地属外方山东麓浅山丘陵区，由西往东为山地向黄淮平原过渡的丘陵起伏地带，由北向南则是河川、岭岗相间；西、南、东三面环山，北面是临河的平原和岗丘，中部为丘陵、平原、洼地交错，县城及其附近属平原区，地势平坦开阔。其中山区占总面积的</w:t>
      </w:r>
      <w:r>
        <w:rPr>
          <w:rFonts w:ascii="Times New Roman" w:hAnsi="Times New Roman" w:eastAsia="宋体" w:cs="Times New Roman"/>
          <w:snapToGrid/>
          <w:color w:val="000000"/>
          <w:kern w:val="0"/>
          <w:sz w:val="24"/>
          <w:szCs w:val="24"/>
          <w:lang w:eastAsia="zh-CN" w:bidi="ar"/>
        </w:rPr>
        <w:t>19.4%</w:t>
      </w:r>
      <w:r>
        <w:rPr>
          <w:rFonts w:hint="eastAsia" w:ascii="宋体" w:hAnsi="宋体" w:eastAsia="宋体" w:cs="宋体"/>
          <w:snapToGrid/>
          <w:color w:val="000000"/>
          <w:kern w:val="0"/>
          <w:sz w:val="24"/>
          <w:szCs w:val="24"/>
          <w:lang w:eastAsia="zh-CN" w:bidi="ar"/>
        </w:rPr>
        <w:t>，丘陵占</w:t>
      </w:r>
      <w:r>
        <w:rPr>
          <w:rFonts w:ascii="Times New Roman" w:hAnsi="Times New Roman" w:eastAsia="宋体" w:cs="Times New Roman"/>
          <w:snapToGrid/>
          <w:color w:val="000000"/>
          <w:kern w:val="0"/>
          <w:sz w:val="24"/>
          <w:szCs w:val="24"/>
          <w:lang w:eastAsia="zh-CN" w:bidi="ar"/>
        </w:rPr>
        <w:t>42.0%</w:t>
      </w:r>
      <w:r>
        <w:rPr>
          <w:rFonts w:hint="eastAsia" w:ascii="宋体" w:hAnsi="宋体" w:eastAsia="宋体" w:cs="宋体"/>
          <w:snapToGrid/>
          <w:color w:val="000000"/>
          <w:kern w:val="0"/>
          <w:sz w:val="24"/>
          <w:szCs w:val="24"/>
          <w:lang w:eastAsia="zh-CN" w:bidi="ar"/>
        </w:rPr>
        <w:t>，平原占</w:t>
      </w:r>
      <w:r>
        <w:rPr>
          <w:rFonts w:ascii="Times New Roman" w:hAnsi="Times New Roman" w:eastAsia="宋体" w:cs="Times New Roman"/>
          <w:snapToGrid/>
          <w:color w:val="000000"/>
          <w:kern w:val="0"/>
          <w:sz w:val="24"/>
          <w:szCs w:val="24"/>
          <w:lang w:eastAsia="zh-CN" w:bidi="ar"/>
        </w:rPr>
        <w:t>38.6%</w:t>
      </w:r>
      <w:r>
        <w:rPr>
          <w:rFonts w:hint="eastAsia" w:ascii="宋体" w:hAnsi="宋体" w:eastAsia="宋体" w:cs="宋体"/>
          <w:snapToGrid/>
          <w:color w:val="000000"/>
          <w:kern w:val="0"/>
          <w:sz w:val="24"/>
          <w:szCs w:val="24"/>
          <w:lang w:eastAsia="zh-CN" w:bidi="ar"/>
        </w:rPr>
        <w:t>。全县地势西北高东南低，境内有山峰</w:t>
      </w:r>
      <w:r>
        <w:rPr>
          <w:rFonts w:ascii="Times New Roman" w:hAnsi="Times New Roman" w:eastAsia="宋体" w:cs="Times New Roman"/>
          <w:snapToGrid/>
          <w:color w:val="000000"/>
          <w:kern w:val="0"/>
          <w:sz w:val="24"/>
          <w:szCs w:val="24"/>
          <w:lang w:eastAsia="zh-CN" w:bidi="ar"/>
        </w:rPr>
        <w:t>85</w:t>
      </w:r>
      <w:r>
        <w:rPr>
          <w:rFonts w:hint="eastAsia" w:ascii="宋体" w:hAnsi="宋体" w:eastAsia="宋体" w:cs="宋体"/>
          <w:snapToGrid/>
          <w:color w:val="000000"/>
          <w:kern w:val="0"/>
          <w:sz w:val="24"/>
          <w:szCs w:val="24"/>
          <w:lang w:eastAsia="zh-CN" w:bidi="ar"/>
        </w:rPr>
        <w:t>个，平均海拔</w:t>
      </w:r>
      <w:r>
        <w:rPr>
          <w:rFonts w:ascii="Times New Roman" w:hAnsi="Times New Roman" w:eastAsia="宋体" w:cs="Times New Roman"/>
          <w:snapToGrid/>
          <w:color w:val="000000"/>
          <w:kern w:val="0"/>
          <w:sz w:val="24"/>
          <w:szCs w:val="24"/>
          <w:lang w:eastAsia="zh-CN" w:bidi="ar"/>
        </w:rPr>
        <w:t>167m</w:t>
      </w:r>
      <w:r>
        <w:rPr>
          <w:rFonts w:hint="eastAsia" w:ascii="宋体" w:hAnsi="宋体" w:eastAsia="宋体" w:cs="宋体"/>
          <w:snapToGrid/>
          <w:color w:val="000000"/>
          <w:kern w:val="0"/>
          <w:sz w:val="24"/>
          <w:szCs w:val="24"/>
          <w:lang w:eastAsia="zh-CN" w:bidi="ar"/>
        </w:rPr>
        <w:t>，最高处为西部观音堂乡的无名山，海拔</w:t>
      </w:r>
      <w:r>
        <w:rPr>
          <w:rFonts w:ascii="Times New Roman" w:hAnsi="Times New Roman" w:eastAsia="宋体" w:cs="Times New Roman"/>
          <w:snapToGrid/>
          <w:color w:val="000000"/>
          <w:kern w:val="0"/>
          <w:sz w:val="24"/>
          <w:szCs w:val="24"/>
          <w:lang w:eastAsia="zh-CN" w:bidi="ar"/>
        </w:rPr>
        <w:t>740m</w:t>
      </w:r>
      <w:r>
        <w:rPr>
          <w:rFonts w:hint="eastAsia" w:ascii="宋体" w:hAnsi="宋体" w:eastAsia="宋体" w:cs="宋体"/>
          <w:snapToGrid/>
          <w:color w:val="000000"/>
          <w:kern w:val="0"/>
          <w:sz w:val="24"/>
          <w:szCs w:val="24"/>
          <w:lang w:eastAsia="zh-CN" w:bidi="ar"/>
        </w:rPr>
        <w:t>，东部最高山峰为擂鼓台，海拔</w:t>
      </w:r>
      <w:r>
        <w:rPr>
          <w:rFonts w:ascii="Times New Roman" w:hAnsi="Times New Roman" w:eastAsia="宋体" w:cs="Times New Roman"/>
          <w:snapToGrid/>
          <w:color w:val="000000"/>
          <w:kern w:val="0"/>
          <w:sz w:val="24"/>
          <w:szCs w:val="24"/>
          <w:lang w:eastAsia="zh-CN" w:bidi="ar"/>
        </w:rPr>
        <w:t>505m</w:t>
      </w:r>
      <w:r>
        <w:rPr>
          <w:rFonts w:hint="eastAsia" w:ascii="宋体" w:hAnsi="宋体" w:eastAsia="宋体" w:cs="宋体"/>
          <w:snapToGrid/>
          <w:color w:val="000000"/>
          <w:kern w:val="0"/>
          <w:sz w:val="24"/>
          <w:szCs w:val="24"/>
          <w:lang w:eastAsia="zh-CN" w:bidi="ar"/>
        </w:rPr>
        <w:t>，最低处为东部闹店乡洪寺营村，海拔</w:t>
      </w:r>
      <w:r>
        <w:rPr>
          <w:rFonts w:ascii="Times New Roman" w:hAnsi="Times New Roman" w:eastAsia="宋体" w:cs="Times New Roman"/>
          <w:snapToGrid/>
          <w:color w:val="000000"/>
          <w:kern w:val="0"/>
          <w:sz w:val="24"/>
          <w:szCs w:val="24"/>
          <w:lang w:eastAsia="zh-CN" w:bidi="ar"/>
        </w:rPr>
        <w:t>98m</w:t>
      </w:r>
      <w:r>
        <w:rPr>
          <w:rFonts w:hint="eastAsia" w:ascii="宋体" w:hAnsi="宋体" w:eastAsia="宋体" w:cs="宋体"/>
          <w:snapToGrid/>
          <w:color w:val="000000"/>
          <w:kern w:val="0"/>
          <w:sz w:val="24"/>
          <w:szCs w:val="24"/>
          <w:lang w:eastAsia="zh-CN" w:bidi="ar"/>
        </w:rPr>
        <w:t>，一般地面坡降为</w:t>
      </w:r>
      <w:r>
        <w:rPr>
          <w:rFonts w:ascii="Times New Roman" w:hAnsi="Times New Roman" w:eastAsia="宋体" w:cs="Times New Roman"/>
          <w:snapToGrid/>
          <w:color w:val="000000"/>
          <w:kern w:val="0"/>
          <w:sz w:val="24"/>
          <w:szCs w:val="24"/>
          <w:lang w:eastAsia="zh-CN" w:bidi="ar"/>
        </w:rPr>
        <w:t>1/400</w:t>
      </w:r>
      <w:r>
        <w:rPr>
          <w:rFonts w:hint="eastAsia" w:ascii="宋体" w:hAnsi="宋体" w:eastAsia="宋体" w:cs="宋体"/>
          <w:snapToGrid/>
          <w:color w:val="000000"/>
          <w:kern w:val="0"/>
          <w:sz w:val="24"/>
          <w:szCs w:val="24"/>
          <w:lang w:eastAsia="zh-CN" w:bidi="ar"/>
        </w:rPr>
        <w:t>。</w:t>
      </w:r>
    </w:p>
    <w:p>
      <w:pPr>
        <w:pStyle w:val="8"/>
        <w:spacing w:line="261" w:lineRule="auto"/>
        <w:ind w:firstLine="480" w:firstLineChars="200"/>
      </w:pPr>
      <w:r>
        <w:rPr>
          <w:rFonts w:hint="eastAsia" w:ascii="宋体" w:hAnsi="宋体" w:eastAsia="宋体" w:cs="宋体"/>
          <w:snapToGrid/>
          <w:color w:val="000000"/>
          <w:kern w:val="0"/>
          <w:sz w:val="24"/>
          <w:szCs w:val="24"/>
          <w:lang w:eastAsia="zh-CN" w:bidi="ar"/>
        </w:rPr>
        <w:t>本项目场地较平坦，利于项目建设。</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bookmarkStart w:id="316" w:name="bookmark74"/>
      <w:bookmarkEnd w:id="316"/>
      <w:r>
        <w:rPr>
          <w:rFonts w:ascii="Times New Roman" w:hAnsi="Times New Roman" w:eastAsia="Times New Roman" w:cs="Times New Roman"/>
          <w:spacing w:val="-5"/>
          <w:sz w:val="28"/>
          <w:szCs w:val="28"/>
        </w:rPr>
        <w:t>4.1.3</w:t>
      </w:r>
      <w:r>
        <w:rPr>
          <w:rFonts w:ascii="楷体" w:hAnsi="楷体" w:eastAsia="楷体" w:cs="楷体"/>
          <w:spacing w:val="-5"/>
          <w:sz w:val="28"/>
          <w:szCs w:val="28"/>
        </w:rPr>
        <w:t>气候与气象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bookmarkStart w:id="317" w:name="bookmark75"/>
      <w:bookmarkEnd w:id="317"/>
      <w:r>
        <w:rPr>
          <w:rFonts w:hint="eastAsia" w:ascii="宋体" w:hAnsi="宋体" w:eastAsia="宋体" w:cs="宋体"/>
          <w:snapToGrid/>
          <w:color w:val="000000"/>
          <w:kern w:val="0"/>
          <w:sz w:val="24"/>
          <w:szCs w:val="24"/>
          <w:lang w:eastAsia="zh-CN" w:bidi="ar"/>
        </w:rPr>
        <w:t>叶县属暖温带大陆性季风气候，四季分明，降雨量年际变率大，形成了以干旱为主的气候特点。夏季常处于太平洋副热带高压后部，多吹偏东北风，暖湿气流势力较强，容易产生阵性降水，为全年的主要降水季节；冬季常受西伯利亚冷空气团南下影响，多吹偏西风，气候寒冷，空气干燥，降水稀少。根据叶县气象站提供的近</w:t>
      </w:r>
      <w:r>
        <w:rPr>
          <w:rFonts w:ascii="Times New Roman" w:hAnsi="Times New Roman" w:eastAsia="宋体" w:cs="Times New Roman"/>
          <w:snapToGrid/>
          <w:color w:val="000000"/>
          <w:kern w:val="0"/>
          <w:sz w:val="24"/>
          <w:szCs w:val="24"/>
          <w:lang w:eastAsia="zh-CN" w:bidi="ar"/>
        </w:rPr>
        <w:t>20</w:t>
      </w:r>
      <w:r>
        <w:rPr>
          <w:rFonts w:hint="eastAsia" w:ascii="宋体" w:hAnsi="宋体" w:eastAsia="宋体" w:cs="宋体"/>
          <w:snapToGrid/>
          <w:color w:val="000000"/>
          <w:kern w:val="0"/>
          <w:sz w:val="24"/>
          <w:szCs w:val="24"/>
          <w:lang w:eastAsia="zh-CN" w:bidi="ar"/>
        </w:rPr>
        <w:t>年气象资料统计，叶县主要气象气候参数列于表</w:t>
      </w:r>
      <w:r>
        <w:rPr>
          <w:rFonts w:hint="eastAsia" w:ascii="Times New Roman" w:hAnsi="Times New Roman" w:eastAsia="宋体" w:cs="Times New Roman"/>
          <w:snapToGrid/>
          <w:color w:val="000000"/>
          <w:kern w:val="0"/>
          <w:sz w:val="24"/>
          <w:szCs w:val="24"/>
          <w:lang w:val="en-US" w:eastAsia="zh-CN" w:bidi="ar"/>
        </w:rPr>
        <w:t>4</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snapToGrid/>
          <w:kern w:val="2"/>
          <w:sz w:val="24"/>
          <w:szCs w:val="24"/>
          <w:lang w:eastAsia="zh-CN"/>
        </w:rPr>
      </w:pPr>
      <w:r>
        <w:rPr>
          <w:rFonts w:ascii="Times New Roman" w:hAnsi="Times New Roman" w:eastAsia="宋体" w:cs="Times New Roman"/>
          <w:b/>
          <w:bCs/>
          <w:snapToGrid/>
          <w:kern w:val="2"/>
          <w:sz w:val="24"/>
          <w:szCs w:val="24"/>
          <w:lang w:eastAsia="zh-CN"/>
        </w:rPr>
        <w:t>表</w:t>
      </w:r>
      <w:r>
        <w:rPr>
          <w:rFonts w:hint="eastAsia" w:ascii="Times New Roman" w:hAnsi="Times New Roman" w:eastAsia="宋体" w:cs="Times New Roman"/>
          <w:b/>
          <w:bCs/>
          <w:snapToGrid/>
          <w:kern w:val="2"/>
          <w:sz w:val="24"/>
          <w:szCs w:val="24"/>
          <w:lang w:val="en-US" w:eastAsia="zh-CN"/>
        </w:rPr>
        <w:t>4</w:t>
      </w:r>
      <w:r>
        <w:rPr>
          <w:rFonts w:ascii="Times New Roman" w:hAnsi="Times New Roman" w:eastAsia="宋体" w:cs="Times New Roman"/>
          <w:b/>
          <w:bCs/>
          <w:snapToGrid/>
          <w:kern w:val="2"/>
          <w:sz w:val="24"/>
          <w:szCs w:val="24"/>
          <w:lang w:eastAsia="zh-CN"/>
        </w:rPr>
        <w:t xml:space="preserve">-1 </w:t>
      </w:r>
      <w:r>
        <w:rPr>
          <w:rFonts w:hint="eastAsia" w:ascii="Times New Roman" w:hAnsi="Times New Roman" w:eastAsia="宋体" w:cs="Times New Roman"/>
          <w:b/>
          <w:bCs/>
          <w:snapToGrid/>
          <w:kern w:val="2"/>
          <w:sz w:val="24"/>
          <w:szCs w:val="24"/>
          <w:lang w:eastAsia="zh-CN"/>
        </w:rPr>
        <w:t xml:space="preserve"> </w:t>
      </w:r>
      <w:r>
        <w:rPr>
          <w:rFonts w:hint="eastAsia" w:ascii="Times New Roman" w:hAnsi="Times New Roman" w:eastAsia="宋体" w:cs="Times New Roman"/>
          <w:b/>
          <w:bCs/>
          <w:snapToGrid/>
          <w:kern w:val="2"/>
          <w:sz w:val="24"/>
          <w:szCs w:val="24"/>
          <w:lang w:val="en-US" w:eastAsia="zh-CN"/>
        </w:rPr>
        <w:t xml:space="preserve">  </w:t>
      </w:r>
      <w:r>
        <w:rPr>
          <w:rFonts w:hint="eastAsia" w:ascii="Times New Roman" w:hAnsi="Times New Roman" w:eastAsia="宋体" w:cs="Times New Roman"/>
          <w:b/>
          <w:bCs/>
          <w:snapToGrid/>
          <w:kern w:val="2"/>
          <w:sz w:val="24"/>
          <w:szCs w:val="24"/>
          <w:lang w:eastAsia="zh-CN"/>
        </w:rPr>
        <w:t>区域气象气候参数一览表</w:t>
      </w:r>
    </w:p>
    <w:tbl>
      <w:tblPr>
        <w:tblStyle w:val="21"/>
        <w:tblW w:w="93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904"/>
        <w:gridCol w:w="1787"/>
        <w:gridCol w:w="2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类别</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参数</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单位</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vMerge w:val="restart"/>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气温</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年平均气温</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vMerge w:val="continue"/>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极端最高气温</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42.3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vMerge w:val="continue"/>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极端最低气温</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气压</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年平均气压</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hPa</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1008.7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vMerge w:val="restart"/>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降水量</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年平均降水量</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mm</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800.1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vMerge w:val="continue"/>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年最大降水量</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mm</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1323.6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vMerge w:val="continue"/>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年最小降水量</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mm</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373.9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蒸发量</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年平均蒸发量</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mm</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2825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湿度</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年相对湿度</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日照</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年平均年日照时数</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h</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2145.9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vMerge w:val="restart"/>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风速</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多年平均风速</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m/s</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vMerge w:val="continue"/>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年最大风速</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m/s</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风向</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年主导风向</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Times New Roman"/>
                <w:snapToGrid/>
                <w:kern w:val="2"/>
                <w:sz w:val="21"/>
                <w:szCs w:val="21"/>
                <w:lang w:eastAsia="zh-CN"/>
              </w:rPr>
              <w:t>/</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NE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无霜期</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年平均无霜期</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d</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79"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冰冻期</w:t>
            </w:r>
          </w:p>
        </w:tc>
        <w:tc>
          <w:tcPr>
            <w:tcW w:w="2904"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hint="eastAsia" w:ascii="Times New Roman" w:hAnsi="Times New Roman" w:eastAsia="宋体" w:cs="宋体"/>
                <w:snapToGrid/>
                <w:color w:val="000000"/>
                <w:kern w:val="0"/>
                <w:sz w:val="21"/>
                <w:szCs w:val="21"/>
                <w:lang w:eastAsia="zh-CN" w:bidi="ar"/>
              </w:rPr>
              <w:t>年平均冰冻期</w:t>
            </w:r>
          </w:p>
        </w:tc>
        <w:tc>
          <w:tcPr>
            <w:tcW w:w="1787"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d</w:t>
            </w:r>
          </w:p>
        </w:tc>
        <w:tc>
          <w:tcPr>
            <w:tcW w:w="2900" w:type="dxa"/>
            <w:tcBorders>
              <w:tl2br w:val="nil"/>
              <w:tr2bl w:val="nil"/>
            </w:tcBorders>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宋体" w:cs="Times New Roman"/>
                <w:snapToGrid/>
                <w:kern w:val="2"/>
                <w:sz w:val="21"/>
                <w:szCs w:val="21"/>
                <w:lang w:eastAsia="zh-CN"/>
              </w:rPr>
            </w:pPr>
            <w:r>
              <w:rPr>
                <w:rFonts w:ascii="Times New Roman" w:hAnsi="Times New Roman" w:eastAsia="宋体" w:cs="Times New Roman"/>
                <w:snapToGrid/>
                <w:color w:val="000000"/>
                <w:kern w:val="0"/>
                <w:sz w:val="21"/>
                <w:szCs w:val="21"/>
                <w:lang w:eastAsia="zh-CN" w:bidi="ar"/>
              </w:rPr>
              <w:t>70</w:t>
            </w:r>
          </w:p>
        </w:tc>
      </w:tr>
    </w:tbl>
    <w:p>
      <w:pPr>
        <w:spacing w:before="270" w:line="228" w:lineRule="auto"/>
        <w:outlineLvl w:val="3"/>
        <w:rPr>
          <w:rFonts w:hint="eastAsia" w:ascii="楷体" w:hAnsi="楷体" w:eastAsia="宋体" w:cs="楷体"/>
          <w:sz w:val="28"/>
          <w:szCs w:val="28"/>
          <w:lang w:eastAsia="zh-CN"/>
        </w:rPr>
      </w:pPr>
      <w:r>
        <w:rPr>
          <w:rFonts w:ascii="Times New Roman" w:hAnsi="Times New Roman" w:eastAsia="Times New Roman" w:cs="Times New Roman"/>
          <w:spacing w:val="-1"/>
          <w:sz w:val="28"/>
          <w:szCs w:val="28"/>
        </w:rPr>
        <w:t>4.1.4</w:t>
      </w:r>
      <w:r>
        <w:rPr>
          <w:rFonts w:hint="eastAsia" w:ascii="楷体" w:hAnsi="楷体" w:eastAsia="楷体" w:cs="楷体"/>
          <w:spacing w:val="-1"/>
          <w:sz w:val="28"/>
          <w:szCs w:val="28"/>
          <w:lang w:eastAsia="zh-CN"/>
        </w:rPr>
        <w:t>地表水和地下水</w:t>
      </w:r>
    </w:p>
    <w:p>
      <w:pPr>
        <w:keepNext w:val="0"/>
        <w:keepLines w:val="0"/>
        <w:pageBreakBefore w:val="0"/>
        <w:widowControl/>
        <w:wordWrap/>
        <w:overflowPunct/>
        <w:topLinePunct w:val="0"/>
        <w:bidi w:val="0"/>
        <w:spacing w:before="223" w:line="360"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）地表水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叶县境内河流均属于淮河流域，颍河水系，较大的河流有汝河、湛河、沙河、灰河、澧河、甘江河</w:t>
      </w:r>
      <w:r>
        <w:rPr>
          <w:rFonts w:ascii="Times New Roman" w:hAnsi="Times New Roman" w:eastAsia="宋体" w:cs="Times New Roman"/>
          <w:snapToGrid/>
          <w:color w:val="000000"/>
          <w:kern w:val="0"/>
          <w:sz w:val="24"/>
          <w:szCs w:val="24"/>
          <w:lang w:eastAsia="zh-CN" w:bidi="ar"/>
        </w:rPr>
        <w:t>6</w:t>
      </w:r>
      <w:r>
        <w:rPr>
          <w:rFonts w:hint="eastAsia" w:ascii="宋体" w:hAnsi="宋体" w:eastAsia="宋体" w:cs="宋体"/>
          <w:snapToGrid/>
          <w:color w:val="000000"/>
          <w:kern w:val="0"/>
          <w:sz w:val="24"/>
          <w:szCs w:val="24"/>
          <w:lang w:eastAsia="zh-CN" w:bidi="ar"/>
        </w:rPr>
        <w:t>条河流。境内总流长</w:t>
      </w:r>
      <w:r>
        <w:rPr>
          <w:rFonts w:ascii="Times New Roman" w:hAnsi="Times New Roman" w:eastAsia="宋体" w:cs="Times New Roman"/>
          <w:snapToGrid/>
          <w:color w:val="000000"/>
          <w:kern w:val="0"/>
          <w:sz w:val="24"/>
          <w:szCs w:val="24"/>
          <w:lang w:eastAsia="zh-CN" w:bidi="ar"/>
        </w:rPr>
        <w:t>191km</w:t>
      </w:r>
      <w:r>
        <w:rPr>
          <w:rFonts w:hint="eastAsia" w:ascii="宋体" w:hAnsi="宋体" w:eastAsia="宋体" w:cs="宋体"/>
          <w:snapToGrid/>
          <w:color w:val="000000"/>
          <w:kern w:val="0"/>
          <w:sz w:val="24"/>
          <w:szCs w:val="24"/>
          <w:lang w:eastAsia="zh-CN" w:bidi="ar"/>
        </w:rPr>
        <w:t>，流域面积</w:t>
      </w:r>
      <w:r>
        <w:rPr>
          <w:rFonts w:ascii="Times New Roman" w:hAnsi="Times New Roman" w:eastAsia="宋体" w:cs="Times New Roman"/>
          <w:snapToGrid/>
          <w:color w:val="000000"/>
          <w:kern w:val="0"/>
          <w:sz w:val="24"/>
          <w:szCs w:val="24"/>
          <w:lang w:eastAsia="zh-CN" w:bidi="ar"/>
        </w:rPr>
        <w:t>1203km</w:t>
      </w:r>
      <w:r>
        <w:rPr>
          <w:rFonts w:ascii="Times New Roman" w:hAnsi="Times New Roman" w:eastAsia="宋体" w:cs="Times New Roman"/>
          <w:snapToGrid/>
          <w:color w:val="000000"/>
          <w:kern w:val="0"/>
          <w:sz w:val="24"/>
          <w:szCs w:val="24"/>
          <w:vertAlign w:val="superscript"/>
          <w:lang w:eastAsia="zh-CN" w:bidi="ar"/>
        </w:rPr>
        <w:t>2</w:t>
      </w:r>
      <w:r>
        <w:rPr>
          <w:rFonts w:hint="eastAsia" w:ascii="宋体" w:hAnsi="宋体" w:eastAsia="宋体" w:cs="宋体"/>
          <w:snapToGrid/>
          <w:color w:val="000000"/>
          <w:kern w:val="0"/>
          <w:sz w:val="24"/>
          <w:szCs w:val="24"/>
          <w:lang w:eastAsia="zh-CN" w:bidi="ar"/>
        </w:rPr>
        <w:t>，全县径流量</w:t>
      </w:r>
      <w:r>
        <w:rPr>
          <w:rFonts w:ascii="Times New Roman" w:hAnsi="Times New Roman" w:eastAsia="宋体" w:cs="Times New Roman"/>
          <w:snapToGrid/>
          <w:color w:val="000000"/>
          <w:kern w:val="0"/>
          <w:sz w:val="24"/>
          <w:szCs w:val="24"/>
          <w:lang w:eastAsia="zh-CN" w:bidi="ar"/>
        </w:rPr>
        <w:t>4.92</w:t>
      </w:r>
      <w:r>
        <w:rPr>
          <w:rFonts w:hint="eastAsia" w:ascii="宋体" w:hAnsi="宋体" w:eastAsia="宋体" w:cs="宋体"/>
          <w:snapToGrid/>
          <w:color w:val="000000"/>
          <w:kern w:val="0"/>
          <w:sz w:val="24"/>
          <w:szCs w:val="24"/>
          <w:lang w:eastAsia="zh-CN" w:bidi="ar"/>
        </w:rPr>
        <w:t>亿</w:t>
      </w:r>
      <w:r>
        <w:rPr>
          <w:rFonts w:ascii="Times New Roman" w:hAnsi="Times New Roman" w:eastAsia="宋体" w:cs="Times New Roman"/>
          <w:snapToGrid/>
          <w:color w:val="000000"/>
          <w:kern w:val="0"/>
          <w:sz w:val="24"/>
          <w:szCs w:val="24"/>
          <w:lang w:eastAsia="zh-CN" w:bidi="ar"/>
        </w:rPr>
        <w:t>m</w:t>
      </w:r>
      <w:r>
        <w:rPr>
          <w:rFonts w:ascii="Times New Roman" w:hAnsi="Times New Roman" w:eastAsia="宋体" w:cs="Times New Roman"/>
          <w:snapToGrid/>
          <w:color w:val="000000"/>
          <w:kern w:val="0"/>
          <w:sz w:val="24"/>
          <w:szCs w:val="24"/>
          <w:vertAlign w:val="superscript"/>
          <w:lang w:eastAsia="zh-CN" w:bidi="ar"/>
        </w:rPr>
        <w:t>3</w:t>
      </w:r>
      <w:r>
        <w:rPr>
          <w:rFonts w:hint="eastAsia" w:ascii="宋体" w:hAnsi="宋体" w:eastAsia="宋体" w:cs="宋体"/>
          <w:snapToGrid/>
          <w:color w:val="000000"/>
          <w:kern w:val="0"/>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沙河是流经叶县境内的一条大河，发源于鲁山县尧山，流经鲁山、沙河区、叶县进入舞阳县境，境内流长</w:t>
      </w:r>
      <w:r>
        <w:rPr>
          <w:rFonts w:ascii="Times New Roman" w:hAnsi="Times New Roman" w:eastAsia="宋体" w:cs="Times New Roman"/>
          <w:snapToGrid/>
          <w:color w:val="000000"/>
          <w:kern w:val="0"/>
          <w:sz w:val="24"/>
          <w:szCs w:val="24"/>
          <w:lang w:eastAsia="zh-CN" w:bidi="ar"/>
        </w:rPr>
        <w:t>175.8km</w:t>
      </w:r>
      <w:r>
        <w:rPr>
          <w:rFonts w:hint="eastAsia" w:ascii="宋体" w:hAnsi="宋体" w:eastAsia="宋体" w:cs="宋体"/>
          <w:snapToGrid/>
          <w:color w:val="000000"/>
          <w:kern w:val="0"/>
          <w:sz w:val="24"/>
          <w:szCs w:val="24"/>
          <w:lang w:eastAsia="zh-CN" w:bidi="ar"/>
        </w:rPr>
        <w:t>，流域面积</w:t>
      </w:r>
      <w:r>
        <w:rPr>
          <w:rFonts w:ascii="Times New Roman" w:hAnsi="Times New Roman" w:eastAsia="宋体" w:cs="Times New Roman"/>
          <w:snapToGrid/>
          <w:color w:val="000000"/>
          <w:kern w:val="0"/>
          <w:sz w:val="24"/>
          <w:szCs w:val="24"/>
          <w:lang w:eastAsia="zh-CN" w:bidi="ar"/>
        </w:rPr>
        <w:t>3910.46km</w:t>
      </w:r>
      <w:r>
        <w:rPr>
          <w:rFonts w:ascii="Times New Roman" w:hAnsi="Times New Roman" w:eastAsia="宋体" w:cs="Times New Roman"/>
          <w:snapToGrid/>
          <w:color w:val="000000"/>
          <w:kern w:val="0"/>
          <w:sz w:val="24"/>
          <w:szCs w:val="24"/>
          <w:vertAlign w:val="superscript"/>
          <w:lang w:eastAsia="zh-CN" w:bidi="ar"/>
        </w:rPr>
        <w:t>2</w:t>
      </w:r>
      <w:r>
        <w:rPr>
          <w:rFonts w:hint="eastAsia" w:ascii="宋体" w:hAnsi="宋体" w:eastAsia="宋体" w:cs="宋体"/>
          <w:snapToGrid/>
          <w:color w:val="000000"/>
          <w:kern w:val="0"/>
          <w:sz w:val="24"/>
          <w:szCs w:val="24"/>
          <w:lang w:eastAsia="zh-CN" w:bidi="ar"/>
        </w:rPr>
        <w:t>，多年平均径流量为</w:t>
      </w:r>
      <w:r>
        <w:rPr>
          <w:rFonts w:ascii="Times New Roman" w:hAnsi="Times New Roman" w:eastAsia="宋体" w:cs="Times New Roman"/>
          <w:snapToGrid/>
          <w:color w:val="000000"/>
          <w:kern w:val="0"/>
          <w:sz w:val="24"/>
          <w:szCs w:val="24"/>
          <w:lang w:eastAsia="zh-CN" w:bidi="ar"/>
        </w:rPr>
        <w:t>11.2</w:t>
      </w:r>
      <w:r>
        <w:rPr>
          <w:rFonts w:hint="eastAsia" w:ascii="宋体" w:hAnsi="宋体" w:eastAsia="宋体" w:cs="宋体"/>
          <w:snapToGrid/>
          <w:color w:val="000000"/>
          <w:kern w:val="0"/>
          <w:sz w:val="24"/>
          <w:szCs w:val="24"/>
          <w:lang w:eastAsia="zh-CN" w:bidi="ar"/>
        </w:rPr>
        <w:t>亿</w:t>
      </w:r>
      <w:r>
        <w:rPr>
          <w:rFonts w:ascii="Times New Roman" w:hAnsi="Times New Roman" w:eastAsia="宋体" w:cs="Times New Roman"/>
          <w:snapToGrid/>
          <w:color w:val="000000"/>
          <w:kern w:val="0"/>
          <w:sz w:val="24"/>
          <w:szCs w:val="24"/>
          <w:lang w:eastAsia="zh-CN" w:bidi="ar"/>
        </w:rPr>
        <w:t>m</w:t>
      </w:r>
      <w:r>
        <w:rPr>
          <w:rFonts w:ascii="Times New Roman" w:hAnsi="Times New Roman" w:eastAsia="宋体" w:cs="Times New Roman"/>
          <w:snapToGrid/>
          <w:color w:val="000000"/>
          <w:kern w:val="0"/>
          <w:sz w:val="24"/>
          <w:szCs w:val="24"/>
          <w:vertAlign w:val="superscript"/>
          <w:lang w:eastAsia="zh-CN" w:bidi="ar"/>
        </w:rPr>
        <w:t>3</w:t>
      </w:r>
      <w:r>
        <w:rPr>
          <w:rFonts w:hint="eastAsia" w:ascii="宋体" w:hAnsi="宋体" w:eastAsia="宋体" w:cs="宋体"/>
          <w:snapToGrid/>
          <w:color w:val="000000"/>
          <w:kern w:val="0"/>
          <w:sz w:val="24"/>
          <w:szCs w:val="24"/>
          <w:lang w:eastAsia="zh-CN" w:bidi="ar"/>
        </w:rPr>
        <w:t>。在干流上建有昭平台、白龟山两座大型水库。灰河距城区最近，是城区生活污水和工业废水的接纳河流，灰河在叶县境内分南北两条河，北为老灰河，南为新灰河。该河发源于鲁山县樱桃山，流经叶县、舞阳，干流长</w:t>
      </w:r>
      <w:r>
        <w:rPr>
          <w:rFonts w:ascii="Times New Roman" w:hAnsi="Times New Roman" w:eastAsia="宋体" w:cs="Times New Roman"/>
          <w:snapToGrid/>
          <w:color w:val="000000"/>
          <w:kern w:val="0"/>
          <w:sz w:val="24"/>
          <w:szCs w:val="24"/>
          <w:lang w:eastAsia="zh-CN" w:bidi="ar"/>
        </w:rPr>
        <w:t>81.9km</w:t>
      </w:r>
      <w:r>
        <w:rPr>
          <w:rFonts w:hint="eastAsia" w:ascii="宋体" w:hAnsi="宋体" w:eastAsia="宋体" w:cs="宋体"/>
          <w:snapToGrid/>
          <w:color w:val="000000"/>
          <w:kern w:val="0"/>
          <w:sz w:val="24"/>
          <w:szCs w:val="24"/>
          <w:lang w:eastAsia="zh-CN" w:bidi="ar"/>
        </w:rPr>
        <w:t>，总流域面积</w:t>
      </w:r>
      <w:r>
        <w:rPr>
          <w:rFonts w:ascii="Times New Roman" w:hAnsi="Times New Roman" w:eastAsia="宋体" w:cs="Times New Roman"/>
          <w:snapToGrid/>
          <w:color w:val="000000"/>
          <w:kern w:val="0"/>
          <w:sz w:val="24"/>
          <w:szCs w:val="24"/>
          <w:lang w:eastAsia="zh-CN" w:bidi="ar"/>
        </w:rPr>
        <w:t>505km</w:t>
      </w:r>
      <w:r>
        <w:rPr>
          <w:rFonts w:ascii="Times New Roman" w:hAnsi="Times New Roman" w:eastAsia="宋体" w:cs="Times New Roman"/>
          <w:snapToGrid/>
          <w:color w:val="000000"/>
          <w:kern w:val="0"/>
          <w:sz w:val="24"/>
          <w:szCs w:val="24"/>
          <w:vertAlign w:val="superscript"/>
          <w:lang w:eastAsia="zh-CN" w:bidi="ar"/>
        </w:rPr>
        <w:t>2</w:t>
      </w:r>
      <w:r>
        <w:rPr>
          <w:rFonts w:hint="eastAsia" w:ascii="宋体" w:hAnsi="宋体" w:eastAsia="宋体" w:cs="宋体"/>
          <w:snapToGrid/>
          <w:color w:val="000000"/>
          <w:kern w:val="0"/>
          <w:sz w:val="24"/>
          <w:szCs w:val="24"/>
          <w:lang w:eastAsia="zh-CN" w:bidi="ar"/>
        </w:rPr>
        <w:t>，在叶县境内自西向东长约</w:t>
      </w:r>
      <w:r>
        <w:rPr>
          <w:rFonts w:ascii="Times New Roman" w:hAnsi="Times New Roman" w:eastAsia="宋体" w:cs="Times New Roman"/>
          <w:snapToGrid/>
          <w:color w:val="000000"/>
          <w:kern w:val="0"/>
          <w:sz w:val="24"/>
          <w:szCs w:val="24"/>
          <w:lang w:eastAsia="zh-CN" w:bidi="ar"/>
        </w:rPr>
        <w:t>42km</w:t>
      </w:r>
      <w:r>
        <w:rPr>
          <w:rFonts w:hint="eastAsia" w:ascii="宋体" w:hAnsi="宋体" w:eastAsia="宋体" w:cs="宋体"/>
          <w:snapToGrid/>
          <w:color w:val="000000"/>
          <w:kern w:val="0"/>
          <w:sz w:val="24"/>
          <w:szCs w:val="24"/>
          <w:lang w:eastAsia="zh-CN" w:bidi="ar"/>
        </w:rPr>
        <w:t>，最终在漯河市舞阳北舞渡镇注入沙河。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孤石滩水库是淮河支流澧河的发源地，平顶山市第三大水库，水库面积</w:t>
      </w:r>
      <w:r>
        <w:rPr>
          <w:rFonts w:ascii="Times New Roman" w:hAnsi="Times New Roman" w:eastAsia="宋体" w:cs="Times New Roman"/>
          <w:snapToGrid/>
          <w:color w:val="000000"/>
          <w:kern w:val="0"/>
          <w:sz w:val="24"/>
          <w:szCs w:val="24"/>
          <w:lang w:eastAsia="zh-CN" w:bidi="ar"/>
        </w:rPr>
        <w:t>1.035</w:t>
      </w:r>
      <w:r>
        <w:rPr>
          <w:rFonts w:hint="eastAsia" w:ascii="宋体" w:hAnsi="宋体" w:eastAsia="宋体" w:cs="宋体"/>
          <w:snapToGrid/>
          <w:color w:val="000000"/>
          <w:kern w:val="0"/>
          <w:sz w:val="24"/>
          <w:szCs w:val="24"/>
          <w:lang w:eastAsia="zh-CN" w:bidi="ar"/>
        </w:rPr>
        <w:t>万亩，平均水深</w:t>
      </w:r>
      <w:r>
        <w:rPr>
          <w:rFonts w:ascii="Times New Roman" w:hAnsi="Times New Roman" w:eastAsia="宋体" w:cs="Times New Roman"/>
          <w:snapToGrid/>
          <w:color w:val="000000"/>
          <w:kern w:val="0"/>
          <w:sz w:val="24"/>
          <w:szCs w:val="24"/>
          <w:lang w:eastAsia="zh-CN" w:bidi="ar"/>
        </w:rPr>
        <w:t>7.97</w:t>
      </w:r>
      <w:r>
        <w:rPr>
          <w:rFonts w:hint="eastAsia" w:ascii="宋体" w:hAnsi="宋体" w:eastAsia="宋体" w:cs="宋体"/>
          <w:snapToGrid/>
          <w:color w:val="000000"/>
          <w:kern w:val="0"/>
          <w:sz w:val="24"/>
          <w:szCs w:val="24"/>
          <w:lang w:eastAsia="zh-CN" w:bidi="ar"/>
        </w:rPr>
        <w:t>米。设计大坝为粘土心墙砂卵石坝，最大坝高</w:t>
      </w:r>
      <w:r>
        <w:rPr>
          <w:rFonts w:ascii="Times New Roman" w:hAnsi="Times New Roman" w:eastAsia="宋体" w:cs="Times New Roman"/>
          <w:snapToGrid/>
          <w:color w:val="000000"/>
          <w:kern w:val="0"/>
          <w:sz w:val="24"/>
          <w:szCs w:val="24"/>
          <w:lang w:eastAsia="zh-CN" w:bidi="ar"/>
        </w:rPr>
        <w:t>30.3</w:t>
      </w:r>
      <w:r>
        <w:rPr>
          <w:rFonts w:hint="eastAsia" w:ascii="宋体" w:hAnsi="宋体" w:eastAsia="宋体" w:cs="宋体"/>
          <w:snapToGrid/>
          <w:color w:val="000000"/>
          <w:kern w:val="0"/>
          <w:sz w:val="24"/>
          <w:szCs w:val="24"/>
          <w:lang w:eastAsia="zh-CN" w:bidi="ar"/>
        </w:rPr>
        <w:t>米，坝顶高程</w:t>
      </w:r>
      <w:r>
        <w:rPr>
          <w:rFonts w:ascii="Times New Roman" w:hAnsi="Times New Roman" w:eastAsia="宋体" w:cs="Times New Roman"/>
          <w:snapToGrid/>
          <w:color w:val="000000"/>
          <w:kern w:val="0"/>
          <w:sz w:val="24"/>
          <w:szCs w:val="24"/>
          <w:lang w:eastAsia="zh-CN" w:bidi="ar"/>
        </w:rPr>
        <w:t>160.3</w:t>
      </w:r>
      <w:r>
        <w:rPr>
          <w:rFonts w:hint="eastAsia" w:ascii="宋体" w:hAnsi="宋体" w:eastAsia="宋体" w:cs="宋体"/>
          <w:snapToGrid/>
          <w:color w:val="000000"/>
          <w:kern w:val="0"/>
          <w:sz w:val="24"/>
          <w:szCs w:val="24"/>
          <w:lang w:eastAsia="zh-CN" w:bidi="ar"/>
        </w:rPr>
        <w:t>米，防浪墙高</w:t>
      </w:r>
      <w:r>
        <w:rPr>
          <w:rFonts w:ascii="Times New Roman" w:hAnsi="Times New Roman" w:eastAsia="宋体" w:cs="Times New Roman"/>
          <w:snapToGrid/>
          <w:color w:val="000000"/>
          <w:kern w:val="0"/>
          <w:sz w:val="24"/>
          <w:szCs w:val="24"/>
          <w:lang w:eastAsia="zh-CN" w:bidi="ar"/>
        </w:rPr>
        <w:t>1.2</w:t>
      </w:r>
      <w:r>
        <w:rPr>
          <w:rFonts w:hint="eastAsia" w:ascii="宋体" w:hAnsi="宋体" w:eastAsia="宋体" w:cs="宋体"/>
          <w:snapToGrid/>
          <w:color w:val="000000"/>
          <w:kern w:val="0"/>
          <w:sz w:val="24"/>
          <w:szCs w:val="24"/>
          <w:lang w:eastAsia="zh-CN" w:bidi="ar"/>
        </w:rPr>
        <w:t>米，坝长</w:t>
      </w:r>
      <w:r>
        <w:rPr>
          <w:rFonts w:ascii="Times New Roman" w:hAnsi="Times New Roman" w:eastAsia="宋体" w:cs="Times New Roman"/>
          <w:snapToGrid/>
          <w:color w:val="000000"/>
          <w:kern w:val="0"/>
          <w:sz w:val="24"/>
          <w:szCs w:val="24"/>
          <w:lang w:eastAsia="zh-CN" w:bidi="ar"/>
        </w:rPr>
        <w:t>494</w:t>
      </w:r>
      <w:r>
        <w:rPr>
          <w:rFonts w:hint="eastAsia" w:ascii="宋体" w:hAnsi="宋体" w:eastAsia="宋体" w:cs="宋体"/>
          <w:snapToGrid/>
          <w:color w:val="000000"/>
          <w:kern w:val="0"/>
          <w:sz w:val="24"/>
          <w:szCs w:val="24"/>
          <w:lang w:eastAsia="zh-CN" w:bidi="ar"/>
        </w:rPr>
        <w:t>米，台地坝基表层为砂卵石，厚</w:t>
      </w:r>
      <w:r>
        <w:rPr>
          <w:rFonts w:ascii="Times New Roman" w:hAnsi="Times New Roman" w:eastAsia="宋体" w:cs="Times New Roman"/>
          <w:snapToGrid/>
          <w:color w:val="000000"/>
          <w:kern w:val="0"/>
          <w:sz w:val="24"/>
          <w:szCs w:val="24"/>
          <w:lang w:eastAsia="zh-CN" w:bidi="ar"/>
        </w:rPr>
        <w:t>6</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8</w:t>
      </w:r>
      <w:r>
        <w:rPr>
          <w:rFonts w:hint="eastAsia" w:ascii="宋体" w:hAnsi="宋体" w:eastAsia="宋体" w:cs="宋体"/>
          <w:snapToGrid/>
          <w:color w:val="000000"/>
          <w:kern w:val="0"/>
          <w:sz w:val="24"/>
          <w:szCs w:val="24"/>
          <w:lang w:eastAsia="zh-CN" w:bidi="ar"/>
        </w:rPr>
        <w:t>米。采取粘土截水槽防渗；左坝头表层为沉积层，其下岩石有溶洞，做粘土包山铺盖处理。主溢洪道与右坝头相连，傍山开槽，建泄洪闸</w:t>
      </w:r>
      <w:r>
        <w:rPr>
          <w:rFonts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孔，宽</w:t>
      </w:r>
      <w:r>
        <w:rPr>
          <w:rFonts w:ascii="Times New Roman" w:hAnsi="Times New Roman" w:eastAsia="宋体" w:cs="Times New Roman"/>
          <w:snapToGrid/>
          <w:color w:val="000000"/>
          <w:kern w:val="0"/>
          <w:sz w:val="24"/>
          <w:szCs w:val="24"/>
          <w:lang w:eastAsia="zh-CN" w:bidi="ar"/>
        </w:rPr>
        <w:t>10</w:t>
      </w:r>
      <w:r>
        <w:rPr>
          <w:rFonts w:hint="eastAsia" w:ascii="宋体" w:hAnsi="宋体" w:eastAsia="宋体" w:cs="宋体"/>
          <w:snapToGrid/>
          <w:color w:val="000000"/>
          <w:kern w:val="0"/>
          <w:sz w:val="24"/>
          <w:szCs w:val="24"/>
          <w:lang w:eastAsia="zh-CN" w:bidi="ar"/>
        </w:rPr>
        <w:t>米，高</w:t>
      </w:r>
      <w:r>
        <w:rPr>
          <w:rFonts w:ascii="Times New Roman" w:hAnsi="Times New Roman" w:eastAsia="宋体" w:cs="Times New Roman"/>
          <w:snapToGrid/>
          <w:color w:val="000000"/>
          <w:kern w:val="0"/>
          <w:sz w:val="24"/>
          <w:szCs w:val="24"/>
          <w:lang w:eastAsia="zh-CN" w:bidi="ar"/>
        </w:rPr>
        <w:t>6</w:t>
      </w:r>
      <w:r>
        <w:rPr>
          <w:rFonts w:hint="eastAsia" w:ascii="宋体" w:hAnsi="宋体" w:eastAsia="宋体" w:cs="宋体"/>
          <w:snapToGrid/>
          <w:color w:val="000000"/>
          <w:kern w:val="0"/>
          <w:sz w:val="24"/>
          <w:szCs w:val="24"/>
          <w:lang w:eastAsia="zh-CN" w:bidi="ar"/>
        </w:rPr>
        <w:t>米，最大泄量</w:t>
      </w:r>
      <w:r>
        <w:rPr>
          <w:rFonts w:ascii="Times New Roman" w:hAnsi="Times New Roman" w:eastAsia="宋体" w:cs="Times New Roman"/>
          <w:snapToGrid/>
          <w:color w:val="000000"/>
          <w:kern w:val="0"/>
          <w:sz w:val="24"/>
          <w:szCs w:val="24"/>
          <w:lang w:eastAsia="zh-CN" w:bidi="ar"/>
        </w:rPr>
        <w:t>2188</w:t>
      </w:r>
      <w:r>
        <w:rPr>
          <w:rFonts w:hint="eastAsia" w:ascii="宋体" w:hAnsi="宋体" w:eastAsia="宋体" w:cs="宋体"/>
          <w:snapToGrid/>
          <w:color w:val="000000"/>
          <w:kern w:val="0"/>
          <w:sz w:val="24"/>
          <w:szCs w:val="24"/>
          <w:lang w:eastAsia="zh-CN" w:bidi="ar"/>
        </w:rPr>
        <w:t>立方米</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秒。副溢洪道位于坝左侧山坳中，底宽</w:t>
      </w:r>
      <w:r>
        <w:rPr>
          <w:rFonts w:ascii="Times New Roman" w:hAnsi="Times New Roman" w:eastAsia="宋体" w:cs="Times New Roman"/>
          <w:snapToGrid/>
          <w:color w:val="000000"/>
          <w:kern w:val="0"/>
          <w:sz w:val="24"/>
          <w:szCs w:val="24"/>
          <w:lang w:eastAsia="zh-CN" w:bidi="ar"/>
        </w:rPr>
        <w:t>15</w:t>
      </w:r>
      <w:r>
        <w:rPr>
          <w:rFonts w:hint="eastAsia" w:ascii="宋体" w:hAnsi="宋体" w:eastAsia="宋体" w:cs="宋体"/>
          <w:snapToGrid/>
          <w:color w:val="000000"/>
          <w:kern w:val="0"/>
          <w:sz w:val="24"/>
          <w:szCs w:val="24"/>
          <w:lang w:eastAsia="zh-CN" w:bidi="ar"/>
        </w:rPr>
        <w:t>米，最大泄量</w:t>
      </w:r>
      <w:r>
        <w:rPr>
          <w:rFonts w:ascii="Times New Roman" w:hAnsi="Times New Roman" w:eastAsia="宋体" w:cs="Times New Roman"/>
          <w:snapToGrid/>
          <w:color w:val="000000"/>
          <w:kern w:val="0"/>
          <w:sz w:val="24"/>
          <w:szCs w:val="24"/>
          <w:lang w:eastAsia="zh-CN" w:bidi="ar"/>
        </w:rPr>
        <w:t>748</w:t>
      </w:r>
      <w:r>
        <w:rPr>
          <w:rFonts w:hint="eastAsia" w:ascii="宋体" w:hAnsi="宋体" w:eastAsia="宋体" w:cs="宋体"/>
          <w:snapToGrid/>
          <w:color w:val="000000"/>
          <w:kern w:val="0"/>
          <w:sz w:val="24"/>
          <w:szCs w:val="24"/>
          <w:lang w:eastAsia="zh-CN" w:bidi="ar"/>
        </w:rPr>
        <w:t>立方米</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秒。</w:t>
      </w:r>
      <w:r>
        <w:rPr>
          <w:rFonts w:ascii="Times New Roman" w:hAnsi="Times New Roman" w:eastAsia="宋体" w:cs="Times New Roman"/>
          <w:snapToGrid/>
          <w:color w:val="000000"/>
          <w:kern w:val="0"/>
          <w:sz w:val="24"/>
          <w:szCs w:val="24"/>
          <w:lang w:eastAsia="zh-CN" w:bidi="ar"/>
        </w:rPr>
        <w:t>1970</w:t>
      </w:r>
      <w:r>
        <w:rPr>
          <w:rFonts w:hint="eastAsia" w:ascii="宋体" w:hAnsi="宋体" w:eastAsia="宋体" w:cs="宋体"/>
          <w:snapToGrid/>
          <w:color w:val="000000"/>
          <w:kern w:val="0"/>
          <w:sz w:val="24"/>
          <w:szCs w:val="24"/>
          <w:lang w:eastAsia="zh-CN" w:bidi="ar"/>
        </w:rPr>
        <w:t>年</w:t>
      </w:r>
      <w:r>
        <w:rPr>
          <w:rFonts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月开工，</w:t>
      </w:r>
      <w:r>
        <w:rPr>
          <w:rFonts w:ascii="Times New Roman" w:hAnsi="Times New Roman" w:eastAsia="宋体" w:cs="Times New Roman"/>
          <w:snapToGrid/>
          <w:color w:val="000000"/>
          <w:kern w:val="0"/>
          <w:sz w:val="24"/>
          <w:szCs w:val="24"/>
          <w:lang w:eastAsia="zh-CN" w:bidi="ar"/>
        </w:rPr>
        <w:t>1974</w:t>
      </w:r>
      <w:r>
        <w:rPr>
          <w:rFonts w:hint="eastAsia" w:ascii="宋体" w:hAnsi="宋体" w:eastAsia="宋体" w:cs="宋体"/>
          <w:snapToGrid/>
          <w:color w:val="000000"/>
          <w:kern w:val="0"/>
          <w:sz w:val="24"/>
          <w:szCs w:val="24"/>
          <w:lang w:eastAsia="zh-CN" w:bidi="ar"/>
        </w:rPr>
        <w:t>年</w:t>
      </w:r>
      <w:r>
        <w:rPr>
          <w:rFonts w:ascii="Times New Roman" w:hAnsi="Times New Roman" w:eastAsia="宋体" w:cs="Times New Roman"/>
          <w:snapToGrid/>
          <w:color w:val="000000"/>
          <w:kern w:val="0"/>
          <w:sz w:val="24"/>
          <w:szCs w:val="24"/>
          <w:lang w:eastAsia="zh-CN" w:bidi="ar"/>
        </w:rPr>
        <w:t>8</w:t>
      </w:r>
      <w:r>
        <w:rPr>
          <w:rFonts w:hint="eastAsia" w:ascii="宋体" w:hAnsi="宋体" w:eastAsia="宋体" w:cs="宋体"/>
          <w:snapToGrid/>
          <w:color w:val="000000"/>
          <w:kern w:val="0"/>
          <w:sz w:val="24"/>
          <w:szCs w:val="24"/>
          <w:lang w:eastAsia="zh-CN" w:bidi="ar"/>
        </w:rPr>
        <w:t>月完成。</w:t>
      </w:r>
      <w:r>
        <w:rPr>
          <w:rFonts w:ascii="Times New Roman" w:hAnsi="Times New Roman" w:eastAsia="宋体" w:cs="Times New Roman"/>
          <w:snapToGrid/>
          <w:color w:val="000000"/>
          <w:kern w:val="0"/>
          <w:sz w:val="24"/>
          <w:szCs w:val="24"/>
          <w:lang w:eastAsia="zh-CN" w:bidi="ar"/>
        </w:rPr>
        <w:t>1976</w:t>
      </w:r>
      <w:r>
        <w:rPr>
          <w:rFonts w:hint="eastAsia" w:ascii="宋体" w:hAnsi="宋体" w:eastAsia="宋体" w:cs="宋体"/>
          <w:snapToGrid/>
          <w:color w:val="000000"/>
          <w:kern w:val="0"/>
          <w:sz w:val="24"/>
          <w:szCs w:val="24"/>
          <w:lang w:eastAsia="zh-CN" w:bidi="ar"/>
        </w:rPr>
        <w:t>年副溢洪道底宽由</w:t>
      </w:r>
      <w:r>
        <w:rPr>
          <w:rFonts w:ascii="Times New Roman" w:hAnsi="Times New Roman" w:eastAsia="宋体" w:cs="Times New Roman"/>
          <w:snapToGrid/>
          <w:color w:val="000000"/>
          <w:kern w:val="0"/>
          <w:sz w:val="24"/>
          <w:szCs w:val="24"/>
          <w:lang w:eastAsia="zh-CN" w:bidi="ar"/>
        </w:rPr>
        <w:t>15</w:t>
      </w:r>
      <w:r>
        <w:rPr>
          <w:rFonts w:hint="eastAsia" w:ascii="宋体" w:hAnsi="宋体" w:eastAsia="宋体" w:cs="宋体"/>
          <w:snapToGrid/>
          <w:color w:val="000000"/>
          <w:kern w:val="0"/>
          <w:sz w:val="24"/>
          <w:szCs w:val="24"/>
          <w:lang w:eastAsia="zh-CN" w:bidi="ar"/>
        </w:rPr>
        <w:t>米扩至</w:t>
      </w:r>
      <w:r>
        <w:rPr>
          <w:rFonts w:ascii="Times New Roman" w:hAnsi="Times New Roman" w:eastAsia="宋体" w:cs="Times New Roman"/>
          <w:snapToGrid/>
          <w:color w:val="000000"/>
          <w:kern w:val="0"/>
          <w:sz w:val="24"/>
          <w:szCs w:val="24"/>
          <w:lang w:eastAsia="zh-CN" w:bidi="ar"/>
        </w:rPr>
        <w:t>40</w:t>
      </w:r>
      <w:r>
        <w:rPr>
          <w:rFonts w:hint="eastAsia" w:ascii="宋体" w:hAnsi="宋体" w:eastAsia="宋体" w:cs="宋体"/>
          <w:snapToGrid/>
          <w:color w:val="000000"/>
          <w:kern w:val="0"/>
          <w:sz w:val="24"/>
          <w:szCs w:val="24"/>
          <w:lang w:eastAsia="zh-CN" w:bidi="ar"/>
        </w:rPr>
        <w:t>米，底高降低</w:t>
      </w: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米，可防御</w:t>
      </w:r>
      <w:r>
        <w:rPr>
          <w:rFonts w:ascii="Times New Roman" w:hAnsi="Times New Roman" w:eastAsia="宋体" w:cs="Times New Roman"/>
          <w:snapToGrid/>
          <w:color w:val="000000"/>
          <w:kern w:val="0"/>
          <w:sz w:val="24"/>
          <w:szCs w:val="24"/>
          <w:lang w:eastAsia="zh-CN" w:bidi="ar"/>
        </w:rPr>
        <w:t>2000</w:t>
      </w:r>
      <w:r>
        <w:rPr>
          <w:rFonts w:hint="eastAsia" w:ascii="宋体" w:hAnsi="宋体" w:eastAsia="宋体" w:cs="宋体"/>
          <w:snapToGrid/>
          <w:color w:val="000000"/>
          <w:kern w:val="0"/>
          <w:sz w:val="24"/>
          <w:szCs w:val="24"/>
          <w:lang w:eastAsia="zh-CN" w:bidi="ar"/>
        </w:rPr>
        <w:t>年一遇洪水，</w:t>
      </w:r>
      <w:r>
        <w:rPr>
          <w:rFonts w:ascii="Times New Roman" w:hAnsi="Times New Roman" w:eastAsia="宋体" w:cs="Times New Roman"/>
          <w:snapToGrid/>
          <w:color w:val="000000"/>
          <w:kern w:val="0"/>
          <w:sz w:val="24"/>
          <w:szCs w:val="24"/>
          <w:lang w:eastAsia="zh-CN" w:bidi="ar"/>
        </w:rPr>
        <w:t>1977</w:t>
      </w:r>
      <w:r>
        <w:rPr>
          <w:rFonts w:hint="eastAsia" w:ascii="宋体" w:hAnsi="宋体" w:eastAsia="宋体" w:cs="宋体"/>
          <w:snapToGrid/>
          <w:color w:val="000000"/>
          <w:kern w:val="0"/>
          <w:sz w:val="24"/>
          <w:szCs w:val="24"/>
          <w:lang w:eastAsia="zh-CN" w:bidi="ar"/>
        </w:rPr>
        <w:t>年</w:t>
      </w:r>
      <w:r>
        <w:rPr>
          <w:rFonts w:ascii="Times New Roman" w:hAnsi="Times New Roman" w:eastAsia="宋体" w:cs="Times New Roman"/>
          <w:snapToGrid/>
          <w:color w:val="000000"/>
          <w:kern w:val="0"/>
          <w:sz w:val="24"/>
          <w:szCs w:val="24"/>
          <w:lang w:eastAsia="zh-CN" w:bidi="ar"/>
        </w:rPr>
        <w:t>10</w:t>
      </w:r>
      <w:r>
        <w:rPr>
          <w:rFonts w:hint="eastAsia" w:ascii="宋体" w:hAnsi="宋体" w:eastAsia="宋体" w:cs="宋体"/>
          <w:snapToGrid/>
          <w:color w:val="000000"/>
          <w:kern w:val="0"/>
          <w:sz w:val="24"/>
          <w:szCs w:val="24"/>
          <w:lang w:eastAsia="zh-CN" w:bidi="ar"/>
        </w:rPr>
        <w:t>月完成。</w:t>
      </w:r>
    </w:p>
    <w:p>
      <w:pPr>
        <w:widowControl/>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澧河，长江水系淮河支流颍河支流沙河的支流。澧河干流全部在河南省境内，发源于方城县四里店村西北栗树沟，流经叶县、舞阳县，至漯河市区西入沙河，全长</w:t>
      </w:r>
      <w:r>
        <w:rPr>
          <w:rFonts w:ascii="Times New Roman" w:hAnsi="Times New Roman" w:eastAsia="宋体" w:cs="Times New Roman"/>
          <w:snapToGrid/>
          <w:color w:val="000000"/>
          <w:kern w:val="0"/>
          <w:sz w:val="24"/>
          <w:szCs w:val="24"/>
          <w:lang w:eastAsia="zh-CN" w:bidi="ar"/>
        </w:rPr>
        <w:t>163</w:t>
      </w:r>
      <w:r>
        <w:rPr>
          <w:rFonts w:hint="eastAsia" w:ascii="宋体" w:hAnsi="宋体" w:eastAsia="宋体" w:cs="宋体"/>
          <w:snapToGrid/>
          <w:color w:val="000000"/>
          <w:kern w:val="0"/>
          <w:sz w:val="24"/>
          <w:szCs w:val="24"/>
          <w:lang w:eastAsia="zh-CN" w:bidi="ar"/>
        </w:rPr>
        <w:t>公里，流域面积</w:t>
      </w:r>
      <w:r>
        <w:rPr>
          <w:rFonts w:ascii="Times New Roman" w:hAnsi="Times New Roman" w:eastAsia="宋体" w:cs="Times New Roman"/>
          <w:snapToGrid/>
          <w:color w:val="000000"/>
          <w:kern w:val="0"/>
          <w:sz w:val="24"/>
          <w:szCs w:val="24"/>
          <w:lang w:eastAsia="zh-CN" w:bidi="ar"/>
        </w:rPr>
        <w:t>2787</w:t>
      </w:r>
      <w:r>
        <w:rPr>
          <w:rFonts w:hint="eastAsia" w:ascii="宋体" w:hAnsi="宋体" w:eastAsia="宋体" w:cs="宋体"/>
          <w:snapToGrid/>
          <w:color w:val="000000"/>
          <w:kern w:val="0"/>
          <w:sz w:val="24"/>
          <w:szCs w:val="24"/>
          <w:lang w:eastAsia="zh-CN" w:bidi="ar"/>
        </w:rPr>
        <w:t>平方公里，河床比降平均约</w:t>
      </w:r>
      <w:r>
        <w:rPr>
          <w:rFonts w:ascii="Times New Roman" w:hAnsi="Times New Roman" w:eastAsia="宋体" w:cs="Times New Roman"/>
          <w:snapToGrid/>
          <w:color w:val="000000"/>
          <w:kern w:val="0"/>
          <w:sz w:val="24"/>
          <w:szCs w:val="24"/>
          <w:lang w:eastAsia="zh-CN" w:bidi="ar"/>
        </w:rPr>
        <w:t>1/3000</w:t>
      </w:r>
      <w:r>
        <w:rPr>
          <w:rFonts w:hint="eastAsia" w:ascii="宋体" w:hAnsi="宋体" w:eastAsia="宋体" w:cs="宋体"/>
          <w:snapToGrid/>
          <w:color w:val="000000"/>
          <w:kern w:val="0"/>
          <w:sz w:val="24"/>
          <w:szCs w:val="24"/>
          <w:lang w:eastAsia="zh-CN" w:bidi="ar"/>
        </w:rPr>
        <w:t>。在叶县，澧河经方城县拐河街东流入境，经常村、夏李、旧县、龙泉、坟台</w:t>
      </w:r>
      <w:r>
        <w:rPr>
          <w:rFonts w:ascii="Times New Roman" w:hAnsi="Times New Roman" w:eastAsia="宋体" w:cs="Times New Roman"/>
          <w:snapToGrid/>
          <w:color w:val="000000"/>
          <w:kern w:val="0"/>
          <w:sz w:val="24"/>
          <w:szCs w:val="24"/>
          <w:lang w:eastAsia="zh-CN" w:bidi="ar"/>
        </w:rPr>
        <w:t>5</w:t>
      </w:r>
      <w:r>
        <w:rPr>
          <w:rFonts w:hint="eastAsia" w:ascii="宋体" w:hAnsi="宋体" w:eastAsia="宋体" w:cs="宋体"/>
          <w:snapToGrid/>
          <w:color w:val="000000"/>
          <w:kern w:val="0"/>
          <w:sz w:val="24"/>
          <w:szCs w:val="24"/>
          <w:lang w:eastAsia="zh-CN" w:bidi="ar"/>
        </w:rPr>
        <w:t>个乡，于坟台乡潘寨村南入舞阳县。县境内长</w:t>
      </w:r>
      <w:r>
        <w:rPr>
          <w:rFonts w:ascii="Times New Roman" w:hAnsi="Times New Roman" w:eastAsia="宋体" w:cs="Times New Roman"/>
          <w:snapToGrid/>
          <w:color w:val="000000"/>
          <w:kern w:val="0"/>
          <w:sz w:val="24"/>
          <w:szCs w:val="24"/>
          <w:lang w:eastAsia="zh-CN" w:bidi="ar"/>
        </w:rPr>
        <w:t>51</w:t>
      </w:r>
      <w:r>
        <w:rPr>
          <w:rFonts w:hint="eastAsia" w:ascii="宋体" w:hAnsi="宋体" w:eastAsia="宋体" w:cs="宋体"/>
          <w:snapToGrid/>
          <w:color w:val="000000"/>
          <w:kern w:val="0"/>
          <w:sz w:val="24"/>
          <w:szCs w:val="24"/>
          <w:lang w:eastAsia="zh-CN" w:bidi="ar"/>
        </w:rPr>
        <w:t>公里，流域面积约</w:t>
      </w:r>
      <w:r>
        <w:rPr>
          <w:rFonts w:ascii="Times New Roman" w:hAnsi="Times New Roman" w:eastAsia="宋体" w:cs="Times New Roman"/>
          <w:snapToGrid/>
          <w:color w:val="000000"/>
          <w:kern w:val="0"/>
          <w:sz w:val="24"/>
          <w:szCs w:val="24"/>
          <w:lang w:eastAsia="zh-CN" w:bidi="ar"/>
        </w:rPr>
        <w:t>430</w:t>
      </w:r>
      <w:r>
        <w:rPr>
          <w:rFonts w:hint="eastAsia" w:ascii="宋体" w:hAnsi="宋体" w:eastAsia="宋体" w:cs="宋体"/>
          <w:snapToGrid/>
          <w:color w:val="000000"/>
          <w:kern w:val="0"/>
          <w:sz w:val="24"/>
          <w:szCs w:val="24"/>
          <w:lang w:eastAsia="zh-CN" w:bidi="ar"/>
        </w:rPr>
        <w:t>平方公里。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lang w:eastAsia="zh-CN" w:bidi="ar"/>
        </w:rPr>
      </w:pPr>
      <w:r>
        <w:rPr>
          <w:rFonts w:hint="default" w:ascii="Times New Roman" w:hAnsi="Times New Roman" w:eastAsia="宋体" w:cs="Times New Roman"/>
          <w:snapToGrid/>
          <w:kern w:val="0"/>
          <w:sz w:val="24"/>
          <w:szCs w:val="24"/>
          <w:lang w:eastAsia="zh-CN" w:bidi="ar"/>
        </w:rPr>
        <w:t>本项目生活污水经化粪池预处理后</w:t>
      </w:r>
      <w:r>
        <w:rPr>
          <w:rFonts w:hint="eastAsia" w:ascii="Times New Roman" w:hAnsi="Times New Roman" w:eastAsia="宋体" w:cs="Times New Roman"/>
          <w:snapToGrid/>
          <w:kern w:val="0"/>
          <w:sz w:val="24"/>
          <w:szCs w:val="24"/>
          <w:lang w:eastAsia="zh-CN" w:bidi="ar"/>
        </w:rPr>
        <w:t>汇同</w:t>
      </w:r>
      <w:r>
        <w:rPr>
          <w:rFonts w:hint="default" w:ascii="Times New Roman" w:hAnsi="Times New Roman" w:eastAsia="宋体" w:cs="Times New Roman"/>
          <w:snapToGrid/>
          <w:kern w:val="0"/>
          <w:sz w:val="24"/>
          <w:szCs w:val="24"/>
          <w:lang w:eastAsia="zh-CN" w:bidi="ar"/>
        </w:rPr>
        <w:t>生产废水</w:t>
      </w:r>
      <w:r>
        <w:rPr>
          <w:rFonts w:hint="eastAsia" w:ascii="Times New Roman" w:hAnsi="Times New Roman" w:eastAsia="宋体" w:cs="Times New Roman"/>
          <w:snapToGrid/>
          <w:kern w:val="0"/>
          <w:sz w:val="24"/>
          <w:szCs w:val="24"/>
          <w:lang w:eastAsia="zh-CN" w:bidi="ar"/>
        </w:rPr>
        <w:t>，</w:t>
      </w:r>
      <w:r>
        <w:rPr>
          <w:rFonts w:hint="default" w:ascii="Times New Roman" w:hAnsi="Times New Roman" w:eastAsia="宋体" w:cs="Times New Roman"/>
          <w:snapToGrid/>
          <w:kern w:val="0"/>
          <w:sz w:val="24"/>
          <w:szCs w:val="24"/>
          <w:lang w:eastAsia="zh-CN" w:bidi="ar"/>
        </w:rPr>
        <w:t>进入厂区</w:t>
      </w:r>
      <w:r>
        <w:rPr>
          <w:rFonts w:hint="eastAsia" w:ascii="Times New Roman" w:hAnsi="Times New Roman" w:eastAsia="宋体" w:cs="Times New Roman"/>
          <w:snapToGrid/>
          <w:kern w:val="0"/>
          <w:sz w:val="24"/>
          <w:szCs w:val="24"/>
          <w:lang w:val="en-US" w:eastAsia="zh-CN" w:bidi="ar"/>
        </w:rPr>
        <w:t>300m</w:t>
      </w:r>
      <w:r>
        <w:rPr>
          <w:rFonts w:hint="eastAsia" w:ascii="Times New Roman" w:hAnsi="Times New Roman" w:eastAsia="宋体" w:cs="Times New Roman"/>
          <w:snapToGrid/>
          <w:kern w:val="0"/>
          <w:sz w:val="24"/>
          <w:szCs w:val="24"/>
          <w:vertAlign w:val="superscript"/>
          <w:lang w:val="en-US" w:eastAsia="zh-CN" w:bidi="ar"/>
        </w:rPr>
        <w:t>3</w:t>
      </w:r>
      <w:r>
        <w:rPr>
          <w:rFonts w:hint="default" w:ascii="Times New Roman" w:hAnsi="Times New Roman" w:eastAsia="宋体" w:cs="Times New Roman"/>
          <w:snapToGrid/>
          <w:kern w:val="0"/>
          <w:sz w:val="24"/>
          <w:szCs w:val="24"/>
          <w:lang w:eastAsia="zh-CN" w:bidi="ar"/>
        </w:rPr>
        <w:t>/d污水处理站，</w:t>
      </w:r>
      <w:r>
        <w:rPr>
          <w:rFonts w:hint="eastAsia" w:ascii="Times New Roman" w:hAnsi="Times New Roman" w:eastAsia="宋体" w:cs="Times New Roman"/>
          <w:snapToGrid/>
          <w:kern w:val="0"/>
          <w:sz w:val="24"/>
          <w:szCs w:val="24"/>
          <w:lang w:eastAsia="zh-CN" w:bidi="ar"/>
        </w:rPr>
        <w:t>经处理达标后排入市政污水管网</w:t>
      </w:r>
      <w:r>
        <w:rPr>
          <w:rFonts w:hint="default" w:ascii="Times New Roman" w:hAnsi="Times New Roman" w:eastAsia="宋体" w:cs="Times New Roman"/>
          <w:snapToGrid/>
          <w:kern w:val="0"/>
          <w:sz w:val="24"/>
          <w:szCs w:val="24"/>
          <w:lang w:eastAsia="zh-CN" w:bidi="ar"/>
        </w:rPr>
        <w:t>，</w:t>
      </w:r>
      <w:r>
        <w:rPr>
          <w:rFonts w:hint="eastAsia" w:ascii="Times New Roman" w:hAnsi="Times New Roman" w:eastAsia="宋体" w:cs="Times New Roman"/>
          <w:snapToGrid/>
          <w:kern w:val="0"/>
          <w:sz w:val="24"/>
          <w:szCs w:val="24"/>
          <w:lang w:eastAsia="zh-CN" w:bidi="ar"/>
        </w:rPr>
        <w:t>并最终</w:t>
      </w:r>
      <w:r>
        <w:rPr>
          <w:rFonts w:hint="default" w:ascii="Times New Roman" w:hAnsi="Times New Roman" w:eastAsia="宋体" w:cs="Times New Roman"/>
          <w:snapToGrid/>
          <w:kern w:val="0"/>
          <w:sz w:val="24"/>
          <w:szCs w:val="24"/>
          <w:lang w:eastAsia="zh-CN" w:bidi="ar"/>
        </w:rPr>
        <w:t>排入</w:t>
      </w:r>
      <w:r>
        <w:rPr>
          <w:rFonts w:hint="eastAsia" w:ascii="Times New Roman" w:hAnsi="Times New Roman" w:eastAsia="宋体" w:cs="Times New Roman"/>
          <w:snapToGrid/>
          <w:kern w:val="0"/>
          <w:sz w:val="24"/>
          <w:szCs w:val="24"/>
          <w:highlight w:val="none"/>
          <w:lang w:eastAsia="zh-CN" w:bidi="ar"/>
        </w:rPr>
        <w:t>叶县县城</w:t>
      </w:r>
      <w:r>
        <w:rPr>
          <w:rFonts w:hint="default" w:ascii="Times New Roman" w:hAnsi="Times New Roman" w:eastAsia="宋体" w:cs="Times New Roman"/>
          <w:snapToGrid/>
          <w:kern w:val="0"/>
          <w:sz w:val="24"/>
          <w:szCs w:val="24"/>
          <w:highlight w:val="none"/>
          <w:lang w:eastAsia="zh-CN" w:bidi="ar"/>
        </w:rPr>
        <w:t>污水处理厂</w:t>
      </w:r>
      <w:r>
        <w:rPr>
          <w:rFonts w:hint="eastAsia" w:ascii="Times New Roman" w:hAnsi="Times New Roman" w:eastAsia="宋体" w:cs="Times New Roman"/>
          <w:snapToGrid/>
          <w:kern w:val="0"/>
          <w:sz w:val="24"/>
          <w:szCs w:val="24"/>
          <w:highlight w:val="none"/>
          <w:lang w:eastAsia="zh-CN" w:bidi="ar"/>
        </w:rPr>
        <w:t>进一步</w:t>
      </w:r>
      <w:r>
        <w:rPr>
          <w:rFonts w:hint="default" w:ascii="Times New Roman" w:hAnsi="Times New Roman" w:eastAsia="宋体" w:cs="Times New Roman"/>
          <w:snapToGrid/>
          <w:kern w:val="0"/>
          <w:sz w:val="24"/>
          <w:szCs w:val="24"/>
          <w:lang w:eastAsia="zh-CN" w:bidi="ar"/>
        </w:rPr>
        <w:t>处理。</w:t>
      </w:r>
      <w:r>
        <w:rPr>
          <w:rFonts w:hint="eastAsia" w:ascii="Times New Roman" w:hAnsi="Times New Roman" w:eastAsia="宋体" w:cs="Times New Roman"/>
          <w:snapToGrid/>
          <w:kern w:val="0"/>
          <w:sz w:val="24"/>
          <w:szCs w:val="24"/>
          <w:lang w:eastAsia="zh-CN" w:bidi="ar"/>
        </w:rPr>
        <w:t>叶县地表水系图见附图八。</w:t>
      </w:r>
    </w:p>
    <w:p>
      <w:pPr>
        <w:keepNext w:val="0"/>
        <w:keepLines w:val="0"/>
        <w:pageBreakBefore w:val="0"/>
        <w:widowControl/>
        <w:kinsoku w:val="0"/>
        <w:wordWrap/>
        <w:overflowPunct/>
        <w:topLinePunct w:val="0"/>
        <w:autoSpaceDE w:val="0"/>
        <w:autoSpaceDN w:val="0"/>
        <w:bidi w:val="0"/>
        <w:adjustRightInd w:val="0"/>
        <w:snapToGrid w:val="0"/>
        <w:spacing w:before="94" w:line="360" w:lineRule="auto"/>
        <w:ind w:left="499"/>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）地下水</w:t>
      </w:r>
    </w:p>
    <w:p>
      <w:pPr>
        <w:widowControl/>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叶县地下水可利用量为</w:t>
      </w:r>
      <w:r>
        <w:rPr>
          <w:rFonts w:ascii="Times New Roman" w:hAnsi="Times New Roman" w:eastAsia="宋体" w:cs="Times New Roman"/>
          <w:snapToGrid/>
          <w:color w:val="000000"/>
          <w:kern w:val="0"/>
          <w:sz w:val="24"/>
          <w:szCs w:val="24"/>
          <w:lang w:eastAsia="zh-CN" w:bidi="ar"/>
        </w:rPr>
        <w:t>5860</w:t>
      </w:r>
      <w:r>
        <w:rPr>
          <w:rFonts w:hint="eastAsia" w:ascii="宋体" w:hAnsi="宋体" w:eastAsia="宋体" w:cs="宋体"/>
          <w:snapToGrid/>
          <w:color w:val="000000"/>
          <w:kern w:val="0"/>
          <w:sz w:val="24"/>
          <w:szCs w:val="24"/>
          <w:lang w:eastAsia="zh-CN" w:bidi="ar"/>
        </w:rPr>
        <w:t>万</w:t>
      </w:r>
      <w:r>
        <w:rPr>
          <w:rFonts w:ascii="Times New Roman" w:hAnsi="Times New Roman" w:eastAsia="宋体" w:cs="Times New Roman"/>
          <w:snapToGrid/>
          <w:color w:val="000000"/>
          <w:kern w:val="0"/>
          <w:sz w:val="24"/>
          <w:szCs w:val="24"/>
          <w:lang w:eastAsia="zh-CN" w:bidi="ar"/>
        </w:rPr>
        <w:t>m</w:t>
      </w:r>
      <w:r>
        <w:rPr>
          <w:rFonts w:ascii="Times New Roman" w:hAnsi="Times New Roman" w:eastAsia="宋体" w:cs="Times New Roman"/>
          <w:snapToGrid/>
          <w:color w:val="000000"/>
          <w:kern w:val="0"/>
          <w:sz w:val="24"/>
          <w:szCs w:val="24"/>
          <w:vertAlign w:val="superscript"/>
          <w:lang w:eastAsia="zh-CN" w:bidi="ar"/>
        </w:rPr>
        <w:t>3</w:t>
      </w:r>
      <w:r>
        <w:rPr>
          <w:rFonts w:hint="eastAsia" w:ascii="宋体" w:hAnsi="宋体" w:eastAsia="宋体" w:cs="宋体"/>
          <w:snapToGrid/>
          <w:color w:val="000000"/>
          <w:kern w:val="0"/>
          <w:sz w:val="24"/>
          <w:szCs w:val="24"/>
          <w:lang w:eastAsia="zh-CN" w:bidi="ar"/>
        </w:rPr>
        <w:t>，占浅层地下水资源的</w:t>
      </w:r>
      <w:r>
        <w:rPr>
          <w:rFonts w:ascii="Times New Roman" w:hAnsi="Times New Roman" w:eastAsia="宋体" w:cs="Times New Roman"/>
          <w:snapToGrid/>
          <w:color w:val="000000"/>
          <w:kern w:val="0"/>
          <w:sz w:val="24"/>
          <w:szCs w:val="24"/>
          <w:lang w:eastAsia="zh-CN" w:bidi="ar"/>
        </w:rPr>
        <w:t>29.4%</w:t>
      </w:r>
      <w:r>
        <w:rPr>
          <w:rFonts w:hint="eastAsia" w:ascii="宋体" w:hAnsi="宋体" w:eastAsia="宋体" w:cs="宋体"/>
          <w:snapToGrid/>
          <w:color w:val="000000"/>
          <w:kern w:val="0"/>
          <w:sz w:val="24"/>
          <w:szCs w:val="24"/>
          <w:lang w:eastAsia="zh-CN" w:bidi="ar"/>
        </w:rPr>
        <w:t>，城区地下水含水层为冲积、洪积层，浅水层一般距地面</w:t>
      </w:r>
      <w:r>
        <w:rPr>
          <w:rFonts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6m</w:t>
      </w:r>
      <w:r>
        <w:rPr>
          <w:rFonts w:hint="eastAsia" w:ascii="宋体" w:hAnsi="宋体" w:eastAsia="宋体" w:cs="宋体"/>
          <w:snapToGrid/>
          <w:color w:val="000000"/>
          <w:kern w:val="0"/>
          <w:sz w:val="24"/>
          <w:szCs w:val="24"/>
          <w:lang w:eastAsia="zh-CN" w:bidi="ar"/>
        </w:rPr>
        <w:t>，水力坡度小，依靠大气降水补给，雨季河水补给，灰河两岸单井涌水量</w:t>
      </w:r>
      <w:r>
        <w:rPr>
          <w:rFonts w:ascii="Times New Roman" w:hAnsi="Times New Roman" w:eastAsia="宋体" w:cs="Times New Roman"/>
          <w:snapToGrid/>
          <w:color w:val="000000"/>
          <w:kern w:val="0"/>
          <w:sz w:val="24"/>
          <w:szCs w:val="24"/>
          <w:lang w:eastAsia="zh-CN" w:bidi="ar"/>
        </w:rPr>
        <w:t>2000</w:t>
      </w:r>
      <w:r>
        <w:rPr>
          <w:rFonts w:hint="eastAsia" w:ascii="宋体" w:hAnsi="宋体" w:eastAsia="宋体" w:cs="宋体"/>
          <w:snapToGrid/>
          <w:color w:val="000000"/>
          <w:kern w:val="0"/>
          <w:sz w:val="24"/>
          <w:szCs w:val="24"/>
          <w:lang w:eastAsia="zh-CN" w:bidi="ar"/>
        </w:rPr>
        <w:t>余</w:t>
      </w:r>
      <w:r>
        <w:rPr>
          <w:rFonts w:ascii="Times New Roman" w:hAnsi="Times New Roman" w:eastAsia="宋体" w:cs="Times New Roman"/>
          <w:snapToGrid/>
          <w:color w:val="000000"/>
          <w:kern w:val="0"/>
          <w:sz w:val="24"/>
          <w:szCs w:val="24"/>
          <w:lang w:eastAsia="zh-CN" w:bidi="ar"/>
        </w:rPr>
        <w:t>m</w:t>
      </w:r>
      <w:r>
        <w:rPr>
          <w:rFonts w:ascii="Times New Roman" w:hAnsi="Times New Roman" w:eastAsia="宋体" w:cs="Times New Roman"/>
          <w:snapToGrid/>
          <w:color w:val="000000"/>
          <w:kern w:val="0"/>
          <w:sz w:val="24"/>
          <w:szCs w:val="24"/>
          <w:vertAlign w:val="superscript"/>
          <w:lang w:eastAsia="zh-CN" w:bidi="ar"/>
        </w:rPr>
        <w:t>3</w:t>
      </w:r>
      <w:r>
        <w:rPr>
          <w:rFonts w:ascii="Times New Roman" w:hAnsi="Times New Roman" w:eastAsia="宋体" w:cs="Times New Roman"/>
          <w:snapToGrid/>
          <w:color w:val="000000"/>
          <w:kern w:val="0"/>
          <w:sz w:val="24"/>
          <w:szCs w:val="24"/>
          <w:lang w:eastAsia="zh-CN" w:bidi="ar"/>
        </w:rPr>
        <w:t>/d</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pH</w:t>
      </w:r>
      <w:r>
        <w:rPr>
          <w:rFonts w:hint="eastAsia" w:ascii="宋体" w:hAnsi="宋体" w:eastAsia="宋体" w:cs="宋体"/>
          <w:snapToGrid/>
          <w:color w:val="000000"/>
          <w:kern w:val="0"/>
          <w:sz w:val="24"/>
          <w:szCs w:val="24"/>
          <w:lang w:eastAsia="zh-CN" w:bidi="ar"/>
        </w:rPr>
        <w:t>值为中软水，水质类型为</w:t>
      </w:r>
      <w:r>
        <w:rPr>
          <w:rFonts w:ascii="Times New Roman" w:hAnsi="Times New Roman" w:eastAsia="宋体" w:cs="Times New Roman"/>
          <w:snapToGrid/>
          <w:color w:val="000000"/>
          <w:kern w:val="0"/>
          <w:sz w:val="24"/>
          <w:szCs w:val="24"/>
          <w:lang w:eastAsia="zh-CN" w:bidi="ar"/>
        </w:rPr>
        <w:t>HCO</w:t>
      </w:r>
      <w:r>
        <w:rPr>
          <w:rFonts w:ascii="Times New Roman" w:hAnsi="Times New Roman" w:eastAsia="宋体" w:cs="Times New Roman"/>
          <w:snapToGrid/>
          <w:color w:val="000000"/>
          <w:kern w:val="0"/>
          <w:sz w:val="24"/>
          <w:szCs w:val="24"/>
          <w:vertAlign w:val="subscript"/>
          <w:lang w:eastAsia="zh-CN" w:bidi="ar"/>
        </w:rPr>
        <w:t>3</w:t>
      </w:r>
      <w:r>
        <w:rPr>
          <w:rFonts w:ascii="Times New Roman" w:hAnsi="Times New Roman" w:eastAsia="宋体" w:cs="Times New Roman"/>
          <w:snapToGrid/>
          <w:color w:val="000000"/>
          <w:kern w:val="0"/>
          <w:sz w:val="24"/>
          <w:szCs w:val="24"/>
          <w:lang w:eastAsia="zh-CN" w:bidi="ar"/>
        </w:rPr>
        <w:t>-Ca-Mg</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60m</w:t>
      </w:r>
      <w:r>
        <w:rPr>
          <w:rFonts w:hint="eastAsia" w:ascii="宋体" w:hAnsi="宋体" w:eastAsia="宋体" w:cs="宋体"/>
          <w:snapToGrid/>
          <w:color w:val="000000"/>
          <w:kern w:val="0"/>
          <w:sz w:val="24"/>
          <w:szCs w:val="24"/>
          <w:lang w:eastAsia="zh-CN" w:bidi="ar"/>
        </w:rPr>
        <w:t>以内含水层水质较差，</w:t>
      </w:r>
      <w:r>
        <w:rPr>
          <w:rFonts w:ascii="Times New Roman" w:hAnsi="Times New Roman" w:eastAsia="宋体" w:cs="Times New Roman"/>
          <w:snapToGrid/>
          <w:color w:val="000000"/>
          <w:kern w:val="0"/>
          <w:sz w:val="24"/>
          <w:szCs w:val="24"/>
          <w:lang w:eastAsia="zh-CN" w:bidi="ar"/>
        </w:rPr>
        <w:t>91.50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136.10m</w:t>
      </w:r>
      <w:r>
        <w:rPr>
          <w:rFonts w:hint="eastAsia" w:ascii="宋体" w:hAnsi="宋体" w:eastAsia="宋体" w:cs="宋体"/>
          <w:snapToGrid/>
          <w:color w:val="000000"/>
          <w:kern w:val="0"/>
          <w:sz w:val="24"/>
          <w:szCs w:val="24"/>
          <w:lang w:eastAsia="zh-CN" w:bidi="ar"/>
        </w:rPr>
        <w:t>为主要富水段，</w:t>
      </w:r>
      <w:r>
        <w:rPr>
          <w:rFonts w:ascii="Times New Roman" w:hAnsi="Times New Roman" w:eastAsia="宋体" w:cs="Times New Roman"/>
          <w:snapToGrid/>
          <w:color w:val="000000"/>
          <w:kern w:val="0"/>
          <w:sz w:val="24"/>
          <w:szCs w:val="24"/>
          <w:lang w:eastAsia="zh-CN" w:bidi="ar"/>
        </w:rPr>
        <w:t>91.50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136.10m</w:t>
      </w:r>
      <w:r>
        <w:rPr>
          <w:rFonts w:hint="eastAsia" w:ascii="宋体" w:hAnsi="宋体" w:eastAsia="宋体" w:cs="宋体"/>
          <w:snapToGrid/>
          <w:color w:val="000000"/>
          <w:kern w:val="0"/>
          <w:sz w:val="24"/>
          <w:szCs w:val="24"/>
          <w:lang w:eastAsia="zh-CN" w:bidi="ar"/>
        </w:rPr>
        <w:t>为主要富水段，</w:t>
      </w:r>
      <w:r>
        <w:rPr>
          <w:rFonts w:hint="eastAsia" w:ascii="宋体" w:hAnsi="宋体" w:eastAsia="宋体" w:cs="宋体"/>
          <w:snapToGrid/>
          <w:color w:val="000000"/>
          <w:kern w:val="0"/>
          <w:sz w:val="24"/>
          <w:szCs w:val="24"/>
          <w:u w:val="none"/>
          <w:lang w:eastAsia="zh-CN" w:bidi="ar"/>
        </w:rPr>
        <w:t>地下水走向大体为由西南向东北方向径流。</w:t>
      </w:r>
    </w:p>
    <w:p>
      <w:pPr>
        <w:widowControl/>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①降水入渗补给</w:t>
      </w:r>
    </w:p>
    <w:p>
      <w:pPr>
        <w:widowControl/>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调查区地形平坦，自沙河岸边至叶廉路，包气带岩性由细砂渐变为粉土、粉质粘土，局部为粘土，渗透性差，降水入渗逐渐减弱。降雨入渗的多少与降雨历时、强度、包气带厚度、渗透性息息相关。雨量大、历时长、包气带渗透性强、地表径流条件差有利于降雨入渗，入渗补给量大，表现在地下水位上升明显。该区降水主要集中在</w:t>
      </w:r>
      <w:r>
        <w:rPr>
          <w:rFonts w:ascii="Times New Roman" w:hAnsi="Times New Roman" w:eastAsia="宋体" w:cs="Times New Roman"/>
          <w:snapToGrid/>
          <w:color w:val="000000"/>
          <w:kern w:val="0"/>
          <w:sz w:val="24"/>
          <w:szCs w:val="24"/>
          <w:lang w:eastAsia="zh-CN" w:bidi="ar"/>
        </w:rPr>
        <w:t>7-9</w:t>
      </w:r>
      <w:r>
        <w:rPr>
          <w:rFonts w:hint="eastAsia" w:ascii="宋体" w:hAnsi="宋体" w:eastAsia="宋体" w:cs="宋体"/>
          <w:snapToGrid/>
          <w:color w:val="000000"/>
          <w:kern w:val="0"/>
          <w:sz w:val="24"/>
          <w:szCs w:val="24"/>
          <w:lang w:eastAsia="zh-CN" w:bidi="ar"/>
        </w:rPr>
        <w:t>月份，因而降水入渗补给具有明显的季节性，反映在地下水位动态上，补给期地下水位呈上升趋势。</w:t>
      </w:r>
    </w:p>
    <w:p>
      <w:pPr>
        <w:widowControl/>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②地下水侧向径流补给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项目所在地区地下水西南向东北方向径流，区内地形平坦，地下水径流缓慢，土层渗透系数小于</w:t>
      </w:r>
      <w:r>
        <w:rPr>
          <w:rFonts w:ascii="Times New Roman" w:hAnsi="Times New Roman" w:eastAsia="宋体" w:cs="Times New Roman"/>
          <w:snapToGrid/>
          <w:color w:val="000000"/>
          <w:kern w:val="0"/>
          <w:sz w:val="24"/>
          <w:szCs w:val="24"/>
          <w:lang w:eastAsia="zh-CN" w:bidi="ar"/>
        </w:rPr>
        <w:t>0.5m/d</w:t>
      </w:r>
      <w:r>
        <w:rPr>
          <w:rFonts w:hint="eastAsia" w:ascii="宋体" w:hAnsi="宋体" w:eastAsia="宋体" w:cs="宋体"/>
          <w:snapToGrid/>
          <w:color w:val="000000"/>
          <w:kern w:val="0"/>
          <w:sz w:val="24"/>
          <w:szCs w:val="24"/>
          <w:lang w:eastAsia="zh-CN" w:bidi="ar"/>
        </w:rPr>
        <w:t>，水力坡度一般在</w:t>
      </w:r>
      <w:r>
        <w:rPr>
          <w:rFonts w:ascii="Times New Roman" w:hAnsi="Times New Roman" w:eastAsia="宋体" w:cs="Times New Roman"/>
          <w:snapToGrid/>
          <w:color w:val="000000"/>
          <w:kern w:val="0"/>
          <w:sz w:val="24"/>
          <w:szCs w:val="24"/>
          <w:lang w:eastAsia="zh-CN" w:bidi="ar"/>
        </w:rPr>
        <w:t>0.3‰-2.0‰</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③灌溉渗漏补给</w:t>
      </w:r>
    </w:p>
    <w:p>
      <w:pPr>
        <w:widowControl/>
        <w:kinsoku/>
        <w:autoSpaceDE/>
        <w:autoSpaceDN/>
        <w:adjustRightInd/>
        <w:snapToGrid/>
        <w:spacing w:line="360" w:lineRule="auto"/>
        <w:ind w:firstLine="480" w:firstLineChars="200"/>
        <w:jc w:val="left"/>
        <w:textAlignment w:val="auto"/>
      </w:pPr>
      <w:r>
        <w:rPr>
          <w:rFonts w:hint="eastAsia" w:ascii="宋体" w:hAnsi="宋体" w:eastAsia="宋体" w:cs="宋体"/>
          <w:snapToGrid/>
          <w:color w:val="000000"/>
          <w:kern w:val="0"/>
          <w:sz w:val="24"/>
          <w:szCs w:val="24"/>
          <w:lang w:eastAsia="zh-CN" w:bidi="ar"/>
        </w:rPr>
        <w:t>调查区大量分布灌渠，区内地表岩性大部分为细砂、粉土，南部为粉质粘土。旱季农田灌溉时地表水下渗补给地下水，具有明显的季节性。受地貌及地层条件控制，地下水径流缓慢，本区地下水的径流方向与地形倾向基本一致。地下水由西南向东北方向径流，水力坡度一般在</w:t>
      </w:r>
      <w:r>
        <w:rPr>
          <w:rFonts w:ascii="Times New Roman" w:hAnsi="Times New Roman" w:eastAsia="宋体" w:cs="Times New Roman"/>
          <w:snapToGrid/>
          <w:color w:val="000000"/>
          <w:kern w:val="0"/>
          <w:sz w:val="24"/>
          <w:szCs w:val="24"/>
          <w:lang w:eastAsia="zh-CN" w:bidi="ar"/>
        </w:rPr>
        <w:t>0.5‰-1.0‰</w:t>
      </w:r>
      <w:r>
        <w:rPr>
          <w:rFonts w:hint="eastAsia" w:ascii="宋体" w:hAnsi="宋体" w:eastAsia="宋体" w:cs="宋体"/>
          <w:snapToGrid/>
          <w:color w:val="000000"/>
          <w:kern w:val="0"/>
          <w:sz w:val="24"/>
          <w:szCs w:val="24"/>
          <w:lang w:eastAsia="zh-CN" w:bidi="ar"/>
        </w:rPr>
        <w:t>；在北部沿沙河地区，地下水向北径流，地下水补给河水，水力坡度一般在</w:t>
      </w:r>
      <w:r>
        <w:rPr>
          <w:rFonts w:ascii="Times New Roman" w:hAnsi="Times New Roman" w:eastAsia="宋体" w:cs="Times New Roman"/>
          <w:snapToGrid/>
          <w:color w:val="000000"/>
          <w:kern w:val="0"/>
          <w:sz w:val="24"/>
          <w:szCs w:val="24"/>
          <w:lang w:eastAsia="zh-CN" w:bidi="ar"/>
        </w:rPr>
        <w:t>1‰-2‰</w:t>
      </w:r>
      <w:r>
        <w:rPr>
          <w:rFonts w:hint="eastAsia" w:ascii="宋体" w:hAnsi="宋体" w:eastAsia="宋体" w:cs="宋体"/>
          <w:snapToGrid/>
          <w:color w:val="000000"/>
          <w:kern w:val="0"/>
          <w:sz w:val="24"/>
          <w:szCs w:val="24"/>
          <w:lang w:eastAsia="zh-CN" w:bidi="ar"/>
        </w:rPr>
        <w:t>左右。本区地下水排泄方式为人工开采和侧向径流排泄。人工开采排泄形式主要有农业灌溉、居民生活用水等。根据现场调查，调查区沙河水位略低于岸边地下水水位，地下水排泄至沙河。浅层地下水动态变化主要受大气降水和农业开采影响。年内水位动态表现出：丰水期（</w:t>
      </w:r>
      <w:r>
        <w:rPr>
          <w:rFonts w:ascii="Times New Roman" w:hAnsi="Times New Roman" w:eastAsia="宋体" w:cs="Times New Roman"/>
          <w:snapToGrid/>
          <w:color w:val="000000"/>
          <w:kern w:val="0"/>
          <w:sz w:val="24"/>
          <w:szCs w:val="24"/>
          <w:lang w:eastAsia="zh-CN" w:bidi="ar"/>
        </w:rPr>
        <w:t>7</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8</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9</w:t>
      </w:r>
      <w:r>
        <w:rPr>
          <w:rFonts w:hint="eastAsia" w:ascii="宋体" w:hAnsi="宋体" w:eastAsia="宋体" w:cs="宋体"/>
          <w:snapToGrid/>
          <w:color w:val="000000"/>
          <w:kern w:val="0"/>
          <w:sz w:val="24"/>
          <w:szCs w:val="24"/>
          <w:lang w:eastAsia="zh-CN" w:bidi="ar"/>
        </w:rPr>
        <w:t>月）降雨入渗补给大，同时农业开采相对减少，使得地下水位上升；枯水期（</w:t>
      </w:r>
      <w:r>
        <w:rPr>
          <w:rFonts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5</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6</w:t>
      </w:r>
      <w:r>
        <w:rPr>
          <w:rFonts w:hint="eastAsia" w:ascii="宋体" w:hAnsi="宋体" w:eastAsia="宋体" w:cs="宋体"/>
          <w:snapToGrid/>
          <w:color w:val="000000"/>
          <w:kern w:val="0"/>
          <w:sz w:val="24"/>
          <w:szCs w:val="24"/>
          <w:lang w:eastAsia="zh-CN" w:bidi="ar"/>
        </w:rPr>
        <w:t>月）降水量小，农业灌溉开采量大，使得地下水位下降。年内地下水高水位出现在</w:t>
      </w:r>
      <w:r>
        <w:rPr>
          <w:rFonts w:ascii="Times New Roman" w:hAnsi="Times New Roman" w:eastAsia="宋体" w:cs="Times New Roman"/>
          <w:snapToGrid/>
          <w:color w:val="000000"/>
          <w:kern w:val="0"/>
          <w:sz w:val="24"/>
          <w:szCs w:val="24"/>
          <w:lang w:eastAsia="zh-CN" w:bidi="ar"/>
        </w:rPr>
        <w:t>8</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9</w:t>
      </w:r>
      <w:r>
        <w:rPr>
          <w:rFonts w:hint="eastAsia" w:ascii="宋体" w:hAnsi="宋体" w:eastAsia="宋体" w:cs="宋体"/>
          <w:snapToGrid/>
          <w:color w:val="000000"/>
          <w:kern w:val="0"/>
          <w:sz w:val="24"/>
          <w:szCs w:val="24"/>
          <w:lang w:eastAsia="zh-CN" w:bidi="ar"/>
        </w:rPr>
        <w:t>月份，低水位出现在</w:t>
      </w:r>
      <w:r>
        <w:rPr>
          <w:rFonts w:ascii="Times New Roman" w:hAnsi="Times New Roman" w:eastAsia="宋体" w:cs="Times New Roman"/>
          <w:snapToGrid/>
          <w:color w:val="000000"/>
          <w:kern w:val="0"/>
          <w:sz w:val="24"/>
          <w:szCs w:val="24"/>
          <w:lang w:eastAsia="zh-CN" w:bidi="ar"/>
        </w:rPr>
        <w:t>5</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6</w:t>
      </w:r>
      <w:r>
        <w:rPr>
          <w:rFonts w:hint="eastAsia" w:ascii="宋体" w:hAnsi="宋体" w:eastAsia="宋体" w:cs="宋体"/>
          <w:snapToGrid/>
          <w:color w:val="000000"/>
          <w:kern w:val="0"/>
          <w:sz w:val="24"/>
          <w:szCs w:val="24"/>
          <w:lang w:eastAsia="zh-CN" w:bidi="ar"/>
        </w:rPr>
        <w:t>月份，根据区域水位动态资料，年水位变幅一般在</w:t>
      </w:r>
      <w:r>
        <w:rPr>
          <w:rFonts w:ascii="Times New Roman" w:hAnsi="Times New Roman" w:eastAsia="宋体" w:cs="Times New Roman"/>
          <w:snapToGrid/>
          <w:color w:val="000000"/>
          <w:kern w:val="0"/>
          <w:sz w:val="24"/>
          <w:szCs w:val="24"/>
          <w:lang w:eastAsia="zh-CN" w:bidi="ar"/>
        </w:rPr>
        <w:t>1.0m-2.5m</w:t>
      </w:r>
      <w:r>
        <w:rPr>
          <w:rFonts w:hint="eastAsia" w:ascii="宋体" w:hAnsi="宋体" w:eastAsia="宋体" w:cs="宋体"/>
          <w:snapToGrid/>
          <w:color w:val="000000"/>
          <w:kern w:val="0"/>
          <w:sz w:val="24"/>
          <w:szCs w:val="24"/>
          <w:lang w:eastAsia="zh-CN" w:bidi="ar"/>
        </w:rPr>
        <w:t>。</w:t>
      </w:r>
    </w:p>
    <w:p>
      <w:pPr>
        <w:pStyle w:val="5"/>
        <w:widowControl w:val="0"/>
        <w:kinsoku/>
        <w:autoSpaceDE/>
        <w:autoSpaceDN/>
        <w:adjustRightInd/>
        <w:snapToGrid/>
        <w:spacing w:line="360" w:lineRule="auto"/>
        <w:ind w:left="0" w:leftChars="0" w:firstLine="0" w:firstLineChars="0"/>
        <w:jc w:val="both"/>
        <w:textAlignment w:val="auto"/>
        <w:rPr>
          <w:rFonts w:hint="eastAsia" w:ascii="楷体" w:hAnsi="楷体" w:eastAsia="楷体" w:cs="楷体"/>
          <w:snapToGrid/>
          <w:kern w:val="2"/>
          <w:szCs w:val="24"/>
          <w:lang w:eastAsia="zh-CN"/>
        </w:rPr>
      </w:pPr>
      <w:bookmarkStart w:id="318" w:name="bookmark76"/>
      <w:bookmarkEnd w:id="318"/>
      <w:bookmarkStart w:id="319" w:name="_Toc12960"/>
      <w:r>
        <w:rPr>
          <w:rFonts w:hint="eastAsia" w:ascii="楷体" w:hAnsi="楷体" w:eastAsia="楷体" w:cs="楷体"/>
          <w:spacing w:val="-1"/>
          <w:sz w:val="28"/>
          <w:szCs w:val="28"/>
        </w:rPr>
        <w:t>4.1.5</w:t>
      </w:r>
      <w:r>
        <w:rPr>
          <w:rFonts w:hint="eastAsia" w:ascii="楷体" w:hAnsi="楷体" w:eastAsia="楷体" w:cs="楷体"/>
          <w:snapToGrid/>
          <w:kern w:val="2"/>
          <w:szCs w:val="24"/>
          <w:lang w:eastAsia="zh-CN"/>
        </w:rPr>
        <w:t>土壤及动植物</w:t>
      </w:r>
      <w:bookmarkEnd w:id="319"/>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叶县土地总面积</w:t>
      </w:r>
      <w:r>
        <w:rPr>
          <w:rFonts w:ascii="Times New Roman" w:hAnsi="Times New Roman" w:eastAsia="宋体" w:cs="Times New Roman"/>
          <w:snapToGrid/>
          <w:color w:val="000000"/>
          <w:kern w:val="0"/>
          <w:sz w:val="24"/>
          <w:szCs w:val="24"/>
          <w:lang w:eastAsia="zh-CN" w:bidi="ar"/>
        </w:rPr>
        <w:t>208</w:t>
      </w:r>
      <w:r>
        <w:rPr>
          <w:rFonts w:hint="eastAsia" w:ascii="宋体" w:hAnsi="宋体" w:eastAsia="宋体" w:cs="宋体"/>
          <w:snapToGrid/>
          <w:color w:val="000000"/>
          <w:kern w:val="0"/>
          <w:sz w:val="24"/>
          <w:szCs w:val="24"/>
          <w:lang w:eastAsia="zh-CN" w:bidi="ar"/>
        </w:rPr>
        <w:t>万亩，县内土壤主要有三个土类，其中黄棕壤土类</w:t>
      </w:r>
      <w:r>
        <w:rPr>
          <w:rFonts w:ascii="Times New Roman" w:hAnsi="Times New Roman" w:eastAsia="宋体" w:cs="Times New Roman"/>
          <w:snapToGrid/>
          <w:color w:val="000000"/>
          <w:kern w:val="0"/>
          <w:sz w:val="24"/>
          <w:szCs w:val="24"/>
          <w:lang w:eastAsia="zh-CN" w:bidi="ar"/>
        </w:rPr>
        <w:t>169.5</w:t>
      </w:r>
      <w:r>
        <w:rPr>
          <w:rFonts w:hint="eastAsia" w:ascii="宋体" w:hAnsi="宋体" w:eastAsia="宋体" w:cs="宋体"/>
          <w:snapToGrid/>
          <w:color w:val="000000"/>
          <w:kern w:val="0"/>
          <w:sz w:val="24"/>
          <w:szCs w:val="24"/>
          <w:lang w:eastAsia="zh-CN" w:bidi="ar"/>
        </w:rPr>
        <w:t>，占总面积的</w:t>
      </w:r>
      <w:r>
        <w:rPr>
          <w:rFonts w:ascii="Times New Roman" w:hAnsi="Times New Roman" w:eastAsia="宋体" w:cs="Times New Roman"/>
          <w:snapToGrid/>
          <w:color w:val="000000"/>
          <w:kern w:val="0"/>
          <w:sz w:val="24"/>
          <w:szCs w:val="24"/>
          <w:lang w:eastAsia="zh-CN" w:bidi="ar"/>
        </w:rPr>
        <w:t>81%</w:t>
      </w:r>
      <w:r>
        <w:rPr>
          <w:rFonts w:hint="eastAsia" w:ascii="宋体" w:hAnsi="宋体" w:eastAsia="宋体" w:cs="宋体"/>
          <w:snapToGrid/>
          <w:color w:val="000000"/>
          <w:kern w:val="0"/>
          <w:sz w:val="24"/>
          <w:szCs w:val="24"/>
          <w:lang w:eastAsia="zh-CN" w:bidi="ar"/>
        </w:rPr>
        <w:t>；砂姜黑土类</w:t>
      </w:r>
      <w:r>
        <w:rPr>
          <w:rFonts w:ascii="Times New Roman" w:hAnsi="Times New Roman" w:eastAsia="宋体" w:cs="Times New Roman"/>
          <w:snapToGrid/>
          <w:color w:val="000000"/>
          <w:kern w:val="0"/>
          <w:sz w:val="24"/>
          <w:szCs w:val="24"/>
          <w:lang w:eastAsia="zh-CN" w:bidi="ar"/>
        </w:rPr>
        <w:t>14.2</w:t>
      </w:r>
      <w:r>
        <w:rPr>
          <w:rFonts w:hint="eastAsia" w:ascii="宋体" w:hAnsi="宋体" w:eastAsia="宋体" w:cs="宋体"/>
          <w:snapToGrid/>
          <w:color w:val="000000"/>
          <w:kern w:val="0"/>
          <w:sz w:val="24"/>
          <w:szCs w:val="24"/>
          <w:lang w:eastAsia="zh-CN" w:bidi="ar"/>
        </w:rPr>
        <w:t>万亩，占总面积的</w:t>
      </w:r>
      <w:r>
        <w:rPr>
          <w:rFonts w:ascii="Times New Roman" w:hAnsi="Times New Roman" w:eastAsia="宋体" w:cs="Times New Roman"/>
          <w:snapToGrid/>
          <w:color w:val="000000"/>
          <w:kern w:val="0"/>
          <w:sz w:val="24"/>
          <w:szCs w:val="24"/>
          <w:lang w:eastAsia="zh-CN" w:bidi="ar"/>
        </w:rPr>
        <w:t>6.9%</w:t>
      </w:r>
      <w:r>
        <w:rPr>
          <w:rFonts w:hint="eastAsia" w:ascii="宋体" w:hAnsi="宋体" w:eastAsia="宋体" w:cs="宋体"/>
          <w:snapToGrid/>
          <w:color w:val="000000"/>
          <w:kern w:val="0"/>
          <w:sz w:val="24"/>
          <w:szCs w:val="24"/>
          <w:lang w:eastAsia="zh-CN" w:bidi="ar"/>
        </w:rPr>
        <w:t>；潮土类</w:t>
      </w:r>
      <w:r>
        <w:rPr>
          <w:rFonts w:ascii="Times New Roman" w:hAnsi="Times New Roman" w:eastAsia="宋体" w:cs="Times New Roman"/>
          <w:snapToGrid/>
          <w:color w:val="000000"/>
          <w:kern w:val="0"/>
          <w:sz w:val="24"/>
          <w:szCs w:val="24"/>
          <w:lang w:eastAsia="zh-CN" w:bidi="ar"/>
        </w:rPr>
        <w:t>21.75</w:t>
      </w:r>
      <w:r>
        <w:rPr>
          <w:rFonts w:hint="eastAsia" w:ascii="宋体" w:hAnsi="宋体" w:eastAsia="宋体" w:cs="宋体"/>
          <w:snapToGrid/>
          <w:color w:val="000000"/>
          <w:kern w:val="0"/>
          <w:sz w:val="24"/>
          <w:szCs w:val="24"/>
          <w:lang w:eastAsia="zh-CN" w:bidi="ar"/>
        </w:rPr>
        <w:t>万亩，占</w:t>
      </w:r>
      <w:r>
        <w:rPr>
          <w:rFonts w:ascii="Times New Roman" w:hAnsi="Times New Roman" w:eastAsia="宋体" w:cs="Times New Roman"/>
          <w:snapToGrid/>
          <w:color w:val="000000"/>
          <w:kern w:val="0"/>
          <w:sz w:val="24"/>
          <w:szCs w:val="24"/>
          <w:lang w:eastAsia="zh-CN" w:bidi="ar"/>
        </w:rPr>
        <w:t>10.6%</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叶县地处暖温带，动植物适生面广，生物资源种类繁多，主要林木植物有杨、柳、榆、槐等以及小麦、玉米、常见杂草等。由于工业生产和人类频繁活动，区域内野生爬行动物迹象罕见，常见野生动物有猫头鹰、啄木鸟、麻雀、燕子等鸟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000000"/>
          <w:kern w:val="0"/>
          <w:sz w:val="24"/>
          <w:szCs w:val="24"/>
          <w:lang w:eastAsia="zh-CN" w:bidi="ar"/>
        </w:rPr>
      </w:pPr>
      <w:r>
        <w:rPr>
          <w:rFonts w:hint="eastAsia" w:ascii="宋体" w:hAnsi="宋体" w:eastAsia="宋体" w:cs="宋体"/>
          <w:snapToGrid/>
          <w:color w:val="000000"/>
          <w:kern w:val="0"/>
          <w:sz w:val="24"/>
          <w:szCs w:val="24"/>
          <w:lang w:eastAsia="zh-CN" w:bidi="ar"/>
        </w:rPr>
        <w:t>本项目位于</w:t>
      </w:r>
      <w:r>
        <w:rPr>
          <w:rFonts w:hint="eastAsia" w:ascii="Times New Roman" w:hAnsi="Times New Roman" w:eastAsia="宋体" w:cs="Times New Roman"/>
          <w:snapToGrid/>
          <w:kern w:val="2"/>
          <w:sz w:val="24"/>
          <w:szCs w:val="24"/>
          <w:lang w:eastAsia="zh-CN"/>
        </w:rPr>
        <w:t>叶县马庄乡张庄村（河南省平顶山市迪可集团食品有限公司厂区院内）</w:t>
      </w:r>
      <w:r>
        <w:rPr>
          <w:rFonts w:hint="eastAsia" w:ascii="宋体" w:hAnsi="宋体" w:eastAsia="宋体" w:cs="宋体"/>
          <w:snapToGrid/>
          <w:color w:val="000000"/>
          <w:kern w:val="0"/>
          <w:sz w:val="24"/>
          <w:szCs w:val="24"/>
          <w:lang w:eastAsia="zh-CN" w:bidi="ar"/>
        </w:rPr>
        <w:t>，受人为影响，区域内无大型野生动物，植物主要为常见小麦、玉米、常见杂草和人工绿化植物。项目周边</w:t>
      </w:r>
      <w:r>
        <w:rPr>
          <w:rFonts w:ascii="Times New Roman" w:hAnsi="Times New Roman" w:eastAsia="宋体" w:cs="Times New Roman"/>
          <w:snapToGrid/>
          <w:color w:val="000000"/>
          <w:kern w:val="0"/>
          <w:sz w:val="24"/>
          <w:szCs w:val="24"/>
          <w:lang w:eastAsia="zh-CN" w:bidi="ar"/>
        </w:rPr>
        <w:t>500m</w:t>
      </w:r>
      <w:r>
        <w:rPr>
          <w:rFonts w:hint="eastAsia" w:ascii="宋体" w:hAnsi="宋体" w:eastAsia="宋体" w:cs="宋体"/>
          <w:snapToGrid/>
          <w:color w:val="000000"/>
          <w:kern w:val="0"/>
          <w:sz w:val="24"/>
          <w:szCs w:val="24"/>
          <w:lang w:eastAsia="zh-CN" w:bidi="ar"/>
        </w:rPr>
        <w:t>范围内无列入《国家重点保护野生植物名录》和《国家重点保护野生动物名录》的动植物。</w:t>
      </w:r>
    </w:p>
    <w:p>
      <w:pPr>
        <w:keepNext w:val="0"/>
        <w:keepLines w:val="0"/>
        <w:pageBreakBefore w:val="0"/>
        <w:widowControl/>
        <w:kinsoku w:val="0"/>
        <w:wordWrap/>
        <w:overflowPunct/>
        <w:topLinePunct w:val="0"/>
        <w:autoSpaceDE w:val="0"/>
        <w:autoSpaceDN w:val="0"/>
        <w:bidi w:val="0"/>
        <w:adjustRightInd w:val="0"/>
        <w:snapToGrid w:val="0"/>
        <w:spacing w:before="92" w:line="360" w:lineRule="auto"/>
        <w:textAlignment w:val="baseline"/>
        <w:outlineLvl w:val="3"/>
        <w:rPr>
          <w:rFonts w:ascii="楷体" w:hAnsi="楷体" w:eastAsia="楷体" w:cs="楷体"/>
          <w:sz w:val="28"/>
          <w:szCs w:val="28"/>
        </w:rPr>
      </w:pPr>
      <w:r>
        <w:rPr>
          <w:rFonts w:hint="eastAsia" w:ascii="Times New Roman" w:hAnsi="Times New Roman" w:eastAsia="宋体" w:cs="Times New Roman"/>
          <w:spacing w:val="-1"/>
          <w:sz w:val="28"/>
          <w:szCs w:val="28"/>
          <w:lang w:val="en-US" w:eastAsia="zh-CN"/>
        </w:rPr>
        <w:t>4.1.6</w:t>
      </w:r>
      <w:r>
        <w:rPr>
          <w:rFonts w:ascii="楷体" w:hAnsi="楷体" w:eastAsia="楷体" w:cs="楷体"/>
          <w:spacing w:val="-1"/>
          <w:sz w:val="28"/>
          <w:szCs w:val="28"/>
        </w:rPr>
        <w:t>矿产资源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叶县资源丰富，气候宜人。境内已查明的矿产资源主要有盐、石油、煤、铁、磷、铝矾土、钾、石墨、大理石及白云岩等。中国第二大内陆盐田—叶县盐田展布面积400平方公里，总储量3300亿吨，品位居全国井矿盐之首。氯化钠含量90%以上，品位居全国井矿盐之首。除此之外，矿产资源还有石墨（储量672万吨）、大理石、重晶石、轻质粘土和锰铁等，其特点为分布广，宜小型开采。</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highlight w:val="none"/>
        </w:rPr>
      </w:pPr>
      <w:bookmarkStart w:id="320" w:name="bookmark78"/>
      <w:bookmarkEnd w:id="320"/>
      <w:r>
        <w:rPr>
          <w:rFonts w:ascii="Times New Roman" w:hAnsi="Times New Roman" w:eastAsia="Times New Roman" w:cs="Times New Roman"/>
          <w:spacing w:val="-5"/>
          <w:sz w:val="28"/>
          <w:szCs w:val="28"/>
          <w:highlight w:val="none"/>
        </w:rPr>
        <w:t>4.1.7</w:t>
      </w:r>
      <w:r>
        <w:rPr>
          <w:rFonts w:ascii="楷体" w:hAnsi="楷体" w:eastAsia="楷体" w:cs="楷体"/>
          <w:spacing w:val="-5"/>
          <w:sz w:val="28"/>
          <w:szCs w:val="28"/>
          <w:highlight w:val="none"/>
        </w:rPr>
        <w:t>区域水文地质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napToGrid/>
          <w:kern w:val="2"/>
          <w:sz w:val="24"/>
          <w:szCs w:val="24"/>
          <w:lang w:eastAsia="zh-CN"/>
        </w:rPr>
      </w:pPr>
      <w:bookmarkStart w:id="321" w:name="bookmark79"/>
      <w:bookmarkEnd w:id="321"/>
      <w:r>
        <w:rPr>
          <w:rFonts w:hint="eastAsia" w:ascii="宋体" w:hAnsi="宋体" w:eastAsia="宋体" w:cs="宋体"/>
          <w:snapToGrid/>
          <w:color w:val="000000"/>
          <w:kern w:val="0"/>
          <w:sz w:val="24"/>
          <w:szCs w:val="24"/>
          <w:lang w:eastAsia="zh-CN" w:bidi="ar"/>
        </w:rPr>
        <w:t>本项目位于叶县</w:t>
      </w:r>
      <w:r>
        <w:rPr>
          <w:rFonts w:hint="eastAsia" w:ascii="宋体" w:hAnsi="宋体" w:eastAsia="宋体" w:cs="宋体"/>
          <w:snapToGrid/>
          <w:color w:val="000000"/>
          <w:kern w:val="0"/>
          <w:sz w:val="24"/>
          <w:szCs w:val="24"/>
          <w:highlight w:val="none"/>
          <w:lang w:eastAsia="zh-CN" w:bidi="ar"/>
        </w:rPr>
        <w:t>马庄乡</w:t>
      </w:r>
      <w:r>
        <w:rPr>
          <w:rFonts w:hint="eastAsia" w:ascii="宋体" w:hAnsi="宋体" w:eastAsia="宋体" w:cs="宋体"/>
          <w:snapToGrid/>
          <w:color w:val="000000"/>
          <w:kern w:val="0"/>
          <w:sz w:val="24"/>
          <w:szCs w:val="24"/>
          <w:lang w:eastAsia="zh-CN" w:bidi="ar"/>
        </w:rPr>
        <w:t>，项目所在地地下水系统属沙河地下水系统，地层为第四系松散堆积物，存在厚度大于</w:t>
      </w:r>
      <w:r>
        <w:rPr>
          <w:rFonts w:ascii="Times New Roman" w:hAnsi="Times New Roman" w:eastAsia="宋体" w:cs="Times New Roman"/>
          <w:snapToGrid/>
          <w:color w:val="000000"/>
          <w:kern w:val="0"/>
          <w:sz w:val="24"/>
          <w:szCs w:val="24"/>
          <w:lang w:eastAsia="zh-CN" w:bidi="ar"/>
        </w:rPr>
        <w:t>10m</w:t>
      </w:r>
      <w:r>
        <w:rPr>
          <w:rFonts w:hint="eastAsia" w:ascii="宋体" w:hAnsi="宋体" w:eastAsia="宋体" w:cs="宋体"/>
          <w:snapToGrid/>
          <w:color w:val="000000"/>
          <w:kern w:val="0"/>
          <w:sz w:val="24"/>
          <w:szCs w:val="24"/>
          <w:lang w:eastAsia="zh-CN" w:bidi="ar"/>
        </w:rPr>
        <w:t>的下更新统（更新统是更新世形成的地层，可分为下更新统、中更新统和上更新统）含钙核粘土层和亚粘土层将含水岩组分为上、下含水岩组。上部含水岩组细砂和砂卵石层，地下水类型为松散岩类孔隙水。下部地层岩性为第四系下更新统冰水沉积的棕红、灰绿和灰白色泥质粉细砂、泥质砂砾石和粘性土，局部呈半固状态，主要含水岩组为细砂和砂卵石层。根据调查区域地下水类型属松散岩类孔隙水，划分为浅层水和中深层地下水。浅层地下水开发利用方式主要为农业灌溉用水和部分村庄居民生活饮用开采，井深为</w:t>
      </w:r>
      <w:r>
        <w:rPr>
          <w:rFonts w:ascii="Times New Roman" w:hAnsi="Times New Roman" w:eastAsia="宋体" w:cs="Times New Roman"/>
          <w:snapToGrid/>
          <w:color w:val="000000"/>
          <w:kern w:val="0"/>
          <w:sz w:val="24"/>
          <w:szCs w:val="24"/>
          <w:lang w:eastAsia="zh-CN" w:bidi="ar"/>
        </w:rPr>
        <w:t>20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50m</w:t>
      </w:r>
      <w:r>
        <w:rPr>
          <w:rFonts w:hint="eastAsia" w:ascii="宋体" w:hAnsi="宋体" w:eastAsia="宋体" w:cs="宋体"/>
          <w:snapToGrid/>
          <w:color w:val="000000"/>
          <w:kern w:val="0"/>
          <w:sz w:val="24"/>
          <w:szCs w:val="24"/>
          <w:lang w:eastAsia="zh-CN" w:bidi="ar"/>
        </w:rPr>
        <w:t>。中深层地下水开发利用方式主要为居民生活饮用水开采，井深多为</w:t>
      </w:r>
      <w:r>
        <w:rPr>
          <w:rFonts w:ascii="Times New Roman" w:hAnsi="Times New Roman" w:eastAsia="宋体" w:cs="Times New Roman"/>
          <w:snapToGrid/>
          <w:color w:val="000000"/>
          <w:kern w:val="0"/>
          <w:sz w:val="24"/>
          <w:szCs w:val="24"/>
          <w:lang w:eastAsia="zh-CN" w:bidi="ar"/>
        </w:rPr>
        <w:t>120m</w:t>
      </w:r>
      <w:r>
        <w:rPr>
          <w:rFonts w:hint="eastAsia" w:ascii="宋体" w:hAnsi="宋体" w:eastAsia="宋体" w:cs="宋体"/>
          <w:snapToGrid/>
          <w:color w:val="000000"/>
          <w:kern w:val="0"/>
          <w:sz w:val="24"/>
          <w:szCs w:val="24"/>
          <w:lang w:eastAsia="zh-CN" w:bidi="ar"/>
        </w:rPr>
        <w:t>左右。受地貌及地层条件控制，地下水径流缓慢，本区地下水的径流方向与地形倾向基本一致。</w:t>
      </w:r>
      <w:r>
        <w:rPr>
          <w:rFonts w:hint="eastAsia" w:ascii="宋体" w:hAnsi="宋体" w:eastAsia="宋体" w:cs="宋体"/>
          <w:snapToGrid/>
          <w:color w:val="000000"/>
          <w:kern w:val="0"/>
          <w:sz w:val="24"/>
          <w:szCs w:val="24"/>
          <w:u w:val="none"/>
          <w:lang w:eastAsia="zh-CN" w:bidi="ar"/>
        </w:rPr>
        <w:t>地下水由西南向东北方向径流，</w:t>
      </w:r>
      <w:r>
        <w:rPr>
          <w:rFonts w:hint="eastAsia" w:ascii="宋体" w:hAnsi="宋体" w:eastAsia="宋体" w:cs="宋体"/>
          <w:snapToGrid/>
          <w:color w:val="000000"/>
          <w:kern w:val="0"/>
          <w:sz w:val="24"/>
          <w:szCs w:val="24"/>
          <w:lang w:eastAsia="zh-CN" w:bidi="ar"/>
        </w:rPr>
        <w:t>水力坡度一般在</w:t>
      </w:r>
      <w:r>
        <w:rPr>
          <w:rFonts w:ascii="Times New Roman" w:hAnsi="Times New Roman" w:eastAsia="宋体" w:cs="Times New Roman"/>
          <w:snapToGrid/>
          <w:color w:val="000000"/>
          <w:kern w:val="0"/>
          <w:sz w:val="24"/>
          <w:szCs w:val="24"/>
          <w:lang w:eastAsia="zh-CN" w:bidi="ar"/>
        </w:rPr>
        <w:t>0.5</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1.0‰</w:t>
      </w:r>
      <w:r>
        <w:rPr>
          <w:rFonts w:hint="eastAsia" w:ascii="宋体" w:hAnsi="宋体" w:eastAsia="宋体" w:cs="宋体"/>
          <w:snapToGrid/>
          <w:color w:val="000000"/>
          <w:kern w:val="0"/>
          <w:sz w:val="24"/>
          <w:szCs w:val="24"/>
          <w:lang w:eastAsia="zh-CN" w:bidi="ar"/>
        </w:rPr>
        <w:t>；在北部沿沙河地区，地下水向北径流，地下水补给河水，水力坡度一般在</w:t>
      </w:r>
      <w:r>
        <w:rPr>
          <w:rFonts w:ascii="Times New Roman" w:hAnsi="Times New Roman" w:eastAsia="宋体" w:cs="Times New Roman"/>
          <w:snapToGrid/>
          <w:color w:val="000000"/>
          <w:kern w:val="0"/>
          <w:sz w:val="24"/>
          <w:szCs w:val="24"/>
          <w:lang w:eastAsia="zh-CN" w:bidi="ar"/>
        </w:rPr>
        <w:t>1.0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2.0‰</w:t>
      </w:r>
      <w:r>
        <w:rPr>
          <w:rFonts w:hint="eastAsia" w:ascii="宋体" w:hAnsi="宋体" w:eastAsia="宋体" w:cs="宋体"/>
          <w:snapToGrid/>
          <w:color w:val="000000"/>
          <w:kern w:val="0"/>
          <w:sz w:val="24"/>
          <w:szCs w:val="24"/>
          <w:lang w:eastAsia="zh-CN" w:bidi="ar"/>
        </w:rPr>
        <w:t>左右。</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根据地下水赋存介质和赋存介质的空间分布，叶县境内地下水可分为松散岩类孔隙水、碎屑岩类裂隙水、碳酸盐岩类裂隙岩溶水和基岩裂隙水。松散岩类孔隙水含水岩组水是集聚区内的主要的地下水含水岩组，依据地下水埋藏条件和水力联系特征，划分为浅层含水岩组和中深层含水岩组。浅层含水岩组的岩性为以细砂、砂砾石、粉质黏土为主，呈松散状、颗粒较粗，泥质含量稍高，孔隙发育，是集聚区内地下水主要含水层，</w:t>
      </w:r>
      <w:r>
        <w:rPr>
          <w:rFonts w:hint="eastAsia" w:ascii="宋体" w:hAnsi="宋体" w:eastAsia="宋体" w:cs="宋体"/>
          <w:snapToGrid/>
          <w:color w:val="000000"/>
          <w:kern w:val="0"/>
          <w:sz w:val="24"/>
          <w:szCs w:val="24"/>
          <w:u w:val="none"/>
          <w:lang w:eastAsia="zh-CN" w:bidi="ar"/>
        </w:rPr>
        <w:t>其水流向总体上与地形倾向一致，即由西南向东北方向径流</w:t>
      </w:r>
      <w:r>
        <w:rPr>
          <w:rFonts w:hint="eastAsia" w:ascii="宋体" w:hAnsi="宋体" w:eastAsia="宋体" w:cs="宋体"/>
          <w:snapToGrid/>
          <w:color w:val="000000"/>
          <w:kern w:val="0"/>
          <w:sz w:val="24"/>
          <w:szCs w:val="24"/>
          <w:lang w:eastAsia="zh-CN" w:bidi="ar"/>
        </w:rPr>
        <w:t>，径流速度缓慢，水力坡度介于</w:t>
      </w:r>
      <w:r>
        <w:rPr>
          <w:rFonts w:ascii="Times New Roman" w:hAnsi="Times New Roman" w:eastAsia="宋体" w:cs="Times New Roman"/>
          <w:snapToGrid/>
          <w:color w:val="000000"/>
          <w:kern w:val="0"/>
          <w:sz w:val="24"/>
          <w:szCs w:val="24"/>
          <w:lang w:eastAsia="zh-CN" w:bidi="ar"/>
        </w:rPr>
        <w:t>0.1‰-1.4‰</w:t>
      </w:r>
      <w:r>
        <w:rPr>
          <w:rFonts w:hint="eastAsia" w:ascii="宋体" w:hAnsi="宋体" w:eastAsia="宋体" w:cs="宋体"/>
          <w:snapToGrid/>
          <w:color w:val="000000"/>
          <w:kern w:val="0"/>
          <w:sz w:val="24"/>
          <w:szCs w:val="24"/>
          <w:lang w:eastAsia="zh-CN" w:bidi="ar"/>
        </w:rPr>
        <w:t>。叶县县城周边浅水含水层埋深</w:t>
      </w:r>
      <w:r>
        <w:rPr>
          <w:rFonts w:ascii="Times New Roman" w:hAnsi="Times New Roman" w:eastAsia="宋体" w:cs="Times New Roman"/>
          <w:snapToGrid/>
          <w:color w:val="000000"/>
          <w:kern w:val="0"/>
          <w:sz w:val="24"/>
          <w:szCs w:val="24"/>
          <w:lang w:eastAsia="zh-CN" w:bidi="ar"/>
        </w:rPr>
        <w:t>20m-50m</w:t>
      </w:r>
      <w:r>
        <w:rPr>
          <w:rFonts w:hint="eastAsia" w:ascii="宋体" w:hAnsi="宋体" w:eastAsia="宋体" w:cs="宋体"/>
          <w:snapToGrid/>
          <w:color w:val="000000"/>
          <w:kern w:val="0"/>
          <w:sz w:val="24"/>
          <w:szCs w:val="24"/>
          <w:lang w:eastAsia="zh-CN" w:bidi="ar"/>
        </w:rPr>
        <w:t>左右。区域浅水含水层底板埋深变化较大，含水砂层的空间分布不均。地下水浅水含水层在沙河及其北部以上更新统为主，中部的广大平原地区以中更新统为主，中南部为中更新统和少量下更新统，山前岗地则以下更新统为主。浅水含水层厚度，以中更新统时期沙河沉积中心的寺庄</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叶县县城附近</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廉村一带为最大，一般厚度在</w:t>
      </w:r>
      <w:r>
        <w:rPr>
          <w:rFonts w:ascii="Times New Roman" w:hAnsi="Times New Roman" w:eastAsia="宋体" w:cs="Times New Roman"/>
          <w:snapToGrid/>
          <w:color w:val="000000"/>
          <w:kern w:val="0"/>
          <w:sz w:val="24"/>
          <w:szCs w:val="24"/>
          <w:lang w:eastAsia="zh-CN" w:bidi="ar"/>
        </w:rPr>
        <w:t>40-50m</w:t>
      </w:r>
      <w:r>
        <w:rPr>
          <w:rFonts w:hint="eastAsia" w:ascii="宋体" w:hAnsi="宋体" w:eastAsia="宋体" w:cs="宋体"/>
          <w:snapToGrid/>
          <w:color w:val="000000"/>
          <w:kern w:val="0"/>
          <w:sz w:val="24"/>
          <w:szCs w:val="24"/>
          <w:lang w:eastAsia="zh-CN" w:bidi="ar"/>
        </w:rPr>
        <w:t>，最大厚度达</w:t>
      </w:r>
      <w:r>
        <w:rPr>
          <w:rFonts w:ascii="Times New Roman" w:hAnsi="Times New Roman" w:eastAsia="宋体" w:cs="Times New Roman"/>
          <w:snapToGrid/>
          <w:color w:val="000000"/>
          <w:kern w:val="0"/>
          <w:sz w:val="24"/>
          <w:szCs w:val="24"/>
          <w:lang w:eastAsia="zh-CN" w:bidi="ar"/>
        </w:rPr>
        <w:t>60.2m</w:t>
      </w:r>
      <w:r>
        <w:rPr>
          <w:rFonts w:hint="eastAsia" w:ascii="宋体" w:hAnsi="宋体" w:eastAsia="宋体" w:cs="宋体"/>
          <w:snapToGrid/>
          <w:color w:val="000000"/>
          <w:kern w:val="0"/>
          <w:sz w:val="24"/>
          <w:szCs w:val="24"/>
          <w:lang w:eastAsia="zh-CN" w:bidi="ar"/>
        </w:rPr>
        <w:t>，呈二元结构。东北的遵化</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洪庄杨</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邓李</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水寨东一带厚度小于</w:t>
      </w:r>
      <w:r>
        <w:rPr>
          <w:rFonts w:ascii="Times New Roman" w:hAnsi="Times New Roman" w:eastAsia="宋体" w:cs="Times New Roman"/>
          <w:snapToGrid/>
          <w:color w:val="000000"/>
          <w:kern w:val="0"/>
          <w:sz w:val="24"/>
          <w:szCs w:val="24"/>
          <w:lang w:eastAsia="zh-CN" w:bidi="ar"/>
        </w:rPr>
        <w:t>10m</w:t>
      </w:r>
      <w:r>
        <w:rPr>
          <w:rFonts w:hint="eastAsia" w:ascii="宋体" w:hAnsi="宋体" w:eastAsia="宋体" w:cs="宋体"/>
          <w:snapToGrid/>
          <w:color w:val="000000"/>
          <w:kern w:val="0"/>
          <w:sz w:val="24"/>
          <w:szCs w:val="24"/>
          <w:lang w:eastAsia="zh-CN" w:bidi="ar"/>
        </w:rPr>
        <w:t>。集聚区单井出水量</w:t>
      </w:r>
      <w:r>
        <w:rPr>
          <w:rFonts w:ascii="Times New Roman" w:hAnsi="Times New Roman" w:eastAsia="宋体" w:cs="Times New Roman"/>
          <w:snapToGrid/>
          <w:color w:val="000000"/>
          <w:kern w:val="0"/>
          <w:sz w:val="24"/>
          <w:szCs w:val="24"/>
          <w:lang w:eastAsia="zh-CN" w:bidi="ar"/>
        </w:rPr>
        <w:t>500-1000m</w:t>
      </w:r>
      <w:r>
        <w:rPr>
          <w:rFonts w:ascii="Times New Roman" w:hAnsi="Times New Roman" w:eastAsia="宋体" w:cs="Times New Roman"/>
          <w:snapToGrid/>
          <w:color w:val="000000"/>
          <w:kern w:val="0"/>
          <w:sz w:val="24"/>
          <w:szCs w:val="24"/>
          <w:vertAlign w:val="superscript"/>
          <w:lang w:eastAsia="zh-CN" w:bidi="ar"/>
        </w:rPr>
        <w:t>3</w:t>
      </w:r>
      <w:r>
        <w:rPr>
          <w:rFonts w:ascii="Times New Roman" w:hAnsi="Times New Roman" w:eastAsia="宋体" w:cs="Times New Roman"/>
          <w:snapToGrid/>
          <w:color w:val="000000"/>
          <w:kern w:val="0"/>
          <w:sz w:val="24"/>
          <w:szCs w:val="24"/>
          <w:lang w:eastAsia="zh-CN" w:bidi="ar"/>
        </w:rPr>
        <w:t>/d</w:t>
      </w:r>
      <w:r>
        <w:rPr>
          <w:rFonts w:hint="eastAsia" w:ascii="宋体" w:hAnsi="宋体" w:eastAsia="宋体" w:cs="宋体"/>
          <w:snapToGrid/>
          <w:color w:val="000000"/>
          <w:kern w:val="0"/>
          <w:sz w:val="24"/>
          <w:szCs w:val="24"/>
          <w:lang w:eastAsia="zh-CN" w:bidi="ar"/>
        </w:rPr>
        <w:t>，属于弱富水区。</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中深层含水层岩组均为下更系统的泥质砂层、泥质砂砾卵石层。顶板埋深</w:t>
      </w:r>
      <w:r>
        <w:rPr>
          <w:rFonts w:ascii="Times New Roman" w:hAnsi="Times New Roman" w:eastAsia="宋体" w:cs="Times New Roman"/>
          <w:snapToGrid/>
          <w:color w:val="000000"/>
          <w:kern w:val="0"/>
          <w:sz w:val="24"/>
          <w:szCs w:val="24"/>
          <w:lang w:eastAsia="zh-CN" w:bidi="ar"/>
        </w:rPr>
        <w:t>33.2-87.3m</w:t>
      </w:r>
      <w:r>
        <w:rPr>
          <w:rFonts w:hint="eastAsia" w:ascii="宋体" w:hAnsi="宋体" w:eastAsia="宋体" w:cs="宋体"/>
          <w:snapToGrid/>
          <w:color w:val="000000"/>
          <w:kern w:val="0"/>
          <w:sz w:val="24"/>
          <w:szCs w:val="24"/>
          <w:lang w:eastAsia="zh-CN" w:bidi="ar"/>
        </w:rPr>
        <w:t>，在寺庄</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堤郑和叶县县城以东广大地区顶板埋深大于</w:t>
      </w:r>
      <w:r>
        <w:rPr>
          <w:rFonts w:ascii="Times New Roman" w:hAnsi="Times New Roman" w:eastAsia="宋体" w:cs="Times New Roman"/>
          <w:snapToGrid/>
          <w:color w:val="000000"/>
          <w:kern w:val="0"/>
          <w:sz w:val="24"/>
          <w:szCs w:val="24"/>
          <w:lang w:eastAsia="zh-CN" w:bidi="ar"/>
        </w:rPr>
        <w:t>60m</w:t>
      </w:r>
      <w:r>
        <w:rPr>
          <w:rFonts w:hint="eastAsia" w:ascii="宋体" w:hAnsi="宋体" w:eastAsia="宋体" w:cs="宋体"/>
          <w:snapToGrid/>
          <w:color w:val="000000"/>
          <w:kern w:val="0"/>
          <w:sz w:val="24"/>
          <w:szCs w:val="24"/>
          <w:lang w:eastAsia="zh-CN" w:bidi="ar"/>
        </w:rPr>
        <w:t>，其它地带多为</w:t>
      </w:r>
      <w:r>
        <w:rPr>
          <w:rFonts w:ascii="Times New Roman" w:hAnsi="Times New Roman" w:eastAsia="宋体" w:cs="Times New Roman"/>
          <w:snapToGrid/>
          <w:color w:val="000000"/>
          <w:kern w:val="0"/>
          <w:sz w:val="24"/>
          <w:szCs w:val="24"/>
          <w:lang w:eastAsia="zh-CN" w:bidi="ar"/>
        </w:rPr>
        <w:t>40-50m</w:t>
      </w:r>
      <w:r>
        <w:rPr>
          <w:rFonts w:hint="eastAsia" w:ascii="宋体" w:hAnsi="宋体" w:eastAsia="宋体" w:cs="宋体"/>
          <w:snapToGrid/>
          <w:color w:val="000000"/>
          <w:kern w:val="0"/>
          <w:sz w:val="24"/>
          <w:szCs w:val="24"/>
          <w:lang w:eastAsia="zh-CN" w:bidi="ar"/>
        </w:rPr>
        <w:t>。含水岩组为多层结构、总厚度变化较大，从几米到数十米，一般在</w:t>
      </w:r>
      <w:r>
        <w:rPr>
          <w:rFonts w:ascii="Times New Roman" w:hAnsi="Times New Roman" w:eastAsia="宋体" w:cs="Times New Roman"/>
          <w:snapToGrid/>
          <w:color w:val="000000"/>
          <w:kern w:val="0"/>
          <w:sz w:val="24"/>
          <w:szCs w:val="24"/>
          <w:lang w:eastAsia="zh-CN" w:bidi="ar"/>
        </w:rPr>
        <w:t>20-40m</w:t>
      </w:r>
      <w:r>
        <w:rPr>
          <w:rFonts w:hint="eastAsia" w:ascii="宋体" w:hAnsi="宋体" w:eastAsia="宋体" w:cs="宋体"/>
          <w:snapToGrid/>
          <w:color w:val="000000"/>
          <w:kern w:val="0"/>
          <w:sz w:val="24"/>
          <w:szCs w:val="24"/>
          <w:lang w:eastAsia="zh-CN" w:bidi="ar"/>
        </w:rPr>
        <w:t>，最大达</w:t>
      </w:r>
      <w:r>
        <w:rPr>
          <w:rFonts w:ascii="Times New Roman" w:hAnsi="Times New Roman" w:eastAsia="宋体" w:cs="Times New Roman"/>
          <w:snapToGrid/>
          <w:color w:val="000000"/>
          <w:kern w:val="0"/>
          <w:sz w:val="24"/>
          <w:szCs w:val="24"/>
          <w:lang w:eastAsia="zh-CN" w:bidi="ar"/>
        </w:rPr>
        <w:t>70.9m</w:t>
      </w:r>
      <w:r>
        <w:rPr>
          <w:rFonts w:hint="eastAsia" w:ascii="宋体" w:hAnsi="宋体" w:eastAsia="宋体" w:cs="宋体"/>
          <w:snapToGrid/>
          <w:color w:val="000000"/>
          <w:kern w:val="0"/>
          <w:sz w:val="24"/>
          <w:szCs w:val="24"/>
          <w:lang w:eastAsia="zh-CN" w:bidi="ar"/>
        </w:rPr>
        <w:t>。区域上的分布大体与浅层含水岩组一致。集聚区内中深层含水层埋深大于</w:t>
      </w:r>
      <w:r>
        <w:rPr>
          <w:rFonts w:ascii="Times New Roman" w:hAnsi="Times New Roman" w:eastAsia="宋体" w:cs="Times New Roman"/>
          <w:snapToGrid/>
          <w:color w:val="000000"/>
          <w:kern w:val="0"/>
          <w:sz w:val="24"/>
          <w:szCs w:val="24"/>
          <w:lang w:eastAsia="zh-CN" w:bidi="ar"/>
        </w:rPr>
        <w:t>60m</w:t>
      </w:r>
      <w:r>
        <w:rPr>
          <w:rFonts w:hint="eastAsia" w:ascii="宋体" w:hAnsi="宋体" w:eastAsia="宋体" w:cs="宋体"/>
          <w:snapToGrid/>
          <w:color w:val="000000"/>
          <w:kern w:val="0"/>
          <w:sz w:val="24"/>
          <w:szCs w:val="24"/>
          <w:lang w:eastAsia="zh-CN" w:bidi="ar"/>
        </w:rPr>
        <w:t>。集聚区单井出水量大于</w:t>
      </w:r>
      <w:r>
        <w:rPr>
          <w:rFonts w:ascii="Times New Roman" w:hAnsi="Times New Roman" w:eastAsia="宋体" w:cs="Times New Roman"/>
          <w:snapToGrid/>
          <w:color w:val="000000"/>
          <w:kern w:val="0"/>
          <w:sz w:val="24"/>
          <w:szCs w:val="24"/>
          <w:lang w:eastAsia="zh-CN" w:bidi="ar"/>
        </w:rPr>
        <w:t>3000m</w:t>
      </w:r>
      <w:r>
        <w:rPr>
          <w:rFonts w:ascii="Times New Roman" w:hAnsi="Times New Roman" w:eastAsia="宋体" w:cs="Times New Roman"/>
          <w:snapToGrid/>
          <w:color w:val="000000"/>
          <w:kern w:val="0"/>
          <w:sz w:val="24"/>
          <w:szCs w:val="24"/>
          <w:vertAlign w:val="superscript"/>
          <w:lang w:eastAsia="zh-CN" w:bidi="ar"/>
        </w:rPr>
        <w:t>3</w:t>
      </w:r>
      <w:r>
        <w:rPr>
          <w:rFonts w:ascii="Times New Roman" w:hAnsi="Times New Roman" w:eastAsia="宋体" w:cs="Times New Roman"/>
          <w:snapToGrid/>
          <w:color w:val="000000"/>
          <w:kern w:val="0"/>
          <w:sz w:val="24"/>
          <w:szCs w:val="24"/>
          <w:lang w:eastAsia="zh-CN" w:bidi="ar"/>
        </w:rPr>
        <w:t>/d</w:t>
      </w:r>
      <w:r>
        <w:rPr>
          <w:rFonts w:hint="eastAsia" w:ascii="宋体" w:hAnsi="宋体" w:eastAsia="宋体" w:cs="宋体"/>
          <w:snapToGrid/>
          <w:color w:val="000000"/>
          <w:kern w:val="0"/>
          <w:sz w:val="24"/>
          <w:szCs w:val="24"/>
          <w:lang w:eastAsia="zh-CN" w:bidi="ar"/>
        </w:rPr>
        <w:t>，属于极富水区。区域的浅层地下水和中深层地下水之间有渗透性较弱的粘土层隔开，隔水层分布稳定，厚度较大，地层连续性较好，对垂直渗透的污染物阻隔作用明显，因此中深层含水层与浅层含水层之间水力联系较弱。补给调查区的地下水的补给来源有：降水入渗补给、地下水侧向径流补给及灌溉渗漏补给。叶县及周边</w:t>
      </w:r>
      <w:r>
        <w:rPr>
          <w:rFonts w:hint="eastAsia" w:ascii="宋体" w:hAnsi="宋体" w:eastAsia="宋体" w:cs="宋体"/>
          <w:snapToGrid/>
          <w:color w:val="000000"/>
          <w:kern w:val="0"/>
          <w:sz w:val="24"/>
          <w:szCs w:val="24"/>
          <w:lang w:val="en-US" w:eastAsia="zh-CN" w:bidi="ar"/>
        </w:rPr>
        <w:t>区域水文地质图，见附图七</w:t>
      </w:r>
      <w:r>
        <w:rPr>
          <w:rFonts w:hint="eastAsia" w:ascii="宋体" w:hAnsi="宋体" w:eastAsia="宋体" w:cs="宋体"/>
          <w:snapToGrid/>
          <w:color w:val="000000"/>
          <w:kern w:val="0"/>
          <w:sz w:val="24"/>
          <w:szCs w:val="24"/>
          <w:lang w:eastAsia="zh-CN" w:bidi="ar"/>
        </w:rPr>
        <w:t>。</w:t>
      </w:r>
    </w:p>
    <w:p>
      <w:pPr>
        <w:pStyle w:val="4"/>
        <w:keepNext/>
        <w:keepLines/>
        <w:pageBreakBefore w:val="0"/>
        <w:widowControl/>
        <w:kinsoku w:val="0"/>
        <w:wordWrap/>
        <w:overflowPunct/>
        <w:topLinePunct w:val="0"/>
        <w:autoSpaceDE w:val="0"/>
        <w:autoSpaceDN w:val="0"/>
        <w:bidi w:val="0"/>
        <w:adjustRightInd w:val="0"/>
        <w:snapToGrid w:val="0"/>
        <w:spacing w:after="20" w:line="413" w:lineRule="auto"/>
        <w:textAlignment w:val="baseline"/>
      </w:pPr>
      <w:bookmarkStart w:id="322" w:name="_Toc31529"/>
      <w:bookmarkStart w:id="323" w:name="_Toc13088"/>
      <w:r>
        <w:t>4.2区域污染源调查</w:t>
      </w:r>
      <w:bookmarkEnd w:id="322"/>
      <w:bookmarkEnd w:id="323"/>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本项目选址地处农村地区，区域污染源主要为农村面源污染。农村面源污染主要是农田中用化肥和农药。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本项目主要排放的污染物为恶臭和屠宰废水。调查发现，本项目</w:t>
      </w:r>
      <w:r>
        <w:rPr>
          <w:rFonts w:hint="eastAsia" w:ascii="Times New Roman" w:hAnsi="Times New Roman" w:eastAsia="宋体" w:cs="Times New Roman"/>
          <w:sz w:val="24"/>
          <w:szCs w:val="24"/>
          <w:lang w:eastAsia="zh-CN"/>
        </w:rPr>
        <w:t>北</w:t>
      </w:r>
      <w:r>
        <w:rPr>
          <w:rFonts w:hint="default" w:ascii="Times New Roman" w:hAnsi="Times New Roman" w:cs="Times New Roman"/>
          <w:sz w:val="24"/>
          <w:szCs w:val="24"/>
        </w:rPr>
        <w:t>侧</w:t>
      </w:r>
      <w:r>
        <w:rPr>
          <w:rFonts w:hint="eastAsia" w:ascii="Times New Roman" w:hAnsi="Times New Roman" w:eastAsia="宋体" w:cs="Times New Roman"/>
          <w:sz w:val="24"/>
          <w:szCs w:val="24"/>
          <w:lang w:eastAsia="zh-CN"/>
        </w:rPr>
        <w:t>为</w:t>
      </w:r>
      <w:r>
        <w:rPr>
          <w:rFonts w:hint="default" w:ascii="Times New Roman" w:hAnsi="Times New Roman" w:cs="Times New Roman"/>
          <w:sz w:val="24"/>
          <w:szCs w:val="24"/>
        </w:rPr>
        <w:t>“</w:t>
      </w:r>
      <w:r>
        <w:rPr>
          <w:rFonts w:hint="eastAsia" w:ascii="Times New Roman" w:hAnsi="Times New Roman" w:eastAsia="宋体" w:cs="Times New Roman"/>
          <w:sz w:val="24"/>
          <w:szCs w:val="24"/>
          <w:lang w:val="en-US" w:eastAsia="zh-CN"/>
        </w:rPr>
        <w:t>河南省平顶山市迪可（集团）食品有限公司</w:t>
      </w:r>
      <w:r>
        <w:rPr>
          <w:rFonts w:hint="default" w:ascii="Times New Roman" w:hAnsi="Times New Roman" w:cs="Times New Roman"/>
          <w:sz w:val="24"/>
          <w:szCs w:val="24"/>
        </w:rPr>
        <w:t>”</w:t>
      </w:r>
      <w:r>
        <w:rPr>
          <w:rFonts w:hint="eastAsia" w:ascii="Times New Roman" w:hAnsi="Times New Roman" w:eastAsia="宋体" w:cs="Times New Roman"/>
          <w:sz w:val="24"/>
          <w:szCs w:val="24"/>
          <w:lang w:eastAsia="zh-CN"/>
        </w:rPr>
        <w:t>，该公司主要生产</w:t>
      </w:r>
      <w:r>
        <w:rPr>
          <w:rFonts w:hint="eastAsia" w:ascii="Times New Roman" w:hAnsi="Times New Roman" w:eastAsia="宋体" w:cs="Times New Roman"/>
          <w:sz w:val="24"/>
          <w:szCs w:val="24"/>
          <w:lang w:val="en-US" w:eastAsia="zh-CN"/>
        </w:rPr>
        <w:t>软包装牛羊肉制品（如真空包装的五香牛肉、牛肉肠等清真食品），生产运行过程中无废水产生，产生的餐饮油烟经处理后达标排放，产生的少量固体废物，均销售给肥料生产企业，实现综合利用，不外排</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根据环境空气质量现状调查结果，项目评价区域内大气环境中的NH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S因子均能满足评价标准要求。本项目建成后污水由自建污水处理站处理后经污水管网汇入</w:t>
      </w:r>
      <w:r>
        <w:rPr>
          <w:rFonts w:hint="eastAsia" w:ascii="Times New Roman" w:hAnsi="Times New Roman" w:eastAsia="宋体" w:cs="Times New Roman"/>
          <w:sz w:val="24"/>
          <w:szCs w:val="24"/>
          <w:lang w:eastAsia="zh-CN"/>
        </w:rPr>
        <w:t>叶县县城</w:t>
      </w:r>
      <w:r>
        <w:rPr>
          <w:rFonts w:hint="default" w:ascii="Times New Roman" w:hAnsi="Times New Roman" w:cs="Times New Roman"/>
          <w:sz w:val="24"/>
          <w:szCs w:val="24"/>
        </w:rPr>
        <w:t>污水处理厂</w:t>
      </w:r>
      <w:r>
        <w:rPr>
          <w:rFonts w:hint="eastAsia" w:ascii="Times New Roman" w:hAnsi="Times New Roman" w:eastAsia="宋体" w:cs="Times New Roman"/>
          <w:sz w:val="24"/>
          <w:szCs w:val="24"/>
          <w:lang w:eastAsia="zh-CN"/>
        </w:rPr>
        <w:t>进一步</w:t>
      </w:r>
      <w:r>
        <w:rPr>
          <w:rFonts w:hint="default" w:ascii="Times New Roman" w:hAnsi="Times New Roman" w:cs="Times New Roman"/>
          <w:sz w:val="24"/>
          <w:szCs w:val="24"/>
        </w:rPr>
        <w:t>处理。该污水处理厂主要收集</w:t>
      </w:r>
      <w:r>
        <w:rPr>
          <w:rFonts w:hint="eastAsia" w:ascii="Times New Roman" w:hAnsi="Times New Roman" w:eastAsia="宋体" w:cs="Times New Roman"/>
          <w:sz w:val="24"/>
          <w:szCs w:val="24"/>
          <w:lang w:eastAsia="zh-CN"/>
        </w:rPr>
        <w:t>叶县县城</w:t>
      </w:r>
      <w:r>
        <w:rPr>
          <w:rFonts w:hint="default" w:ascii="Times New Roman" w:hAnsi="Times New Roman" w:cs="Times New Roman"/>
          <w:sz w:val="24"/>
          <w:szCs w:val="24"/>
        </w:rPr>
        <w:t>生活污水及部分工业废水，</w:t>
      </w:r>
      <w:r>
        <w:rPr>
          <w:rFonts w:hint="default" w:ascii="Times New Roman" w:hAnsi="Times New Roman" w:cs="Times New Roman"/>
          <w:sz w:val="24"/>
          <w:szCs w:val="24"/>
          <w:highlight w:val="none"/>
        </w:rPr>
        <w:t>目前实际</w:t>
      </w:r>
      <w:r>
        <w:rPr>
          <w:rFonts w:hint="eastAsia" w:ascii="Times New Roman" w:hAnsi="Times New Roman" w:eastAsia="宋体" w:cs="Times New Roman"/>
          <w:sz w:val="24"/>
          <w:szCs w:val="24"/>
          <w:highlight w:val="none"/>
          <w:lang w:eastAsia="zh-CN"/>
        </w:rPr>
        <w:t>处理量为</w:t>
      </w:r>
      <w:r>
        <w:rPr>
          <w:rFonts w:hint="eastAsia" w:ascii="Times New Roman" w:hAnsi="Times New Roman" w:eastAsiaTheme="minorEastAsia"/>
          <w:sz w:val="24"/>
          <w:lang w:val="en-US" w:eastAsia="zh-CN"/>
        </w:rPr>
        <w:t>3</w:t>
      </w:r>
      <w:r>
        <w:rPr>
          <w:rFonts w:ascii="Times New Roman" w:hAnsi="Times New Roman" w:eastAsiaTheme="minorEastAsia"/>
          <w:sz w:val="24"/>
        </w:rPr>
        <w:t>万m</w:t>
      </w:r>
      <w:r>
        <w:rPr>
          <w:rFonts w:ascii="Times New Roman" w:hAnsi="Times New Roman" w:eastAsiaTheme="minorEastAsia"/>
          <w:sz w:val="24"/>
          <w:vertAlign w:val="superscript"/>
        </w:rPr>
        <w:t>3</w:t>
      </w:r>
      <w:r>
        <w:rPr>
          <w:rFonts w:ascii="Times New Roman" w:hAnsi="Times New Roman" w:eastAsiaTheme="minorEastAsia"/>
          <w:sz w:val="24"/>
        </w:rPr>
        <w:t>/d</w:t>
      </w:r>
      <w:r>
        <w:rPr>
          <w:rFonts w:hint="default" w:ascii="Times New Roman" w:hAnsi="Times New Roman" w:cs="Times New Roman"/>
          <w:sz w:val="24"/>
          <w:szCs w:val="24"/>
        </w:rPr>
        <w:t>，出水水质达到《城镇污水处理厂污染物综合排放标准》（GB18918-2002）一级A标准。</w:t>
      </w:r>
    </w:p>
    <w:p>
      <w:pPr>
        <w:pStyle w:val="4"/>
        <w:bidi w:val="0"/>
        <w:rPr>
          <w:rFonts w:ascii="黑体" w:hAnsi="黑体" w:eastAsia="黑体" w:cs="黑体"/>
          <w:sz w:val="32"/>
          <w:szCs w:val="32"/>
        </w:rPr>
      </w:pPr>
      <w:bookmarkStart w:id="324" w:name="_Toc10837"/>
      <w:bookmarkStart w:id="325" w:name="_Toc29219"/>
      <w:r>
        <w:rPr>
          <w:rFonts w:ascii="Times New Roman" w:hAnsi="Times New Roman" w:eastAsia="Times New Roman" w:cs="Times New Roman"/>
          <w:spacing w:val="-1"/>
          <w:sz w:val="32"/>
          <w:szCs w:val="32"/>
        </w:rPr>
        <w:t>4.3</w:t>
      </w:r>
      <w:r>
        <w:rPr>
          <w:rFonts w:ascii="黑体" w:hAnsi="黑体" w:eastAsia="黑体" w:cs="黑体"/>
          <w:spacing w:val="-1"/>
          <w:sz w:val="32"/>
          <w:szCs w:val="32"/>
        </w:rPr>
        <w:t>环境质量现状调查与评价</w:t>
      </w:r>
      <w:bookmarkEnd w:id="324"/>
      <w:bookmarkEnd w:id="325"/>
    </w:p>
    <w:p>
      <w:pPr>
        <w:spacing w:before="293" w:line="384" w:lineRule="auto"/>
        <w:ind w:left="123" w:right="113" w:firstLine="481"/>
        <w:jc w:val="both"/>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为了解本项目所在区域的环境质量现状，根据环评要求，结合本工程实际情况和周围环境概况，建设单位于</w:t>
      </w:r>
      <w:r>
        <w:rPr>
          <w:rFonts w:hint="default" w:ascii="Times New Roman" w:hAnsi="Times New Roman" w:eastAsia="Times New Roman" w:cs="Times New Roman"/>
          <w:spacing w:val="0"/>
          <w:sz w:val="24"/>
          <w:szCs w:val="24"/>
        </w:rPr>
        <w:t>202</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rPr>
        <w:t>年</w:t>
      </w:r>
      <w:r>
        <w:rPr>
          <w:rFonts w:hint="default" w:ascii="Times New Roman" w:hAnsi="Times New Roman" w:eastAsia="宋体" w:cs="Times New Roman"/>
          <w:spacing w:val="0"/>
          <w:sz w:val="24"/>
          <w:szCs w:val="24"/>
          <w:lang w:val="en-US" w:eastAsia="zh-CN"/>
        </w:rPr>
        <w:t>11</w:t>
      </w:r>
      <w:r>
        <w:rPr>
          <w:rFonts w:hint="default" w:ascii="Times New Roman" w:hAnsi="Times New Roman" w:eastAsia="宋体" w:cs="Times New Roman"/>
          <w:spacing w:val="0"/>
          <w:sz w:val="24"/>
          <w:szCs w:val="24"/>
        </w:rPr>
        <w:t>月委托河南</w:t>
      </w:r>
      <w:r>
        <w:rPr>
          <w:rFonts w:hint="default" w:ascii="Times New Roman" w:hAnsi="Times New Roman" w:eastAsia="宋体" w:cs="Times New Roman"/>
          <w:spacing w:val="0"/>
          <w:sz w:val="24"/>
          <w:szCs w:val="24"/>
          <w:lang w:eastAsia="zh-CN"/>
        </w:rPr>
        <w:t>永飞</w:t>
      </w:r>
      <w:r>
        <w:rPr>
          <w:rFonts w:hint="default" w:ascii="Times New Roman" w:hAnsi="Times New Roman" w:eastAsia="宋体" w:cs="Times New Roman"/>
          <w:spacing w:val="0"/>
          <w:sz w:val="24"/>
          <w:szCs w:val="24"/>
        </w:rPr>
        <w:t>检测</w:t>
      </w:r>
      <w:r>
        <w:rPr>
          <w:rFonts w:hint="default" w:ascii="Times New Roman" w:hAnsi="Times New Roman" w:eastAsia="宋体" w:cs="Times New Roman"/>
          <w:spacing w:val="0"/>
          <w:sz w:val="24"/>
          <w:szCs w:val="24"/>
          <w:lang w:eastAsia="zh-CN"/>
        </w:rPr>
        <w:t>科技</w:t>
      </w:r>
      <w:r>
        <w:rPr>
          <w:rFonts w:hint="default" w:ascii="Times New Roman" w:hAnsi="Times New Roman" w:eastAsia="宋体" w:cs="Times New Roman"/>
          <w:spacing w:val="0"/>
          <w:sz w:val="24"/>
          <w:szCs w:val="24"/>
        </w:rPr>
        <w:t>有限公司对项目区域及周边环境进行了环境质量现状监测，监测时段为</w:t>
      </w:r>
      <w:r>
        <w:rPr>
          <w:rFonts w:hint="default" w:ascii="Times New Roman" w:hAnsi="Times New Roman" w:eastAsia="Times New Roman" w:cs="Times New Roman"/>
          <w:spacing w:val="0"/>
          <w:sz w:val="24"/>
          <w:szCs w:val="24"/>
        </w:rPr>
        <w:t>202</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rPr>
        <w:t>年</w:t>
      </w:r>
      <w:r>
        <w:rPr>
          <w:rFonts w:hint="default" w:ascii="Times New Roman" w:hAnsi="Times New Roman" w:eastAsia="宋体" w:cs="Times New Roman"/>
          <w:spacing w:val="0"/>
          <w:sz w:val="24"/>
          <w:szCs w:val="24"/>
          <w:lang w:val="en-US" w:eastAsia="zh-CN"/>
        </w:rPr>
        <w:t>11</w:t>
      </w:r>
      <w:r>
        <w:rPr>
          <w:rFonts w:hint="default" w:ascii="Times New Roman" w:hAnsi="Times New Roman" w:eastAsia="宋体" w:cs="Times New Roman"/>
          <w:spacing w:val="0"/>
          <w:sz w:val="24"/>
          <w:szCs w:val="24"/>
        </w:rPr>
        <w:t>月</w:t>
      </w:r>
      <w:r>
        <w:rPr>
          <w:rFonts w:hint="eastAsia" w:ascii="Times New Roman" w:hAnsi="Times New Roman" w:eastAsia="宋体" w:cs="Times New Roman"/>
          <w:spacing w:val="0"/>
          <w:sz w:val="24"/>
          <w:szCs w:val="24"/>
          <w:highlight w:val="none"/>
          <w:lang w:val="en-US" w:eastAsia="zh-CN"/>
        </w:rPr>
        <w:t>16</w:t>
      </w:r>
      <w:r>
        <w:rPr>
          <w:rFonts w:hint="default" w:ascii="Times New Roman" w:hAnsi="Times New Roman" w:eastAsia="宋体" w:cs="Times New Roman"/>
          <w:spacing w:val="0"/>
          <w:sz w:val="24"/>
          <w:szCs w:val="24"/>
          <w:highlight w:val="none"/>
        </w:rPr>
        <w:t>日至</w:t>
      </w:r>
      <w:r>
        <w:rPr>
          <w:rFonts w:hint="eastAsia" w:ascii="Times New Roman" w:hAnsi="Times New Roman" w:eastAsia="宋体" w:cs="Times New Roman"/>
          <w:spacing w:val="0"/>
          <w:sz w:val="24"/>
          <w:szCs w:val="24"/>
          <w:highlight w:val="none"/>
          <w:lang w:val="en-US" w:eastAsia="zh-CN"/>
        </w:rPr>
        <w:t>22</w:t>
      </w:r>
      <w:r>
        <w:rPr>
          <w:rFonts w:hint="default" w:ascii="Times New Roman" w:hAnsi="Times New Roman" w:eastAsia="宋体" w:cs="Times New Roman"/>
          <w:spacing w:val="0"/>
          <w:sz w:val="24"/>
          <w:szCs w:val="24"/>
          <w:highlight w:val="none"/>
        </w:rPr>
        <w:t>日</w:t>
      </w:r>
      <w:r>
        <w:rPr>
          <w:rFonts w:hint="default" w:ascii="Times New Roman" w:hAnsi="Times New Roman" w:eastAsia="宋体" w:cs="Times New Roman"/>
          <w:spacing w:val="0"/>
          <w:sz w:val="24"/>
          <w:szCs w:val="24"/>
        </w:rPr>
        <w:t>。监测报告见附件</w:t>
      </w:r>
      <w:r>
        <w:rPr>
          <w:rFonts w:hint="default" w:ascii="Times New Roman" w:hAnsi="Times New Roman" w:eastAsia="Times New Roman" w:cs="Times New Roman"/>
          <w:spacing w:val="0"/>
          <w:sz w:val="24"/>
          <w:szCs w:val="24"/>
        </w:rPr>
        <w:t>8</w:t>
      </w:r>
      <w:r>
        <w:rPr>
          <w:rFonts w:hint="default" w:ascii="Times New Roman" w:hAnsi="Times New Roman" w:eastAsia="宋体" w:cs="Times New Roman"/>
          <w:spacing w:val="0"/>
          <w:sz w:val="24"/>
          <w:szCs w:val="24"/>
        </w:rPr>
        <w:t>，监测布点图见附图</w:t>
      </w:r>
      <w:r>
        <w:rPr>
          <w:rFonts w:hint="eastAsia" w:ascii="Times New Roman" w:hAnsi="Times New Roman" w:eastAsia="宋体" w:cs="Times New Roman"/>
          <w:spacing w:val="0"/>
          <w:sz w:val="24"/>
          <w:szCs w:val="24"/>
          <w:lang w:eastAsia="zh-CN"/>
        </w:rPr>
        <w:t>十一</w:t>
      </w:r>
      <w:r>
        <w:rPr>
          <w:rFonts w:hint="default" w:ascii="Times New Roman" w:hAnsi="Times New Roman" w:eastAsia="宋体" w:cs="Times New Roman"/>
          <w:spacing w:val="0"/>
          <w:sz w:val="24"/>
          <w:szCs w:val="24"/>
        </w:rPr>
        <w:t>。</w:t>
      </w:r>
    </w:p>
    <w:p>
      <w:pPr>
        <w:spacing w:before="91" w:line="224" w:lineRule="auto"/>
        <w:outlineLvl w:val="3"/>
        <w:rPr>
          <w:rFonts w:ascii="楷体" w:hAnsi="楷体" w:eastAsia="楷体" w:cs="楷体"/>
          <w:sz w:val="28"/>
          <w:szCs w:val="28"/>
        </w:rPr>
      </w:pPr>
      <w:bookmarkStart w:id="326" w:name="bookmark81"/>
      <w:bookmarkEnd w:id="326"/>
      <w:r>
        <w:rPr>
          <w:rFonts w:ascii="Times New Roman" w:hAnsi="Times New Roman" w:eastAsia="Times New Roman" w:cs="Times New Roman"/>
          <w:spacing w:val="-2"/>
          <w:sz w:val="28"/>
          <w:szCs w:val="28"/>
        </w:rPr>
        <w:t>4.3.1</w:t>
      </w:r>
      <w:r>
        <w:rPr>
          <w:rFonts w:ascii="楷体" w:hAnsi="楷体" w:eastAsia="楷体" w:cs="楷体"/>
          <w:spacing w:val="-2"/>
          <w:sz w:val="28"/>
          <w:szCs w:val="28"/>
        </w:rPr>
        <w:t>环境空气质量现状监测及评价</w:t>
      </w:r>
    </w:p>
    <w:p>
      <w:pPr>
        <w:keepNext w:val="0"/>
        <w:keepLines w:val="0"/>
        <w:pageBreakBefore w:val="0"/>
        <w:widowControl/>
        <w:kinsoku w:val="0"/>
        <w:wordWrap/>
        <w:overflowPunct/>
        <w:topLinePunct w:val="0"/>
        <w:autoSpaceDE w:val="0"/>
        <w:autoSpaceDN w:val="0"/>
        <w:bidi w:val="0"/>
        <w:adjustRightInd w:val="0"/>
        <w:snapToGrid w:val="0"/>
        <w:spacing w:before="229" w:line="360" w:lineRule="auto"/>
        <w:ind w:left="612"/>
        <w:textAlignment w:val="baseline"/>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（一）环境空气质量达标区判定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本次区域环境空气质量评价收集了叶县例行监测点2020-2021年连续一年逐日监测数据，以此来说明区域大气环境质量现状情况；区域环境空气质量现状评价结果详见表4-2。</w:t>
      </w:r>
    </w:p>
    <w:p>
      <w:pPr>
        <w:keepNext w:val="0"/>
        <w:keepLines w:val="0"/>
        <w:pageBreakBefore w:val="0"/>
        <w:widowControl w:val="0"/>
        <w:kinsoku/>
        <w:wordWrap/>
        <w:overflowPunct/>
        <w:topLinePunct w:val="0"/>
        <w:autoSpaceDE w:val="0"/>
        <w:autoSpaceDN w:val="0"/>
        <w:bidi w:val="0"/>
        <w:adjustRightInd/>
        <w:snapToGrid/>
        <w:spacing w:line="240" w:lineRule="auto"/>
        <w:ind w:firstLine="482" w:firstLineChars="200"/>
        <w:jc w:val="center"/>
        <w:textAlignment w:val="auto"/>
        <w:rPr>
          <w:rFonts w:hint="eastAsia" w:ascii="Times New Roman" w:hAnsi="Times New Roman" w:eastAsia="宋体" w:cs="宋体"/>
          <w:b/>
          <w:bCs/>
          <w:kern w:val="2"/>
          <w:sz w:val="24"/>
          <w:szCs w:val="24"/>
          <w:lang w:val="en-US" w:eastAsia="zh-CN" w:bidi="zh-CN"/>
        </w:rPr>
      </w:pPr>
      <w:r>
        <w:rPr>
          <w:rFonts w:hint="eastAsia" w:ascii="Times New Roman" w:hAnsi="Times New Roman" w:eastAsia="宋体" w:cs="宋体"/>
          <w:b/>
          <w:bCs/>
          <w:kern w:val="2"/>
          <w:sz w:val="24"/>
          <w:szCs w:val="24"/>
          <w:lang w:val="en-US" w:eastAsia="zh-CN" w:bidi="zh-CN"/>
        </w:rPr>
        <w:t xml:space="preserve">表4-2    </w:t>
      </w:r>
      <w:r>
        <w:rPr>
          <w:rFonts w:hint="eastAsia" w:ascii="Times New Roman" w:hAnsi="Times New Roman" w:eastAsia="宋体" w:cs="宋体"/>
          <w:b/>
          <w:bCs/>
          <w:kern w:val="2"/>
          <w:sz w:val="24"/>
          <w:szCs w:val="24"/>
          <w:highlight w:val="none"/>
          <w:lang w:val="en-US" w:eastAsia="zh-CN" w:bidi="zh-CN"/>
        </w:rPr>
        <w:t>叶县2020-2021年监测数据统计结果</w:t>
      </w:r>
    </w:p>
    <w:tbl>
      <w:tblPr>
        <w:tblStyle w:val="20"/>
        <w:tblW w:w="92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42"/>
        <w:gridCol w:w="1174"/>
        <w:gridCol w:w="1101"/>
        <w:gridCol w:w="762"/>
        <w:gridCol w:w="1523"/>
        <w:gridCol w:w="837"/>
        <w:gridCol w:w="837"/>
        <w:gridCol w:w="837"/>
        <w:gridCol w:w="837"/>
        <w:gridCol w:w="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年份</w:t>
            </w:r>
          </w:p>
        </w:tc>
        <w:tc>
          <w:tcPr>
            <w:tcW w:w="22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监测点坐标</w:t>
            </w:r>
          </w:p>
        </w:tc>
        <w:tc>
          <w:tcPr>
            <w:tcW w:w="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污染物</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评价指标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现状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浓度</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限值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单位</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占标率</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2020</w:t>
            </w:r>
          </w:p>
        </w:tc>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E113.373201</w:t>
            </w:r>
          </w:p>
        </w:tc>
        <w:tc>
          <w:tcPr>
            <w:tcW w:w="110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N33.624001</w:t>
            </w:r>
          </w:p>
        </w:tc>
        <w:tc>
          <w:tcPr>
            <w:tcW w:w="7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PM</w:t>
            </w:r>
            <w:r>
              <w:rPr>
                <w:rFonts w:hint="default" w:ascii="Times New Roman" w:hAnsi="Times New Roman" w:eastAsia="宋体" w:cs="Times New Roman"/>
                <w:snapToGrid/>
                <w:color w:val="auto"/>
                <w:kern w:val="2"/>
                <w:sz w:val="21"/>
                <w:szCs w:val="21"/>
                <w:vertAlign w:val="subscript"/>
                <w:lang w:eastAsia="zh-CN"/>
              </w:rPr>
              <w:t>2.5</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年均值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45</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35</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1.29</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95%保证率24小时平均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120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75</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1.60</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PM</w:t>
            </w:r>
            <w:r>
              <w:rPr>
                <w:rFonts w:hint="default" w:ascii="Times New Roman" w:hAnsi="Times New Roman" w:eastAsia="宋体" w:cs="Times New Roman"/>
                <w:snapToGrid/>
                <w:color w:val="auto"/>
                <w:kern w:val="2"/>
                <w:sz w:val="21"/>
                <w:szCs w:val="21"/>
                <w:vertAlign w:val="subscript"/>
                <w:lang w:eastAsia="zh-CN"/>
              </w:rPr>
              <w:t>10</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年均值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89</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70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1.27</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95%保证率24小时平均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174</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150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1.16</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SO</w:t>
            </w:r>
            <w:r>
              <w:rPr>
                <w:rFonts w:hint="default" w:ascii="Times New Roman" w:hAnsi="Times New Roman" w:eastAsia="宋体" w:cs="Times New Roman"/>
                <w:snapToGrid/>
                <w:color w:val="auto"/>
                <w:kern w:val="2"/>
                <w:sz w:val="21"/>
                <w:szCs w:val="21"/>
                <w:vertAlign w:val="subscript"/>
                <w:lang w:eastAsia="zh-CN"/>
              </w:rPr>
              <w:t>2</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年均值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60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0.17</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98%保证率24小时平均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21</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150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0.14</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NO</w:t>
            </w:r>
            <w:r>
              <w:rPr>
                <w:rFonts w:hint="default" w:ascii="Times New Roman" w:hAnsi="Times New Roman" w:eastAsia="宋体" w:cs="Times New Roman"/>
                <w:snapToGrid/>
                <w:color w:val="auto"/>
                <w:kern w:val="2"/>
                <w:sz w:val="21"/>
                <w:szCs w:val="21"/>
                <w:vertAlign w:val="subscript"/>
                <w:lang w:eastAsia="zh-CN"/>
              </w:rPr>
              <w:t>2</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年均值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27</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40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0.68</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98%保证率24小时平均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58</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80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0.73</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CO</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95%保证率24小时平均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4</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mg/m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0.33</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O</w:t>
            </w:r>
            <w:r>
              <w:rPr>
                <w:rFonts w:hint="default" w:ascii="Times New Roman" w:hAnsi="Times New Roman" w:eastAsia="宋体" w:cs="Times New Roman"/>
                <w:snapToGrid/>
                <w:color w:val="auto"/>
                <w:kern w:val="2"/>
                <w:sz w:val="21"/>
                <w:szCs w:val="21"/>
                <w:vertAlign w:val="subscript"/>
                <w:lang w:eastAsia="zh-CN"/>
              </w:rPr>
              <w:t>3</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90%保证率8小时平均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156</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160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0.98</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2021</w:t>
            </w: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PM</w:t>
            </w:r>
            <w:r>
              <w:rPr>
                <w:rFonts w:hint="default" w:ascii="Times New Roman" w:hAnsi="Times New Roman" w:eastAsia="宋体" w:cs="Times New Roman"/>
                <w:snapToGrid/>
                <w:color w:val="auto"/>
                <w:kern w:val="2"/>
                <w:sz w:val="21"/>
                <w:szCs w:val="21"/>
                <w:vertAlign w:val="subscript"/>
                <w:lang w:eastAsia="zh-CN"/>
              </w:rPr>
              <w:t>2.5</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年均值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40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35</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1.14</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95%保证率24小时平均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104</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75</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1.39</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PM</w:t>
            </w:r>
            <w:r>
              <w:rPr>
                <w:rFonts w:hint="default" w:ascii="Times New Roman" w:hAnsi="Times New Roman" w:eastAsia="宋体" w:cs="Times New Roman"/>
                <w:snapToGrid/>
                <w:color w:val="auto"/>
                <w:kern w:val="2"/>
                <w:sz w:val="21"/>
                <w:szCs w:val="21"/>
                <w:vertAlign w:val="subscript"/>
                <w:lang w:eastAsia="zh-CN"/>
              </w:rPr>
              <w:t>10</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年均值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88</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70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1.26</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95%保证率24小时平均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218</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150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1.45</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SO</w:t>
            </w:r>
            <w:r>
              <w:rPr>
                <w:rFonts w:hint="default" w:ascii="Times New Roman" w:hAnsi="Times New Roman" w:eastAsia="宋体" w:cs="Times New Roman"/>
                <w:snapToGrid/>
                <w:color w:val="auto"/>
                <w:kern w:val="2"/>
                <w:sz w:val="21"/>
                <w:szCs w:val="21"/>
                <w:vertAlign w:val="subscript"/>
                <w:lang w:eastAsia="zh-CN"/>
              </w:rPr>
              <w:t>2</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年均值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60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0.17</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98%保证率24小时平均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21</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150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0.14</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NO</w:t>
            </w:r>
            <w:r>
              <w:rPr>
                <w:rFonts w:hint="default" w:ascii="Times New Roman" w:hAnsi="Times New Roman" w:eastAsia="宋体" w:cs="Times New Roman"/>
                <w:snapToGrid/>
                <w:color w:val="auto"/>
                <w:kern w:val="2"/>
                <w:sz w:val="21"/>
                <w:szCs w:val="21"/>
                <w:vertAlign w:val="subscript"/>
                <w:lang w:eastAsia="zh-CN"/>
              </w:rPr>
              <w:t>2</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年均值</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25</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40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0.63</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98%保证率24小时平均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56</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80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0.70</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CO</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95%保证率24小时平均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1.2</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4</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mg/m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0.30</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11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p>
        </w:tc>
        <w:tc>
          <w:tcPr>
            <w:tcW w:w="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O</w:t>
            </w:r>
            <w:r>
              <w:rPr>
                <w:rFonts w:hint="default" w:ascii="Times New Roman" w:hAnsi="Times New Roman" w:eastAsia="宋体" w:cs="Times New Roman"/>
                <w:snapToGrid/>
                <w:color w:val="auto"/>
                <w:kern w:val="2"/>
                <w:sz w:val="21"/>
                <w:szCs w:val="21"/>
                <w:vertAlign w:val="subscript"/>
                <w:lang w:eastAsia="zh-CN"/>
              </w:rPr>
              <w:t>3</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90%保证率8小时平均</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152</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160</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μg/m</w:t>
            </w:r>
            <w:r>
              <w:rPr>
                <w:rFonts w:hint="default" w:ascii="Times New Roman" w:hAnsi="Times New Roman" w:eastAsia="宋体" w:cs="Times New Roman"/>
                <w:snapToGrid/>
                <w:color w:val="auto"/>
                <w:kern w:val="2"/>
                <w:sz w:val="21"/>
                <w:szCs w:val="21"/>
                <w:vertAlign w:val="superscript"/>
                <w:lang w:eastAsia="zh-CN"/>
              </w:rPr>
              <w:t>3</w:t>
            </w:r>
          </w:p>
        </w:tc>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0.95</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达标</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由上表监测数据可知，项目区域环境空气质量除PM</w:t>
      </w:r>
      <w:r>
        <w:rPr>
          <w:rFonts w:hint="default" w:ascii="Times New Roman" w:hAnsi="Times New Roman" w:eastAsia="宋体" w:cs="Times New Roman"/>
          <w:color w:val="000000"/>
          <w:kern w:val="2"/>
          <w:sz w:val="24"/>
          <w:szCs w:val="24"/>
          <w:vertAlign w:val="subscript"/>
          <w:lang w:val="en-US" w:eastAsia="zh-CN" w:bidi="ar-SA"/>
        </w:rPr>
        <w:t>10</w:t>
      </w:r>
      <w:r>
        <w:rPr>
          <w:rFonts w:hint="default" w:ascii="Times New Roman" w:hAnsi="Times New Roman" w:eastAsia="宋体" w:cs="Times New Roman"/>
          <w:color w:val="000000"/>
          <w:kern w:val="2"/>
          <w:sz w:val="24"/>
          <w:szCs w:val="24"/>
          <w:lang w:val="en-US" w:eastAsia="zh-CN" w:bidi="ar-SA"/>
        </w:rPr>
        <w:t>、PM</w:t>
      </w:r>
      <w:r>
        <w:rPr>
          <w:rFonts w:hint="default" w:ascii="Times New Roman" w:hAnsi="Times New Roman" w:eastAsia="宋体" w:cs="Times New Roman"/>
          <w:color w:val="000000"/>
          <w:kern w:val="2"/>
          <w:sz w:val="24"/>
          <w:szCs w:val="24"/>
          <w:vertAlign w:val="subscript"/>
          <w:lang w:val="en-US" w:eastAsia="zh-CN" w:bidi="ar-SA"/>
        </w:rPr>
        <w:t>2.5</w:t>
      </w:r>
      <w:r>
        <w:rPr>
          <w:rFonts w:hint="default" w:ascii="Times New Roman" w:hAnsi="Times New Roman" w:eastAsia="宋体" w:cs="Times New Roman"/>
          <w:color w:val="000000"/>
          <w:kern w:val="2"/>
          <w:sz w:val="24"/>
          <w:szCs w:val="24"/>
          <w:lang w:val="en-US" w:eastAsia="zh-CN" w:bidi="ar-SA"/>
        </w:rPr>
        <w:t>超标外，其余各监测因子均满足《环境空气质量标准》（GB3095-2012）二级标准限值及修改单。根据《环境影响评价技术导则 大气环境》（HJ2.2-2018），城市环境空气质量达标情况评价指标为SO</w:t>
      </w:r>
      <w:r>
        <w:rPr>
          <w:rFonts w:hint="default" w:ascii="Times New Roman" w:hAnsi="Times New Roman" w:eastAsia="宋体" w:cs="Times New Roman"/>
          <w:color w:val="000000"/>
          <w:kern w:val="2"/>
          <w:sz w:val="24"/>
          <w:szCs w:val="24"/>
          <w:vertAlign w:val="subscript"/>
          <w:lang w:val="en-US" w:eastAsia="zh-CN" w:bidi="ar-SA"/>
        </w:rPr>
        <w:t>2</w:t>
      </w:r>
      <w:r>
        <w:rPr>
          <w:rFonts w:hint="default" w:ascii="Times New Roman" w:hAnsi="Times New Roman" w:eastAsia="宋体" w:cs="Times New Roman"/>
          <w:color w:val="000000"/>
          <w:kern w:val="2"/>
          <w:sz w:val="24"/>
          <w:szCs w:val="24"/>
          <w:lang w:val="en-US" w:eastAsia="zh-CN" w:bidi="ar-SA"/>
        </w:rPr>
        <w:t>、NO</w:t>
      </w:r>
      <w:r>
        <w:rPr>
          <w:rFonts w:hint="default" w:ascii="Times New Roman" w:hAnsi="Times New Roman" w:eastAsia="宋体" w:cs="Times New Roman"/>
          <w:color w:val="000000"/>
          <w:kern w:val="2"/>
          <w:sz w:val="24"/>
          <w:szCs w:val="24"/>
          <w:vertAlign w:val="subscript"/>
          <w:lang w:val="en-US" w:eastAsia="zh-CN" w:bidi="ar-SA"/>
        </w:rPr>
        <w:t>2</w:t>
      </w:r>
      <w:r>
        <w:rPr>
          <w:rFonts w:hint="default" w:ascii="Times New Roman" w:hAnsi="Times New Roman" w:eastAsia="宋体" w:cs="Times New Roman"/>
          <w:color w:val="000000"/>
          <w:kern w:val="2"/>
          <w:sz w:val="24"/>
          <w:szCs w:val="24"/>
          <w:lang w:val="en-US" w:eastAsia="zh-CN" w:bidi="ar-SA"/>
        </w:rPr>
        <w:t>、PM</w:t>
      </w:r>
      <w:r>
        <w:rPr>
          <w:rFonts w:hint="default" w:ascii="Times New Roman" w:hAnsi="Times New Roman" w:eastAsia="宋体" w:cs="Times New Roman"/>
          <w:color w:val="000000"/>
          <w:kern w:val="2"/>
          <w:sz w:val="24"/>
          <w:szCs w:val="24"/>
          <w:vertAlign w:val="subscript"/>
          <w:lang w:val="en-US" w:eastAsia="zh-CN" w:bidi="ar-SA"/>
        </w:rPr>
        <w:t>10</w:t>
      </w:r>
      <w:r>
        <w:rPr>
          <w:rFonts w:hint="default" w:ascii="Times New Roman" w:hAnsi="Times New Roman" w:eastAsia="宋体" w:cs="Times New Roman"/>
          <w:color w:val="000000"/>
          <w:kern w:val="2"/>
          <w:sz w:val="24"/>
          <w:szCs w:val="24"/>
          <w:lang w:val="en-US" w:eastAsia="zh-CN" w:bidi="ar-SA"/>
        </w:rPr>
        <w:t>、PM</w:t>
      </w:r>
      <w:r>
        <w:rPr>
          <w:rFonts w:hint="default" w:ascii="Times New Roman" w:hAnsi="Times New Roman" w:eastAsia="宋体" w:cs="Times New Roman"/>
          <w:color w:val="000000"/>
          <w:kern w:val="2"/>
          <w:sz w:val="24"/>
          <w:szCs w:val="24"/>
          <w:vertAlign w:val="subscript"/>
          <w:lang w:val="en-US" w:eastAsia="zh-CN" w:bidi="ar-SA"/>
        </w:rPr>
        <w:t>2.5</w:t>
      </w:r>
      <w:r>
        <w:rPr>
          <w:rFonts w:hint="default" w:ascii="Times New Roman" w:hAnsi="Times New Roman" w:eastAsia="宋体" w:cs="Times New Roman"/>
          <w:color w:val="000000"/>
          <w:kern w:val="2"/>
          <w:sz w:val="24"/>
          <w:szCs w:val="24"/>
          <w:lang w:val="en-US" w:eastAsia="zh-CN" w:bidi="ar-SA"/>
        </w:rPr>
        <w:t>、CO和O</w:t>
      </w:r>
      <w:r>
        <w:rPr>
          <w:rFonts w:hint="default" w:ascii="Times New Roman" w:hAnsi="Times New Roman" w:eastAsia="宋体" w:cs="Times New Roman"/>
          <w:color w:val="000000"/>
          <w:kern w:val="2"/>
          <w:sz w:val="24"/>
          <w:szCs w:val="24"/>
          <w:vertAlign w:val="subscript"/>
          <w:lang w:val="en-US" w:eastAsia="zh-CN" w:bidi="ar-SA"/>
        </w:rPr>
        <w:t>3</w:t>
      </w:r>
      <w:r>
        <w:rPr>
          <w:rFonts w:hint="default" w:ascii="Times New Roman" w:hAnsi="Times New Roman" w:eastAsia="宋体" w:cs="Times New Roman"/>
          <w:color w:val="000000"/>
          <w:kern w:val="2"/>
          <w:sz w:val="24"/>
          <w:szCs w:val="24"/>
          <w:lang w:val="en-US" w:eastAsia="zh-CN" w:bidi="ar-SA"/>
        </w:rPr>
        <w:t>，六项污染物全部达标即为城市环境空气质量达标。由于叶县区域PM</w:t>
      </w:r>
      <w:r>
        <w:rPr>
          <w:rFonts w:hint="default" w:ascii="Times New Roman" w:hAnsi="Times New Roman" w:eastAsia="宋体" w:cs="Times New Roman"/>
          <w:color w:val="000000"/>
          <w:kern w:val="2"/>
          <w:sz w:val="24"/>
          <w:szCs w:val="24"/>
          <w:vertAlign w:val="subscript"/>
          <w:lang w:val="en-US" w:eastAsia="zh-CN" w:bidi="ar-SA"/>
        </w:rPr>
        <w:t>10</w:t>
      </w:r>
      <w:r>
        <w:rPr>
          <w:rFonts w:hint="default" w:ascii="Times New Roman" w:hAnsi="Times New Roman" w:eastAsia="宋体" w:cs="Times New Roman"/>
          <w:color w:val="000000"/>
          <w:kern w:val="2"/>
          <w:sz w:val="24"/>
          <w:szCs w:val="24"/>
          <w:lang w:val="en-US" w:eastAsia="zh-CN" w:bidi="ar-SA"/>
        </w:rPr>
        <w:t>、PM</w:t>
      </w:r>
      <w:r>
        <w:rPr>
          <w:rFonts w:hint="default" w:ascii="Times New Roman" w:hAnsi="Times New Roman" w:eastAsia="宋体" w:cs="Times New Roman"/>
          <w:color w:val="000000"/>
          <w:kern w:val="2"/>
          <w:sz w:val="24"/>
          <w:szCs w:val="24"/>
          <w:vertAlign w:val="subscript"/>
          <w:lang w:val="en-US" w:eastAsia="zh-CN" w:bidi="ar-SA"/>
        </w:rPr>
        <w:t>2.5</w:t>
      </w:r>
      <w:r>
        <w:rPr>
          <w:rFonts w:hint="default" w:ascii="Times New Roman" w:hAnsi="Times New Roman" w:eastAsia="宋体" w:cs="Times New Roman"/>
          <w:color w:val="000000"/>
          <w:kern w:val="2"/>
          <w:sz w:val="24"/>
          <w:szCs w:val="24"/>
          <w:lang w:val="en-US" w:eastAsia="zh-CN" w:bidi="ar-SA"/>
        </w:rPr>
        <w:t>超标，由此可知，本项目所在地属于不达标区域。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snapToGrid/>
          <w:color w:val="000000"/>
          <w:kern w:val="2"/>
          <w:sz w:val="24"/>
          <w:szCs w:val="24"/>
          <w:u w:val="single"/>
          <w:lang w:eastAsia="zh-CN"/>
        </w:rPr>
      </w:pPr>
      <w:r>
        <w:rPr>
          <w:rFonts w:hint="default" w:ascii="Times New Roman" w:hAnsi="Times New Roman" w:eastAsia="宋体" w:cs="Times New Roman"/>
          <w:snapToGrid/>
          <w:color w:val="000000"/>
          <w:kern w:val="2"/>
          <w:sz w:val="24"/>
          <w:szCs w:val="24"/>
          <w:lang w:eastAsia="zh-CN"/>
        </w:rPr>
        <w:t>为贯彻落实省委、省政府和市委、市政府关于深入打好污染防治攻坚战的决策部署，持续改善全市环境空气质量，深入推进202</w:t>
      </w:r>
      <w:r>
        <w:rPr>
          <w:rFonts w:hint="eastAsia" w:ascii="Times New Roman" w:hAnsi="Times New Roman" w:eastAsia="宋体" w:cs="Times New Roman"/>
          <w:snapToGrid/>
          <w:color w:val="000000"/>
          <w:kern w:val="2"/>
          <w:sz w:val="24"/>
          <w:szCs w:val="24"/>
          <w:lang w:val="en-US" w:eastAsia="zh-CN"/>
        </w:rPr>
        <w:t>3</w:t>
      </w:r>
      <w:r>
        <w:rPr>
          <w:rFonts w:hint="default" w:ascii="Times New Roman" w:hAnsi="Times New Roman" w:eastAsia="宋体" w:cs="Times New Roman"/>
          <w:snapToGrid/>
          <w:color w:val="000000"/>
          <w:kern w:val="2"/>
          <w:sz w:val="24"/>
          <w:szCs w:val="24"/>
          <w:lang w:eastAsia="zh-CN"/>
        </w:rPr>
        <w:t>年全市大气污染防治攻坚工作，平顶山市生态环境保护委员会办公室印发了《平顶山市202</w:t>
      </w:r>
      <w:r>
        <w:rPr>
          <w:rFonts w:hint="default" w:ascii="Times New Roman" w:hAnsi="Times New Roman" w:eastAsia="宋体" w:cs="Times New Roman"/>
          <w:snapToGrid/>
          <w:color w:val="000000"/>
          <w:kern w:val="2"/>
          <w:sz w:val="24"/>
          <w:szCs w:val="24"/>
          <w:lang w:val="en-US" w:eastAsia="zh-CN"/>
        </w:rPr>
        <w:t>3</w:t>
      </w:r>
      <w:r>
        <w:rPr>
          <w:rFonts w:hint="default" w:ascii="Times New Roman" w:hAnsi="Times New Roman" w:eastAsia="宋体" w:cs="Times New Roman"/>
          <w:snapToGrid/>
          <w:color w:val="000000"/>
          <w:kern w:val="2"/>
          <w:sz w:val="24"/>
          <w:szCs w:val="24"/>
          <w:lang w:eastAsia="zh-CN"/>
        </w:rPr>
        <w:t>年</w:t>
      </w:r>
      <w:r>
        <w:rPr>
          <w:rFonts w:hint="default" w:ascii="Times New Roman" w:hAnsi="Times New Roman" w:eastAsia="宋体" w:cs="Times New Roman"/>
          <w:snapToGrid/>
          <w:color w:val="000000"/>
          <w:kern w:val="2"/>
          <w:sz w:val="24"/>
          <w:szCs w:val="24"/>
          <w:lang w:val="en-US" w:eastAsia="zh-CN"/>
        </w:rPr>
        <w:t>蓝天保卫战实施方案</w:t>
      </w:r>
      <w:r>
        <w:rPr>
          <w:rFonts w:hint="default" w:ascii="Times New Roman" w:hAnsi="Times New Roman" w:eastAsia="宋体" w:cs="Times New Roman"/>
          <w:snapToGrid/>
          <w:color w:val="000000"/>
          <w:kern w:val="2"/>
          <w:sz w:val="24"/>
          <w:szCs w:val="24"/>
          <w:lang w:eastAsia="zh-CN"/>
        </w:rPr>
        <w:t>》。通过</w:t>
      </w:r>
      <w:r>
        <w:rPr>
          <w:rFonts w:hint="eastAsia" w:ascii="Times New Roman" w:hAnsi="Times New Roman" w:eastAsia="宋体" w:cs="Times New Roman"/>
          <w:snapToGrid/>
          <w:color w:val="000000"/>
          <w:kern w:val="2"/>
          <w:sz w:val="24"/>
          <w:szCs w:val="24"/>
          <w:lang w:eastAsia="zh-CN"/>
        </w:rPr>
        <w:t>落实该</w:t>
      </w:r>
      <w:r>
        <w:rPr>
          <w:rFonts w:hint="default" w:ascii="Times New Roman" w:hAnsi="Times New Roman" w:eastAsia="宋体" w:cs="Times New Roman"/>
          <w:snapToGrid/>
          <w:color w:val="000000"/>
          <w:kern w:val="2"/>
          <w:sz w:val="24"/>
          <w:szCs w:val="24"/>
          <w:lang w:eastAsia="zh-CN"/>
        </w:rPr>
        <w:t>实施方案，区域环境空气质量将得到有效改善。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（二）项目所在区域其他污染物环境质量现状</w:t>
      </w:r>
    </w:p>
    <w:p>
      <w:pPr>
        <w:keepNext w:val="0"/>
        <w:keepLines w:val="0"/>
        <w:pageBreakBefore w:val="0"/>
        <w:widowControl w:val="0"/>
        <w:kinsoku w:val="0"/>
        <w:wordWrap/>
        <w:overflowPunct/>
        <w:topLinePunct w:val="0"/>
        <w:autoSpaceDE w:val="0"/>
        <w:autoSpaceDN w:val="0"/>
        <w:bidi w:val="0"/>
        <w:adjustRightInd w:val="0"/>
        <w:snapToGrid w:val="0"/>
        <w:spacing w:before="94" w:line="384" w:lineRule="auto"/>
        <w:ind w:left="125" w:right="113" w:firstLine="482"/>
        <w:textAlignment w:val="baseline"/>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项目所在区域其他污染物环境质量现状情况委托河南</w:t>
      </w:r>
      <w:r>
        <w:rPr>
          <w:rFonts w:hint="default" w:ascii="Times New Roman" w:hAnsi="Times New Roman" w:eastAsia="宋体" w:cs="Times New Roman"/>
          <w:spacing w:val="0"/>
          <w:sz w:val="24"/>
          <w:szCs w:val="24"/>
          <w:lang w:eastAsia="zh-CN"/>
        </w:rPr>
        <w:t>永飞</w:t>
      </w:r>
      <w:r>
        <w:rPr>
          <w:rFonts w:hint="default" w:ascii="Times New Roman" w:hAnsi="Times New Roman" w:eastAsia="宋体" w:cs="Times New Roman"/>
          <w:spacing w:val="0"/>
          <w:sz w:val="24"/>
          <w:szCs w:val="24"/>
        </w:rPr>
        <w:t>检测</w:t>
      </w:r>
      <w:r>
        <w:rPr>
          <w:rFonts w:hint="default" w:ascii="Times New Roman" w:hAnsi="Times New Roman" w:eastAsia="宋体" w:cs="Times New Roman"/>
          <w:spacing w:val="0"/>
          <w:sz w:val="24"/>
          <w:szCs w:val="24"/>
          <w:lang w:eastAsia="zh-CN"/>
        </w:rPr>
        <w:t>科技</w:t>
      </w:r>
      <w:r>
        <w:rPr>
          <w:rFonts w:hint="default" w:ascii="Times New Roman" w:hAnsi="Times New Roman" w:eastAsia="宋体" w:cs="Times New Roman"/>
          <w:spacing w:val="0"/>
          <w:sz w:val="24"/>
          <w:szCs w:val="24"/>
        </w:rPr>
        <w:t>有限公司，于</w:t>
      </w:r>
      <w:r>
        <w:rPr>
          <w:rFonts w:hint="default" w:ascii="Times New Roman" w:hAnsi="Times New Roman" w:eastAsia="Times New Roman" w:cs="Times New Roman"/>
          <w:spacing w:val="0"/>
          <w:sz w:val="24"/>
          <w:szCs w:val="24"/>
        </w:rPr>
        <w:t>202</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rPr>
        <w:t>年</w:t>
      </w:r>
      <w:r>
        <w:rPr>
          <w:rFonts w:hint="default" w:ascii="Times New Roman" w:hAnsi="Times New Roman" w:eastAsia="宋体" w:cs="Times New Roman"/>
          <w:spacing w:val="0"/>
          <w:sz w:val="24"/>
          <w:szCs w:val="24"/>
          <w:lang w:val="en-US" w:eastAsia="zh-CN"/>
        </w:rPr>
        <w:t>11</w:t>
      </w:r>
      <w:r>
        <w:rPr>
          <w:rFonts w:hint="default" w:ascii="Times New Roman" w:hAnsi="Times New Roman" w:eastAsia="宋体" w:cs="Times New Roman"/>
          <w:spacing w:val="0"/>
          <w:sz w:val="24"/>
          <w:szCs w:val="24"/>
        </w:rPr>
        <w:t>月</w:t>
      </w:r>
      <w:r>
        <w:rPr>
          <w:rFonts w:hint="eastAsia" w:ascii="Times New Roman" w:hAnsi="Times New Roman" w:eastAsia="宋体" w:cs="Times New Roman"/>
          <w:spacing w:val="0"/>
          <w:sz w:val="24"/>
          <w:szCs w:val="24"/>
          <w:highlight w:val="none"/>
          <w:lang w:val="en-US" w:eastAsia="zh-CN"/>
        </w:rPr>
        <w:t>16</w:t>
      </w:r>
      <w:r>
        <w:rPr>
          <w:rFonts w:hint="default" w:ascii="Times New Roman" w:hAnsi="Times New Roman" w:eastAsia="宋体" w:cs="Times New Roman"/>
          <w:spacing w:val="0"/>
          <w:sz w:val="24"/>
          <w:szCs w:val="24"/>
          <w:highlight w:val="none"/>
        </w:rPr>
        <w:t>日至</w:t>
      </w:r>
      <w:r>
        <w:rPr>
          <w:rFonts w:hint="eastAsia" w:ascii="Times New Roman" w:hAnsi="Times New Roman" w:eastAsia="宋体" w:cs="Times New Roman"/>
          <w:spacing w:val="0"/>
          <w:sz w:val="24"/>
          <w:szCs w:val="24"/>
          <w:highlight w:val="none"/>
          <w:lang w:val="en-US" w:eastAsia="zh-CN"/>
        </w:rPr>
        <w:t>22</w:t>
      </w:r>
      <w:r>
        <w:rPr>
          <w:rFonts w:hint="default" w:ascii="Times New Roman" w:hAnsi="Times New Roman" w:eastAsia="宋体" w:cs="Times New Roman"/>
          <w:spacing w:val="0"/>
          <w:sz w:val="24"/>
          <w:szCs w:val="24"/>
          <w:highlight w:val="none"/>
        </w:rPr>
        <w:t>日</w:t>
      </w:r>
      <w:r>
        <w:rPr>
          <w:rFonts w:hint="default" w:ascii="Times New Roman" w:hAnsi="Times New Roman" w:eastAsia="宋体" w:cs="Times New Roman"/>
          <w:spacing w:val="0"/>
          <w:sz w:val="24"/>
          <w:szCs w:val="24"/>
        </w:rPr>
        <w:t>对项目厂址及下风向</w:t>
      </w:r>
      <w:r>
        <w:rPr>
          <w:rFonts w:hint="default" w:ascii="Times New Roman" w:hAnsi="Times New Roman" w:eastAsia="宋体" w:cs="Times New Roman"/>
          <w:spacing w:val="0"/>
          <w:sz w:val="24"/>
          <w:szCs w:val="24"/>
          <w:lang w:val="en-US" w:eastAsia="zh-CN"/>
        </w:rPr>
        <w:t>460</w:t>
      </w:r>
      <w:r>
        <w:rPr>
          <w:rFonts w:hint="default" w:ascii="Times New Roman" w:hAnsi="Times New Roman" w:eastAsia="Times New Roman" w:cs="Times New Roman"/>
          <w:spacing w:val="0"/>
          <w:sz w:val="24"/>
          <w:szCs w:val="24"/>
        </w:rPr>
        <w:t>m</w:t>
      </w:r>
      <w:r>
        <w:rPr>
          <w:rFonts w:hint="eastAsia" w:ascii="Times New Roman" w:hAnsi="Times New Roman" w:eastAsia="宋体" w:cs="Times New Roman"/>
          <w:spacing w:val="0"/>
          <w:sz w:val="24"/>
          <w:szCs w:val="24"/>
          <w:lang w:eastAsia="zh-CN"/>
        </w:rPr>
        <w:t>李庄村</w:t>
      </w:r>
      <w:r>
        <w:rPr>
          <w:rFonts w:hint="default" w:ascii="Times New Roman" w:hAnsi="Times New Roman" w:eastAsia="宋体" w:cs="Times New Roman"/>
          <w:spacing w:val="0"/>
          <w:sz w:val="24"/>
          <w:szCs w:val="24"/>
        </w:rPr>
        <w:t>进行现状监测，满足《环境影响评价技术导则 大气环境》（</w:t>
      </w:r>
      <w:r>
        <w:rPr>
          <w:rFonts w:hint="default" w:ascii="Times New Roman" w:hAnsi="Times New Roman" w:eastAsia="Times New Roman" w:cs="Times New Roman"/>
          <w:spacing w:val="0"/>
          <w:sz w:val="24"/>
          <w:szCs w:val="24"/>
        </w:rPr>
        <w:t>HJ2.2-2018</w:t>
      </w:r>
      <w:r>
        <w:rPr>
          <w:rFonts w:hint="default" w:ascii="Times New Roman" w:hAnsi="Times New Roman" w:eastAsia="宋体" w:cs="Times New Roman"/>
          <w:spacing w:val="0"/>
          <w:sz w:val="24"/>
          <w:szCs w:val="24"/>
        </w:rPr>
        <w:t>）要求。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）监测点位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ascii="宋体" w:hAnsi="宋体" w:eastAsia="宋体" w:cs="宋体"/>
          <w:sz w:val="24"/>
          <w:szCs w:val="24"/>
        </w:rPr>
      </w:pPr>
      <w:r>
        <w:rPr>
          <w:rFonts w:ascii="宋体" w:hAnsi="宋体" w:eastAsia="宋体" w:cs="宋体"/>
          <w:spacing w:val="-2"/>
          <w:sz w:val="24"/>
          <w:szCs w:val="24"/>
        </w:rPr>
        <w:t>监测点位为项目厂址及下风向</w:t>
      </w:r>
      <w:r>
        <w:rPr>
          <w:rFonts w:hint="default" w:ascii="Times New Roman" w:hAnsi="Times New Roman" w:eastAsia="宋体" w:cs="Times New Roman"/>
          <w:spacing w:val="0"/>
          <w:sz w:val="24"/>
          <w:szCs w:val="24"/>
          <w:lang w:val="en-US" w:eastAsia="zh-CN"/>
        </w:rPr>
        <w:t>460</w:t>
      </w:r>
      <w:r>
        <w:rPr>
          <w:rFonts w:hint="default" w:ascii="Times New Roman" w:hAnsi="Times New Roman" w:eastAsia="Times New Roman" w:cs="Times New Roman"/>
          <w:spacing w:val="0"/>
          <w:sz w:val="24"/>
          <w:szCs w:val="24"/>
        </w:rPr>
        <w:t>m</w:t>
      </w:r>
      <w:r>
        <w:rPr>
          <w:rFonts w:hint="eastAsia" w:ascii="Times New Roman" w:hAnsi="Times New Roman" w:eastAsia="宋体" w:cs="Times New Roman"/>
          <w:spacing w:val="0"/>
          <w:sz w:val="24"/>
          <w:szCs w:val="24"/>
          <w:lang w:eastAsia="zh-CN"/>
        </w:rPr>
        <w:t>李庄村</w:t>
      </w:r>
      <w:r>
        <w:rPr>
          <w:rFonts w:ascii="宋体" w:hAnsi="宋体" w:eastAsia="宋体" w:cs="宋体"/>
          <w:spacing w:val="-2"/>
          <w:sz w:val="24"/>
          <w:szCs w:val="24"/>
        </w:rPr>
        <w:t>，具体</w:t>
      </w:r>
      <w:r>
        <w:rPr>
          <w:rFonts w:ascii="宋体" w:hAnsi="宋体" w:eastAsia="宋体" w:cs="宋体"/>
          <w:spacing w:val="-3"/>
          <w:sz w:val="24"/>
          <w:szCs w:val="24"/>
        </w:rPr>
        <w:t>见表</w:t>
      </w:r>
      <w:r>
        <w:rPr>
          <w:rFonts w:ascii="Times New Roman" w:hAnsi="Times New Roman" w:eastAsia="Times New Roman" w:cs="Times New Roman"/>
          <w:spacing w:val="-3"/>
          <w:sz w:val="24"/>
          <w:szCs w:val="24"/>
        </w:rPr>
        <w:t>4-3</w:t>
      </w:r>
      <w:r>
        <w:rPr>
          <w:rFonts w:ascii="宋体" w:hAnsi="宋体" w:eastAsia="宋体" w:cs="宋体"/>
          <w:spacing w:val="-3"/>
          <w:sz w:val="24"/>
          <w:szCs w:val="24"/>
        </w:rPr>
        <w:t>、附图</w:t>
      </w:r>
      <w:r>
        <w:rPr>
          <w:rFonts w:hint="eastAsia" w:ascii="Times New Roman" w:hAnsi="Times New Roman" w:eastAsia="宋体" w:cs="Times New Roman"/>
          <w:spacing w:val="-3"/>
          <w:sz w:val="24"/>
          <w:szCs w:val="24"/>
          <w:lang w:eastAsia="zh-CN"/>
        </w:rPr>
        <w:t>十一</w:t>
      </w:r>
      <w:r>
        <w:rPr>
          <w:rFonts w:ascii="宋体" w:hAnsi="宋体" w:eastAsia="宋体" w:cs="宋体"/>
          <w:spacing w:val="-3"/>
          <w:sz w:val="24"/>
          <w:szCs w:val="24"/>
        </w:rPr>
        <w:t>。</w:t>
      </w:r>
    </w:p>
    <w:p>
      <w:pPr>
        <w:bidi w:val="0"/>
        <w:jc w:val="center"/>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 xml:space="preserve">4-3          </w:t>
      </w:r>
      <w:r>
        <w:rPr>
          <w:rFonts w:ascii="宋体" w:hAnsi="宋体" w:eastAsia="宋体" w:cs="宋体"/>
          <w:sz w:val="24"/>
          <w:szCs w:val="24"/>
          <w14:textOutline w14:w="4358" w14:cap="sq" w14:cmpd="sng">
            <w14:solidFill>
              <w14:srgbClr w14:val="000000"/>
            </w14:solidFill>
            <w14:prstDash w14:val="solid"/>
            <w14:bevel/>
          </w14:textOutline>
        </w:rPr>
        <w:t>环境空气质</w:t>
      </w:r>
      <w:r>
        <w:rPr>
          <w:rFonts w:ascii="宋体" w:hAnsi="宋体" w:eastAsia="宋体" w:cs="宋体"/>
          <w:spacing w:val="-1"/>
          <w:sz w:val="24"/>
          <w:szCs w:val="24"/>
          <w14:textOutline w14:w="4358" w14:cap="sq" w14:cmpd="sng">
            <w14:solidFill>
              <w14:srgbClr w14:val="000000"/>
            </w14:solidFill>
            <w14:prstDash w14:val="solid"/>
            <w14:bevel/>
          </w14:textOutline>
        </w:rPr>
        <w:t>量现状监测布点</w:t>
      </w:r>
    </w:p>
    <w:tbl>
      <w:tblPr>
        <w:tblStyle w:val="24"/>
        <w:tblW w:w="8950"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1107"/>
        <w:gridCol w:w="2497"/>
        <w:gridCol w:w="452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lang w:eastAsia="zh-CN"/>
              </w:rPr>
            </w:pPr>
            <w:r>
              <w:rPr>
                <w:rFonts w:hint="eastAsia"/>
                <w:spacing w:val="-1"/>
                <w:lang w:eastAsia="zh-CN"/>
              </w:rPr>
              <w:t>编号</w:t>
            </w:r>
          </w:p>
        </w:tc>
        <w:tc>
          <w:tcPr>
            <w:tcW w:w="110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6"/>
              </w:rPr>
              <w:t>监测点</w:t>
            </w:r>
          </w:p>
        </w:tc>
        <w:tc>
          <w:tcPr>
            <w:tcW w:w="249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7"/>
              </w:rPr>
              <w:t>与本项目方位</w:t>
            </w:r>
            <w:r>
              <w:rPr>
                <w:rFonts w:ascii="Times New Roman" w:hAnsi="Times New Roman" w:eastAsia="Times New Roman" w:cs="Times New Roman"/>
                <w:spacing w:val="7"/>
              </w:rPr>
              <w:t>/</w:t>
            </w:r>
            <w:r>
              <w:rPr>
                <w:spacing w:val="7"/>
              </w:rPr>
              <w:t>距离（</w:t>
            </w:r>
            <w:r>
              <w:rPr>
                <w:rFonts w:ascii="Times New Roman" w:hAnsi="Times New Roman" w:eastAsia="Times New Roman" w:cs="Times New Roman"/>
                <w:spacing w:val="7"/>
              </w:rPr>
              <w:t>m</w:t>
            </w:r>
            <w:r>
              <w:rPr>
                <w:spacing w:val="7"/>
              </w:rPr>
              <w:t>）</w:t>
            </w:r>
          </w:p>
        </w:tc>
        <w:tc>
          <w:tcPr>
            <w:tcW w:w="45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7"/>
                <w:highlight w:val="none"/>
              </w:rPr>
              <w:t>地理坐标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0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6"/>
              </w:rPr>
              <w:t>项目厂址</w:t>
            </w:r>
          </w:p>
        </w:tc>
        <w:tc>
          <w:tcPr>
            <w:tcW w:w="249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rPr>
            </w:pPr>
            <w:r>
              <w:rPr>
                <w:rFonts w:hint="default" w:ascii="Times New Roman" w:hAnsi="Times New Roman" w:eastAsia="Times New Roman" w:cs="Times New Roman"/>
                <w:lang w:val="en-US" w:eastAsia="zh-CN"/>
              </w:rPr>
              <w:t>E：113</w:t>
            </w:r>
            <w:r>
              <w:rPr>
                <w:rFonts w:hint="default" w:ascii="Times New Roman" w:hAnsi="Times New Roman" w:eastAsia="宋体" w:cs="Times New Roman"/>
                <w:lang w:eastAsia="zh-CN"/>
              </w:rPr>
              <w:t>°</w:t>
            </w:r>
            <w:r>
              <w:rPr>
                <w:rFonts w:hint="default" w:ascii="Times New Roman" w:hAnsi="Times New Roman" w:eastAsia="Times New Roman" w:cs="Times New Roman"/>
                <w:lang w:val="en-US" w:eastAsia="zh-CN"/>
              </w:rPr>
              <w:t>20</w:t>
            </w:r>
            <w:r>
              <w:rPr>
                <w:rFonts w:hint="default" w:ascii="Times New Roman" w:hAnsi="Times New Roman" w:eastAsia="宋体" w:cs="Times New Roman"/>
                <w:lang w:eastAsia="zh-CN"/>
              </w:rPr>
              <w:t>′</w:t>
            </w:r>
            <w:r>
              <w:rPr>
                <w:rFonts w:hint="default" w:ascii="Times New Roman" w:hAnsi="Times New Roman" w:eastAsia="Times New Roman" w:cs="Times New Roman"/>
                <w:lang w:val="en-US" w:eastAsia="zh-CN"/>
              </w:rPr>
              <w:t>50.33</w:t>
            </w:r>
            <w:r>
              <w:rPr>
                <w:rFonts w:hint="default" w:ascii="Times New Roman" w:hAnsi="Times New Roman" w:eastAsia="宋体" w:cs="Times New Roman"/>
                <w:lang w:eastAsia="zh-CN"/>
              </w:rPr>
              <w:t>″</w:t>
            </w:r>
            <w:r>
              <w:rPr>
                <w:rFonts w:hint="default" w:ascii="Times New Roman" w:hAnsi="Times New Roman" w:eastAsia="Times New Roman" w:cs="Times New Roman"/>
              </w:rPr>
              <w:t>，</w:t>
            </w:r>
            <w:r>
              <w:rPr>
                <w:rFonts w:hint="default" w:ascii="Times New Roman" w:hAnsi="Times New Roman" w:eastAsia="宋体" w:cs="Times New Roman"/>
                <w:lang w:val="en-US" w:eastAsia="zh-CN"/>
              </w:rPr>
              <w:t>N：</w:t>
            </w:r>
            <w:r>
              <w:rPr>
                <w:rFonts w:hint="default" w:ascii="Times New Roman" w:hAnsi="Times New Roman" w:eastAsia="Times New Roman" w:cs="Times New Roman"/>
                <w:lang w:val="en-US" w:eastAsia="zh-CN"/>
              </w:rPr>
              <w:t>33</w:t>
            </w:r>
            <w:r>
              <w:rPr>
                <w:rFonts w:hint="default" w:ascii="Times New Roman" w:hAnsi="Times New Roman" w:eastAsia="宋体" w:cs="Times New Roman"/>
                <w:lang w:eastAsia="zh-CN"/>
              </w:rPr>
              <w:t>°</w:t>
            </w:r>
            <w:r>
              <w:rPr>
                <w:rFonts w:hint="default" w:ascii="Times New Roman" w:hAnsi="Times New Roman" w:eastAsia="Times New Roman" w:cs="Times New Roman"/>
                <w:lang w:val="en-US" w:eastAsia="zh-CN"/>
              </w:rPr>
              <w:t>35</w:t>
            </w:r>
            <w:r>
              <w:rPr>
                <w:rFonts w:hint="default" w:ascii="Times New Roman" w:hAnsi="Times New Roman" w:eastAsia="宋体" w:cs="Times New Roman"/>
                <w:lang w:eastAsia="zh-CN"/>
              </w:rPr>
              <w:t>′</w:t>
            </w:r>
            <w:r>
              <w:rPr>
                <w:rFonts w:hint="default" w:ascii="Times New Roman" w:hAnsi="Times New Roman" w:eastAsia="Times New Roman" w:cs="Times New Roman"/>
                <w:lang w:val="en-US" w:eastAsia="zh-CN"/>
              </w:rPr>
              <w:t>41.34</w:t>
            </w:r>
            <w:r>
              <w:rPr>
                <w:rFonts w:hint="default" w:ascii="Times New Roman" w:hAnsi="Times New Roman" w:eastAsia="宋体" w:cs="Times New Roman"/>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82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0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rFonts w:hint="eastAsia"/>
                <w:spacing w:val="6"/>
                <w:lang w:eastAsia="zh-CN"/>
              </w:rPr>
              <w:t>李庄村</w:t>
            </w:r>
          </w:p>
        </w:tc>
        <w:tc>
          <w:tcPr>
            <w:tcW w:w="249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rPr>
            </w:pPr>
            <w:r>
              <w:rPr>
                <w:spacing w:val="4"/>
              </w:rPr>
              <w:t>西南侧</w:t>
            </w:r>
            <w:r>
              <w:rPr>
                <w:rFonts w:hint="eastAsia" w:ascii="Times New Roman" w:hAnsi="Times New Roman" w:eastAsia="宋体" w:cs="Times New Roman"/>
                <w:spacing w:val="4"/>
                <w:lang w:val="en-US" w:eastAsia="zh-CN"/>
              </w:rPr>
              <w:t>46</w:t>
            </w:r>
            <w:r>
              <w:rPr>
                <w:rFonts w:ascii="Times New Roman" w:hAnsi="Times New Roman" w:eastAsia="Times New Roman" w:cs="Times New Roman"/>
                <w:spacing w:val="4"/>
              </w:rPr>
              <w:t>0m</w:t>
            </w:r>
          </w:p>
        </w:tc>
        <w:tc>
          <w:tcPr>
            <w:tcW w:w="45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lang w:eastAsia="zh-CN"/>
              </w:rPr>
            </w:pPr>
            <w:r>
              <w:rPr>
                <w:rFonts w:hint="default" w:ascii="Times New Roman" w:hAnsi="Times New Roman" w:eastAsia="Times New Roman" w:cs="Times New Roman"/>
                <w:lang w:val="en-US" w:eastAsia="zh-CN"/>
              </w:rPr>
              <w:t>E：</w:t>
            </w:r>
            <w:r>
              <w:rPr>
                <w:rFonts w:hint="default" w:ascii="Times New Roman" w:hAnsi="Times New Roman" w:eastAsia="宋体" w:cs="Times New Roman"/>
                <w:lang w:eastAsia="zh-CN"/>
              </w:rPr>
              <w:t>113°20′39.54″，</w:t>
            </w:r>
            <w:r>
              <w:rPr>
                <w:rFonts w:hint="default" w:ascii="Times New Roman" w:hAnsi="Times New Roman" w:eastAsia="宋体" w:cs="Times New Roman"/>
                <w:lang w:val="en-US" w:eastAsia="zh-CN"/>
              </w:rPr>
              <w:t>N：</w:t>
            </w:r>
            <w:r>
              <w:rPr>
                <w:rFonts w:hint="default" w:ascii="Times New Roman" w:hAnsi="Times New Roman" w:eastAsia="宋体" w:cs="Times New Roman"/>
                <w:lang w:eastAsia="zh-CN"/>
              </w:rPr>
              <w:t>33°35′23.33″</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firstLine="468" w:firstLineChars="200"/>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）监测项目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Times New Roman"/>
          <w:sz w:val="24"/>
          <w:szCs w:val="24"/>
        </w:rPr>
        <w:t>根据当地环境状况及工程特点，本次环境空气质量现状监测选取</w:t>
      </w:r>
      <w:r>
        <w:rPr>
          <w:rFonts w:hint="eastAsia" w:ascii="Times New Roman" w:eastAsia="宋体"/>
          <w:sz w:val="24"/>
          <w:szCs w:val="24"/>
          <w:lang w:eastAsia="zh-CN"/>
        </w:rPr>
        <w:t>的其他污染物（</w:t>
      </w:r>
      <w:r>
        <w:rPr>
          <w:rFonts w:ascii="Times New Roman"/>
          <w:sz w:val="24"/>
          <w:szCs w:val="24"/>
        </w:rPr>
        <w:t>特征因子</w:t>
      </w:r>
      <w:r>
        <w:rPr>
          <w:rFonts w:hint="eastAsia" w:ascii="Times New Roman" w:eastAsia="宋体"/>
          <w:sz w:val="24"/>
          <w:szCs w:val="24"/>
          <w:lang w:eastAsia="zh-CN"/>
        </w:rPr>
        <w:t>）</w:t>
      </w:r>
      <w:r>
        <w:rPr>
          <w:rFonts w:hint="eastAsia" w:ascii="Times New Roman"/>
          <w:sz w:val="24"/>
          <w:szCs w:val="24"/>
          <w:lang w:eastAsia="zh-CN"/>
        </w:rPr>
        <w:t>为氨（</w:t>
      </w:r>
      <w:r>
        <w:rPr>
          <w:rFonts w:hint="eastAsia" w:ascii="Times New Roman"/>
          <w:sz w:val="24"/>
          <w:szCs w:val="24"/>
          <w:lang w:val="en-US" w:eastAsia="zh-CN"/>
        </w:rPr>
        <w:t>NH</w:t>
      </w:r>
      <w:r>
        <w:rPr>
          <w:rFonts w:hint="eastAsia" w:ascii="Times New Roman"/>
          <w:sz w:val="24"/>
          <w:szCs w:val="24"/>
          <w:vertAlign w:val="subscript"/>
          <w:lang w:val="en-US" w:eastAsia="zh-CN"/>
        </w:rPr>
        <w:t>3</w:t>
      </w:r>
      <w:r>
        <w:rPr>
          <w:rFonts w:hint="eastAsia" w:ascii="Times New Roman"/>
          <w:sz w:val="24"/>
          <w:szCs w:val="24"/>
          <w:lang w:eastAsia="zh-CN"/>
        </w:rPr>
        <w:t>）</w:t>
      </w:r>
      <w:r>
        <w:rPr>
          <w:rFonts w:hint="eastAsia" w:ascii="Times New Roman"/>
          <w:sz w:val="24"/>
          <w:szCs w:val="24"/>
        </w:rPr>
        <w:t>、</w:t>
      </w:r>
      <w:r>
        <w:rPr>
          <w:rFonts w:hint="eastAsia" w:ascii="Times New Roman"/>
          <w:sz w:val="24"/>
          <w:szCs w:val="24"/>
          <w:lang w:eastAsia="zh-CN"/>
        </w:rPr>
        <w:t>硫化氢（</w:t>
      </w:r>
      <w:r>
        <w:rPr>
          <w:rFonts w:hint="eastAsia" w:ascii="Times New Roman"/>
          <w:sz w:val="24"/>
          <w:szCs w:val="24"/>
          <w:lang w:val="en-US" w:eastAsia="zh-CN"/>
        </w:rPr>
        <w:t>H</w:t>
      </w:r>
      <w:r>
        <w:rPr>
          <w:rFonts w:hint="eastAsia" w:ascii="Times New Roman"/>
          <w:sz w:val="24"/>
          <w:szCs w:val="24"/>
          <w:vertAlign w:val="subscript"/>
          <w:lang w:val="en-US" w:eastAsia="zh-CN"/>
        </w:rPr>
        <w:t>2</w:t>
      </w:r>
      <w:r>
        <w:rPr>
          <w:rFonts w:hint="eastAsia" w:ascii="Times New Roman"/>
          <w:sz w:val="24"/>
          <w:szCs w:val="24"/>
          <w:lang w:val="en-US" w:eastAsia="zh-CN"/>
        </w:rPr>
        <w:t>S</w:t>
      </w:r>
      <w:r>
        <w:rPr>
          <w:rFonts w:hint="eastAsia" w:ascii="Times New Roman"/>
          <w:sz w:val="24"/>
          <w:szCs w:val="24"/>
          <w:lang w:eastAsia="zh-CN"/>
        </w:rPr>
        <w:t>）</w:t>
      </w:r>
      <w:r>
        <w:rPr>
          <w:rFonts w:hint="eastAsia" w:ascii="Times New Roman"/>
          <w:sz w:val="24"/>
          <w:szCs w:val="24"/>
        </w:rPr>
        <w:t>、</w:t>
      </w:r>
      <w:r>
        <w:rPr>
          <w:rFonts w:hint="eastAsia" w:ascii="Times New Roman"/>
          <w:sz w:val="24"/>
          <w:szCs w:val="24"/>
          <w:lang w:eastAsia="zh-CN"/>
        </w:rPr>
        <w:t>臭气浓度</w:t>
      </w:r>
      <w:r>
        <w:rPr>
          <w:rFonts w:ascii="Times New Roman"/>
          <w:sz w:val="24"/>
          <w:szCs w:val="24"/>
        </w:rPr>
        <w:t>，</w:t>
      </w:r>
      <w:r>
        <w:rPr>
          <w:rFonts w:hint="eastAsia" w:ascii="Times New Roman"/>
          <w:sz w:val="24"/>
          <w:szCs w:val="24"/>
          <w:lang w:eastAsia="zh-CN"/>
        </w:rPr>
        <w:t>共</w:t>
      </w:r>
      <w:r>
        <w:rPr>
          <w:rFonts w:hint="eastAsia" w:ascii="Times New Roman"/>
          <w:sz w:val="24"/>
          <w:szCs w:val="24"/>
          <w:lang w:val="en-US" w:eastAsia="zh-CN"/>
        </w:rPr>
        <w:t>3</w:t>
      </w:r>
      <w:r>
        <w:rPr>
          <w:rFonts w:ascii="Times New Roman"/>
          <w:sz w:val="24"/>
          <w:szCs w:val="24"/>
        </w:rPr>
        <w:t>项</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）监测时间及频次</w:t>
      </w:r>
    </w:p>
    <w:p>
      <w:pPr>
        <w:keepNext w:val="0"/>
        <w:keepLines w:val="0"/>
        <w:pageBreakBefore w:val="0"/>
        <w:widowControl/>
        <w:kinsoku w:val="0"/>
        <w:wordWrap/>
        <w:overflowPunct/>
        <w:topLinePunct w:val="0"/>
        <w:autoSpaceDE w:val="0"/>
        <w:autoSpaceDN w:val="0"/>
        <w:bidi w:val="0"/>
        <w:adjustRightInd w:val="0"/>
        <w:snapToGrid w:val="0"/>
        <w:spacing w:before="94" w:line="360" w:lineRule="auto"/>
        <w:ind w:left="601"/>
        <w:textAlignment w:val="baseline"/>
        <w:rPr>
          <w:rFonts w:ascii="宋体" w:hAnsi="宋体" w:eastAsia="宋体" w:cs="宋体"/>
          <w:sz w:val="24"/>
          <w:szCs w:val="24"/>
        </w:rPr>
      </w:pPr>
      <w:r>
        <w:rPr>
          <w:rFonts w:hint="default" w:ascii="Times New Roman" w:hAnsi="Times New Roman" w:eastAsia="宋体" w:cs="Times New Roman"/>
          <w:spacing w:val="0"/>
          <w:sz w:val="24"/>
          <w:szCs w:val="24"/>
        </w:rPr>
        <w:t>监测时间：</w:t>
      </w:r>
      <w:r>
        <w:rPr>
          <w:rFonts w:hint="default" w:ascii="Times New Roman" w:hAnsi="Times New Roman" w:eastAsia="Times New Roman" w:cs="Times New Roman"/>
          <w:spacing w:val="0"/>
          <w:sz w:val="24"/>
          <w:szCs w:val="24"/>
        </w:rPr>
        <w:t>202</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rPr>
        <w:t>年</w:t>
      </w:r>
      <w:r>
        <w:rPr>
          <w:rFonts w:hint="default" w:ascii="Times New Roman" w:hAnsi="Times New Roman" w:eastAsia="宋体" w:cs="Times New Roman"/>
          <w:spacing w:val="0"/>
          <w:sz w:val="24"/>
          <w:szCs w:val="24"/>
          <w:lang w:val="en-US" w:eastAsia="zh-CN"/>
        </w:rPr>
        <w:t>11</w:t>
      </w:r>
      <w:r>
        <w:rPr>
          <w:rFonts w:hint="default" w:ascii="Times New Roman" w:hAnsi="Times New Roman" w:eastAsia="宋体" w:cs="Times New Roman"/>
          <w:spacing w:val="0"/>
          <w:sz w:val="24"/>
          <w:szCs w:val="24"/>
        </w:rPr>
        <w:t>月</w:t>
      </w:r>
      <w:r>
        <w:rPr>
          <w:rFonts w:hint="eastAsia" w:ascii="Times New Roman" w:hAnsi="Times New Roman" w:eastAsia="宋体" w:cs="Times New Roman"/>
          <w:spacing w:val="0"/>
          <w:sz w:val="24"/>
          <w:szCs w:val="24"/>
          <w:lang w:val="en-US" w:eastAsia="zh-CN"/>
        </w:rPr>
        <w:t>16</w:t>
      </w:r>
      <w:r>
        <w:rPr>
          <w:rFonts w:hint="default" w:ascii="Times New Roman" w:hAnsi="Times New Roman" w:eastAsia="宋体" w:cs="Times New Roman"/>
          <w:spacing w:val="0"/>
          <w:sz w:val="24"/>
          <w:szCs w:val="24"/>
        </w:rPr>
        <w:t>日</w:t>
      </w:r>
      <w:r>
        <w:rPr>
          <w:rFonts w:hint="default" w:ascii="Times New Roman" w:hAnsi="Times New Roman" w:eastAsia="Times New Roman" w:cs="Times New Roman"/>
          <w:spacing w:val="0"/>
          <w:sz w:val="24"/>
          <w:szCs w:val="24"/>
        </w:rPr>
        <w:t>~202</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rPr>
        <w:t>年</w:t>
      </w:r>
      <w:r>
        <w:rPr>
          <w:rFonts w:hint="default" w:ascii="Times New Roman" w:hAnsi="Times New Roman" w:eastAsia="宋体" w:cs="Times New Roman"/>
          <w:spacing w:val="0"/>
          <w:sz w:val="24"/>
          <w:szCs w:val="24"/>
          <w:lang w:val="en-US" w:eastAsia="zh-CN"/>
        </w:rPr>
        <w:t>11</w:t>
      </w:r>
      <w:r>
        <w:rPr>
          <w:rFonts w:hint="default" w:ascii="Times New Roman" w:hAnsi="Times New Roman" w:eastAsia="宋体" w:cs="Times New Roman"/>
          <w:spacing w:val="0"/>
          <w:sz w:val="24"/>
          <w:szCs w:val="24"/>
        </w:rPr>
        <w:t>月</w:t>
      </w:r>
      <w:r>
        <w:rPr>
          <w:rFonts w:hint="eastAsia" w:ascii="Times New Roman" w:hAnsi="Times New Roman" w:eastAsia="宋体" w:cs="Times New Roman"/>
          <w:spacing w:val="0"/>
          <w:sz w:val="24"/>
          <w:szCs w:val="24"/>
          <w:lang w:val="en-US" w:eastAsia="zh-CN"/>
        </w:rPr>
        <w:t>22</w:t>
      </w:r>
      <w:r>
        <w:rPr>
          <w:rFonts w:hint="default" w:ascii="Times New Roman" w:hAnsi="Times New Roman" w:eastAsia="宋体" w:cs="Times New Roman"/>
          <w:spacing w:val="0"/>
          <w:sz w:val="24"/>
          <w:szCs w:val="24"/>
        </w:rPr>
        <w:t>日，连续监测</w:t>
      </w:r>
      <w:r>
        <w:rPr>
          <w:rFonts w:hint="default" w:ascii="Times New Roman" w:hAnsi="Times New Roman" w:eastAsia="Times New Roman" w:cs="Times New Roman"/>
          <w:spacing w:val="0"/>
          <w:sz w:val="24"/>
          <w:szCs w:val="24"/>
        </w:rPr>
        <w:t>7</w:t>
      </w:r>
      <w:r>
        <w:rPr>
          <w:rFonts w:hint="default" w:ascii="Times New Roman" w:hAnsi="Times New Roman" w:eastAsia="宋体" w:cs="Times New Roman"/>
          <w:spacing w:val="0"/>
          <w:sz w:val="24"/>
          <w:szCs w:val="24"/>
        </w:rPr>
        <w:t>天；监测频次见表</w:t>
      </w:r>
      <w:r>
        <w:rPr>
          <w:rFonts w:ascii="Times New Roman" w:hAnsi="Times New Roman" w:eastAsia="Times New Roman" w:cs="Times New Roman"/>
          <w:spacing w:val="-2"/>
          <w:sz w:val="24"/>
          <w:szCs w:val="24"/>
        </w:rPr>
        <w:t>4-4</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381"/>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 xml:space="preserve">4-4              </w:t>
      </w:r>
      <w:r>
        <w:rPr>
          <w:rFonts w:ascii="宋体" w:hAnsi="宋体" w:eastAsia="宋体" w:cs="宋体"/>
          <w:sz w:val="24"/>
          <w:szCs w:val="24"/>
          <w14:textOutline w14:w="4358" w14:cap="sq" w14:cmpd="sng">
            <w14:solidFill>
              <w14:srgbClr w14:val="000000"/>
            </w14:solidFill>
            <w14:prstDash w14:val="solid"/>
            <w14:bevel/>
          </w14:textOutline>
        </w:rPr>
        <w:t>项目监测频</w:t>
      </w:r>
      <w:r>
        <w:rPr>
          <w:rFonts w:ascii="宋体" w:hAnsi="宋体" w:eastAsia="宋体" w:cs="宋体"/>
          <w:spacing w:val="-1"/>
          <w:sz w:val="24"/>
          <w:szCs w:val="24"/>
          <w14:textOutline w14:w="4358" w14:cap="sq" w14:cmpd="sng">
            <w14:solidFill>
              <w14:srgbClr w14:val="000000"/>
            </w14:solidFill>
            <w14:prstDash w14:val="solid"/>
            <w14:bevel/>
          </w14:textOutline>
        </w:rPr>
        <w:t>次、内容及要求</w:t>
      </w:r>
    </w:p>
    <w:tbl>
      <w:tblPr>
        <w:tblStyle w:val="24"/>
        <w:tblW w:w="9213"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82"/>
        <w:gridCol w:w="2031"/>
        <w:gridCol w:w="2635"/>
        <w:gridCol w:w="336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1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5"/>
                <w:sz w:val="21"/>
                <w:szCs w:val="21"/>
              </w:rPr>
              <w:t>序号</w:t>
            </w:r>
          </w:p>
        </w:tc>
        <w:tc>
          <w:tcPr>
            <w:tcW w:w="203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监测因子</w:t>
            </w:r>
          </w:p>
        </w:tc>
        <w:tc>
          <w:tcPr>
            <w:tcW w:w="263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监测内容</w:t>
            </w:r>
          </w:p>
        </w:tc>
        <w:tc>
          <w:tcPr>
            <w:tcW w:w="33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相关要求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18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3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NH</w:t>
            </w:r>
            <w:r>
              <w:rPr>
                <w:rFonts w:ascii="Times New Roman" w:hAnsi="Times New Roman" w:eastAsia="Times New Roman" w:cs="Times New Roman"/>
                <w:spacing w:val="6"/>
                <w:position w:val="-1"/>
                <w:sz w:val="21"/>
                <w:szCs w:val="21"/>
                <w:vertAlign w:val="subscript"/>
              </w:rPr>
              <w:t>3</w:t>
            </w:r>
          </w:p>
        </w:tc>
        <w:tc>
          <w:tcPr>
            <w:tcW w:w="263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rFonts w:ascii="Times New Roman" w:hAnsi="Times New Roman" w:eastAsia="Times New Roman" w:cs="Times New Roman"/>
                <w:spacing w:val="3"/>
                <w:sz w:val="21"/>
                <w:szCs w:val="21"/>
              </w:rPr>
              <w:t>1</w:t>
            </w:r>
            <w:r>
              <w:rPr>
                <w:spacing w:val="3"/>
                <w:sz w:val="21"/>
                <w:szCs w:val="21"/>
              </w:rPr>
              <w:t>小时平均浓度</w:t>
            </w:r>
          </w:p>
        </w:tc>
        <w:tc>
          <w:tcPr>
            <w:tcW w:w="33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3"/>
                <w:sz w:val="21"/>
                <w:szCs w:val="21"/>
              </w:rPr>
              <w:t>连续采样</w:t>
            </w:r>
            <w:r>
              <w:rPr>
                <w:rFonts w:ascii="Times New Roman" w:hAnsi="Times New Roman" w:eastAsia="Times New Roman" w:cs="Times New Roman"/>
                <w:spacing w:val="-3"/>
                <w:sz w:val="21"/>
                <w:szCs w:val="21"/>
              </w:rPr>
              <w:t>7d</w:t>
            </w:r>
            <w:r>
              <w:rPr>
                <w:spacing w:val="-3"/>
                <w:sz w:val="21"/>
                <w:szCs w:val="21"/>
              </w:rPr>
              <w:t>，每天采集</w:t>
            </w:r>
            <w:r>
              <w:rPr>
                <w:rFonts w:ascii="Times New Roman" w:hAnsi="Times New Roman" w:eastAsia="Times New Roman" w:cs="Times New Roman"/>
                <w:spacing w:val="-3"/>
                <w:sz w:val="21"/>
                <w:szCs w:val="21"/>
              </w:rPr>
              <w:t>2</w:t>
            </w:r>
            <w:r>
              <w:rPr>
                <w:spacing w:val="-3"/>
                <w:sz w:val="21"/>
                <w:szCs w:val="21"/>
              </w:rPr>
              <w:t>、</w:t>
            </w:r>
            <w:r>
              <w:rPr>
                <w:rFonts w:ascii="Times New Roman" w:hAnsi="Times New Roman" w:eastAsia="Times New Roman" w:cs="Times New Roman"/>
                <w:spacing w:val="-3"/>
                <w:sz w:val="21"/>
                <w:szCs w:val="21"/>
              </w:rPr>
              <w:t>8</w:t>
            </w:r>
            <w:r>
              <w:rPr>
                <w:spacing w:val="-3"/>
                <w:sz w:val="21"/>
                <w:szCs w:val="21"/>
              </w:rPr>
              <w:t>、</w:t>
            </w:r>
            <w:r>
              <w:rPr>
                <w:rFonts w:ascii="Times New Roman" w:hAnsi="Times New Roman" w:eastAsia="Times New Roman" w:cs="Times New Roman"/>
                <w:spacing w:val="-3"/>
                <w:sz w:val="21"/>
                <w:szCs w:val="21"/>
              </w:rPr>
              <w:t>14</w:t>
            </w:r>
            <w:r>
              <w:rPr>
                <w:spacing w:val="-3"/>
                <w:sz w:val="21"/>
                <w:szCs w:val="21"/>
              </w:rPr>
              <w:t>、</w:t>
            </w:r>
            <w:r>
              <w:rPr>
                <w:rFonts w:ascii="Times New Roman" w:hAnsi="Times New Roman" w:eastAsia="Times New Roman" w:cs="Times New Roman"/>
                <w:spacing w:val="6"/>
                <w:sz w:val="21"/>
                <w:szCs w:val="21"/>
              </w:rPr>
              <w:t>20</w:t>
            </w:r>
            <w:r>
              <w:rPr>
                <w:spacing w:val="6"/>
                <w:sz w:val="21"/>
                <w:szCs w:val="21"/>
              </w:rPr>
              <w:t>时四个小时浓度</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18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3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H</w:t>
            </w:r>
            <w:r>
              <w:rPr>
                <w:rFonts w:ascii="Times New Roman" w:hAnsi="Times New Roman" w:eastAsia="Times New Roman" w:cs="Times New Roman"/>
                <w:spacing w:val="3"/>
                <w:position w:val="-1"/>
                <w:sz w:val="21"/>
                <w:szCs w:val="21"/>
                <w:vertAlign w:val="subscript"/>
              </w:rPr>
              <w:t>2</w:t>
            </w:r>
            <w:r>
              <w:rPr>
                <w:rFonts w:ascii="Times New Roman" w:hAnsi="Times New Roman" w:eastAsia="Times New Roman" w:cs="Times New Roman"/>
                <w:spacing w:val="3"/>
                <w:sz w:val="21"/>
                <w:szCs w:val="21"/>
              </w:rPr>
              <w:t>S</w:t>
            </w:r>
          </w:p>
        </w:tc>
        <w:tc>
          <w:tcPr>
            <w:tcW w:w="263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rFonts w:ascii="Times New Roman" w:hAnsi="Times New Roman" w:eastAsia="Times New Roman" w:cs="Times New Roman"/>
                <w:spacing w:val="3"/>
                <w:sz w:val="21"/>
                <w:szCs w:val="21"/>
              </w:rPr>
              <w:t>1</w:t>
            </w:r>
            <w:r>
              <w:rPr>
                <w:spacing w:val="3"/>
                <w:sz w:val="21"/>
                <w:szCs w:val="21"/>
              </w:rPr>
              <w:t>小时平均浓度</w:t>
            </w:r>
          </w:p>
        </w:tc>
        <w:tc>
          <w:tcPr>
            <w:tcW w:w="33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18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3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臭气浓度</w:t>
            </w:r>
          </w:p>
        </w:tc>
        <w:tc>
          <w:tcPr>
            <w:tcW w:w="263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rFonts w:ascii="Times New Roman" w:hAnsi="Times New Roman" w:eastAsia="Times New Roman" w:cs="Times New Roman"/>
                <w:spacing w:val="3"/>
                <w:sz w:val="21"/>
                <w:szCs w:val="21"/>
              </w:rPr>
              <w:t>1</w:t>
            </w:r>
            <w:r>
              <w:rPr>
                <w:spacing w:val="3"/>
                <w:sz w:val="21"/>
                <w:szCs w:val="21"/>
              </w:rPr>
              <w:t>小时平均浓度</w:t>
            </w:r>
          </w:p>
        </w:tc>
        <w:tc>
          <w:tcPr>
            <w:tcW w:w="33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szCs w:val="21"/>
              </w:rPr>
            </w:pPr>
          </w:p>
        </w:tc>
      </w:tr>
    </w:tbl>
    <w:p>
      <w:pPr>
        <w:spacing w:before="129" w:line="221" w:lineRule="auto"/>
        <w:ind w:left="6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）监测方法</w:t>
      </w:r>
    </w:p>
    <w:p>
      <w:pPr>
        <w:spacing w:before="213" w:line="219" w:lineRule="auto"/>
        <w:ind w:left="675"/>
        <w:rPr>
          <w:rFonts w:ascii="宋体" w:hAnsi="宋体" w:eastAsia="宋体" w:cs="宋体"/>
          <w:sz w:val="24"/>
          <w:szCs w:val="24"/>
        </w:rPr>
      </w:pPr>
      <w:r>
        <w:rPr>
          <w:rFonts w:ascii="宋体" w:hAnsi="宋体" w:eastAsia="宋体" w:cs="宋体"/>
          <w:spacing w:val="-1"/>
          <w:sz w:val="24"/>
          <w:szCs w:val="24"/>
        </w:rPr>
        <w:t>环境空气质量监测按</w:t>
      </w:r>
      <w:r>
        <w:rPr>
          <w:rFonts w:ascii="Times New Roman" w:hAnsi="Times New Roman" w:eastAsia="Times New Roman" w:cs="Times New Roman"/>
          <w:spacing w:val="-1"/>
          <w:sz w:val="24"/>
          <w:szCs w:val="24"/>
        </w:rPr>
        <w:t>GB3095-2012</w:t>
      </w:r>
      <w:r>
        <w:rPr>
          <w:rFonts w:ascii="宋体" w:hAnsi="宋体" w:eastAsia="宋体" w:cs="宋体"/>
          <w:spacing w:val="-1"/>
          <w:sz w:val="24"/>
          <w:szCs w:val="24"/>
        </w:rPr>
        <w:t>中</w:t>
      </w:r>
      <w:r>
        <w:rPr>
          <w:rFonts w:ascii="宋体" w:hAnsi="宋体" w:eastAsia="宋体" w:cs="宋体"/>
          <w:spacing w:val="-2"/>
          <w:sz w:val="24"/>
          <w:szCs w:val="24"/>
        </w:rPr>
        <w:t>规定进行，具体监测分析方法见表</w:t>
      </w:r>
      <w:r>
        <w:rPr>
          <w:rFonts w:ascii="Times New Roman" w:hAnsi="Times New Roman" w:eastAsia="Times New Roman" w:cs="Times New Roman"/>
          <w:spacing w:val="-2"/>
          <w:sz w:val="24"/>
          <w:szCs w:val="24"/>
        </w:rPr>
        <w:t>4-5</w:t>
      </w:r>
      <w:r>
        <w:rPr>
          <w:rFonts w:ascii="宋体" w:hAnsi="宋体" w:eastAsia="宋体" w:cs="宋体"/>
          <w:spacing w:val="-2"/>
          <w:sz w:val="24"/>
          <w:szCs w:val="24"/>
        </w:rPr>
        <w:t>。</w:t>
      </w:r>
    </w:p>
    <w:p>
      <w:pPr>
        <w:pStyle w:val="13"/>
        <w:keepNext w:val="0"/>
        <w:keepLines w:val="0"/>
        <w:pageBreakBefore w:val="0"/>
        <w:widowControl/>
        <w:kinsoku/>
        <w:wordWrap/>
        <w:overflowPunct/>
        <w:topLinePunct w:val="0"/>
        <w:autoSpaceDE/>
        <w:autoSpaceDN/>
        <w:bidi w:val="0"/>
        <w:adjustRightInd/>
        <w:snapToGrid/>
        <w:spacing w:before="0" w:beforeLines="50" w:after="0" w:line="240" w:lineRule="auto"/>
        <w:ind w:left="0" w:leftChars="0" w:firstLine="480" w:firstLineChars="200"/>
        <w:jc w:val="center"/>
        <w:textAlignment w:val="auto"/>
        <w:rPr>
          <w:b/>
          <w:bCs/>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 xml:space="preserve">4-5         </w:t>
      </w:r>
      <w:r>
        <w:rPr>
          <w:b/>
          <w:bCs/>
          <w:sz w:val="24"/>
          <w:szCs w:val="24"/>
        </w:rPr>
        <w:t>检测分析方法及仪器一览表</w:t>
      </w:r>
    </w:p>
    <w:tbl>
      <w:tblPr>
        <w:tblStyle w:val="20"/>
        <w:tblW w:w="93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3204"/>
        <w:gridCol w:w="2627"/>
        <w:gridCol w:w="1204"/>
        <w:gridCol w:w="1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330"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检测因子</w:t>
            </w:r>
          </w:p>
        </w:tc>
        <w:tc>
          <w:tcPr>
            <w:tcW w:w="3204"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检测方法及编号</w:t>
            </w:r>
          </w:p>
        </w:tc>
        <w:tc>
          <w:tcPr>
            <w:tcW w:w="2627"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检测仪器及型号/编号</w:t>
            </w:r>
          </w:p>
        </w:tc>
        <w:tc>
          <w:tcPr>
            <w:tcW w:w="1204"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检出限</w:t>
            </w:r>
          </w:p>
        </w:tc>
        <w:tc>
          <w:tcPr>
            <w:tcW w:w="1005"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最低检出浓度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color w:val="auto"/>
                <w:sz w:val="21"/>
                <w:szCs w:val="21"/>
                <w:lang w:eastAsia="zh-CN"/>
              </w:rPr>
              <w:t>氨</w:t>
            </w:r>
          </w:p>
        </w:tc>
        <w:tc>
          <w:tcPr>
            <w:tcW w:w="3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《环境空气和废气 氨的测定 纳氏试剂分光光度法》</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HJ 533-2009</w:t>
            </w:r>
          </w:p>
        </w:tc>
        <w:tc>
          <w:tcPr>
            <w:tcW w:w="262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可见分光光度计</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721</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sz w:val="21"/>
                <w:szCs w:val="21"/>
              </w:rPr>
              <w:t>YFYQ-095-2023</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color w:val="auto"/>
                <w:sz w:val="21"/>
                <w:szCs w:val="21"/>
                <w:lang w:val="en-US" w:eastAsia="zh-CN"/>
              </w:rPr>
              <w:t>0.01 mg/m</w:t>
            </w:r>
            <w:r>
              <w:rPr>
                <w:rFonts w:hint="default" w:ascii="Times New Roman" w:hAnsi="Times New Roman" w:eastAsia="宋体" w:cs="Times New Roman"/>
                <w:color w:val="auto"/>
                <w:sz w:val="21"/>
                <w:szCs w:val="21"/>
                <w:vertAlign w:val="superscript"/>
                <w:lang w:val="en-US" w:eastAsia="zh-CN"/>
              </w:rPr>
              <w:t>3</w:t>
            </w:r>
          </w:p>
        </w:tc>
        <w:tc>
          <w:tcPr>
            <w:tcW w:w="10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cs="Times New Roman"/>
                <w:b/>
                <w:bCs/>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color w:val="auto"/>
                <w:sz w:val="21"/>
                <w:szCs w:val="21"/>
                <w:lang w:eastAsia="zh-CN"/>
              </w:rPr>
              <w:t>硫化氢</w:t>
            </w:r>
          </w:p>
        </w:tc>
        <w:tc>
          <w:tcPr>
            <w:tcW w:w="3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环境空气 硫化氢 亚甲基蓝分光光度法(B) 《空气和废气监测分析方法》（第四版增补版） 第三篇 第一章 十一（二）  国家环境保护总局（2003年）</w:t>
            </w:r>
          </w:p>
        </w:tc>
        <w:tc>
          <w:tcPr>
            <w:tcW w:w="262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紫外可见分光光度计T6新世纪YFYQ-009-2020</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10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0.001</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cs="Times New Roman"/>
                <w:b/>
                <w:bCs/>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臭气浓度</w:t>
            </w:r>
          </w:p>
        </w:tc>
        <w:tc>
          <w:tcPr>
            <w:tcW w:w="3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《环境空气和废气 臭气的测定 三点比较式臭袋法》</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cs="Times New Roman"/>
                <w:sz w:val="21"/>
                <w:szCs w:val="21"/>
                <w:lang w:val="en-US" w:eastAsia="zh-CN" w:bidi="ar-SA"/>
              </w:rPr>
            </w:pPr>
            <w:r>
              <w:rPr>
                <w:rFonts w:hint="default" w:ascii="Times New Roman" w:hAnsi="Times New Roman" w:eastAsia="宋体" w:cs="Times New Roman"/>
                <w:color w:val="auto"/>
                <w:kern w:val="0"/>
                <w:sz w:val="21"/>
                <w:szCs w:val="21"/>
                <w:lang w:val="en-US" w:eastAsia="zh-CN" w:bidi="ar"/>
              </w:rPr>
              <w:t>HJ 1262</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color w:val="auto"/>
                <w:kern w:val="0"/>
                <w:sz w:val="21"/>
                <w:szCs w:val="21"/>
                <w:lang w:val="en-US" w:eastAsia="zh-CN" w:bidi="ar"/>
              </w:rPr>
              <w:t>2022</w:t>
            </w:r>
          </w:p>
        </w:tc>
        <w:tc>
          <w:tcPr>
            <w:tcW w:w="2627"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lang w:val="en-US" w:eastAsia="zh-CN" w:bidi="ar"/>
              </w:rPr>
            </w:pPr>
            <w:r>
              <w:rPr>
                <w:rFonts w:hint="default" w:ascii="Times New Roman" w:hAnsi="Times New Roman" w:eastAsia="宋体" w:cs="Times New Roman"/>
                <w:color w:val="auto"/>
                <w:sz w:val="21"/>
                <w:szCs w:val="21"/>
                <w:lang w:val="en-US" w:eastAsia="zh-CN"/>
              </w:rPr>
              <w:t>/</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cs="Times New Roman"/>
                <w:sz w:val="21"/>
                <w:szCs w:val="21"/>
                <w:lang w:val="en-US" w:eastAsia="zh-CN" w:bidi="ar-SA"/>
              </w:rPr>
            </w:pPr>
            <w:r>
              <w:rPr>
                <w:rFonts w:hint="default" w:ascii="Times New Roman" w:hAnsi="Times New Roman" w:eastAsia="宋体" w:cs="Times New Roman"/>
                <w:color w:val="auto"/>
                <w:sz w:val="21"/>
                <w:szCs w:val="21"/>
                <w:lang w:val="en-US" w:eastAsia="zh-CN"/>
              </w:rPr>
              <w:t>10（无量纲）</w:t>
            </w:r>
          </w:p>
        </w:tc>
      </w:tr>
    </w:tbl>
    <w:p>
      <w:pPr>
        <w:spacing w:before="48" w:line="220" w:lineRule="auto"/>
        <w:ind w:left="6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）监测结果</w:t>
      </w:r>
    </w:p>
    <w:p>
      <w:pPr>
        <w:spacing w:before="214" w:line="219" w:lineRule="auto"/>
        <w:ind w:left="680"/>
        <w:rPr>
          <w:rFonts w:ascii="宋体" w:hAnsi="宋体" w:eastAsia="宋体" w:cs="宋体"/>
          <w:sz w:val="24"/>
          <w:szCs w:val="24"/>
        </w:rPr>
      </w:pPr>
      <w:r>
        <w:rPr>
          <w:rFonts w:ascii="宋体" w:hAnsi="宋体" w:eastAsia="宋体" w:cs="宋体"/>
          <w:spacing w:val="-2"/>
          <w:sz w:val="24"/>
          <w:szCs w:val="24"/>
        </w:rPr>
        <w:t>具体监测结果见</w:t>
      </w:r>
      <w:r>
        <w:rPr>
          <w:rFonts w:ascii="宋体" w:hAnsi="宋体" w:eastAsia="宋体" w:cs="宋体"/>
          <w:spacing w:val="-2"/>
          <w:sz w:val="24"/>
          <w:szCs w:val="24"/>
          <w:highlight w:val="none"/>
        </w:rPr>
        <w:t>表</w:t>
      </w:r>
      <w:r>
        <w:rPr>
          <w:rFonts w:ascii="Times New Roman" w:hAnsi="Times New Roman" w:eastAsia="Times New Roman" w:cs="Times New Roman"/>
          <w:spacing w:val="-2"/>
          <w:sz w:val="24"/>
          <w:szCs w:val="24"/>
          <w:highlight w:val="none"/>
        </w:rPr>
        <w:t>4-6</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0" w:beforeLines="50"/>
        <w:ind w:left="105" w:leftChars="50"/>
        <w:jc w:val="center"/>
        <w:textAlignment w:val="baseline"/>
        <w:rPr>
          <w:b/>
          <w:bCs/>
          <w:sz w:val="24"/>
          <w:szCs w:val="24"/>
        </w:rPr>
      </w:pPr>
      <w:r>
        <w:rPr>
          <w:b/>
          <w:bCs/>
          <w:sz w:val="24"/>
          <w:szCs w:val="24"/>
        </w:rPr>
        <w:t>表4-6</w:t>
      </w:r>
      <w:r>
        <w:rPr>
          <w:rFonts w:hint="eastAsia" w:eastAsia="宋体"/>
          <w:b/>
          <w:bCs/>
          <w:sz w:val="24"/>
          <w:szCs w:val="24"/>
          <w:lang w:val="en-US" w:eastAsia="zh-CN"/>
        </w:rPr>
        <w:t xml:space="preserve">  </w:t>
      </w:r>
      <w:r>
        <w:rPr>
          <w:rFonts w:hint="eastAsia" w:eastAsia="宋体"/>
          <w:lang w:val="en-US" w:eastAsia="zh-CN"/>
        </w:rPr>
        <w:t xml:space="preserve">      </w:t>
      </w:r>
      <w:r>
        <w:rPr>
          <w:rFonts w:hint="eastAsia" w:ascii="Times New Roman" w:hAnsi="Times New Roman" w:eastAsia="宋体" w:cs="Times New Roman"/>
          <w:b/>
          <w:bCs/>
          <w:sz w:val="24"/>
          <w:szCs w:val="24"/>
          <w:lang w:eastAsia="zh-CN"/>
        </w:rPr>
        <w:t>其他污染物环境质量现状（</w:t>
      </w:r>
      <w:r>
        <w:rPr>
          <w:rFonts w:hint="eastAsia" w:ascii="Times New Roman" w:hAnsi="Times New Roman" w:eastAsia="宋体" w:cs="Times New Roman"/>
          <w:b/>
          <w:bCs/>
          <w:sz w:val="24"/>
          <w:szCs w:val="24"/>
          <w:lang w:val="en-US" w:eastAsia="zh-CN"/>
        </w:rPr>
        <w:t>一</w:t>
      </w:r>
      <w:r>
        <w:rPr>
          <w:rFonts w:hint="eastAsia" w:ascii="Times New Roman" w:hAnsi="Times New Roman" w:eastAsia="宋体" w:cs="Times New Roman"/>
          <w:b/>
          <w:bCs/>
          <w:sz w:val="24"/>
          <w:szCs w:val="24"/>
          <w:lang w:eastAsia="zh-CN"/>
        </w:rPr>
        <w:t>）</w:t>
      </w:r>
    </w:p>
    <w:tbl>
      <w:tblPr>
        <w:tblStyle w:val="20"/>
        <w:tblW w:w="936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2059"/>
        <w:gridCol w:w="1527"/>
        <w:gridCol w:w="2293"/>
        <w:gridCol w:w="22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tblHeader/>
          <w:jc w:val="center"/>
        </w:trPr>
        <w:tc>
          <w:tcPr>
            <w:tcW w:w="1191"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采样地点</w:t>
            </w:r>
          </w:p>
        </w:tc>
        <w:tc>
          <w:tcPr>
            <w:tcW w:w="3586" w:type="dxa"/>
            <w:gridSpan w:val="2"/>
            <w:tcBorders>
              <w:tl2br w:val="nil"/>
              <w:tr2bl w:val="nil"/>
            </w:tcBorders>
            <w:vAlign w:val="center"/>
            <mc:AlternateContent>
              <mc:Choice Requires="wpsCustomData">
                <wpsCustomData:diagonals>
                  <wpsCustomData:diagonal from="13400" to="30000">
                    <wpsCustomData:border w:val="single" w:color="auto" w:sz="12" w:space="0"/>
                  </wpsCustomData:diagonal>
                  <wpsCustomData:diagonal from="30000" to="6400">
                    <wpsCustomData:border w:val="single" w:color="auto" w:sz="12" w:space="0"/>
                  </wpsCustomData:diagonal>
                </wpsCustomData:diagonals>
              </mc:Choice>
            </mc:AlternateContent>
          </w:tcPr>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sz w:val="21"/>
                <w:szCs w:val="21"/>
                <w:lang w:val="en-US" w:eastAsia="zh-CN"/>
              </w:rPr>
            </w:pP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both"/>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采样时间</w:t>
            </w: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both"/>
              <w:textAlignment w:val="auto"/>
              <w:rPr>
                <w:rFonts w:hint="default" w:ascii="Times New Roman" w:hAnsi="Times New Roman" w:cs="Times New Roman"/>
                <w:b/>
                <w:bCs/>
                <w:sz w:val="21"/>
                <w:szCs w:val="21"/>
                <w:lang w:val="en-US" w:eastAsia="zh-CN"/>
              </w:rPr>
            </w:pP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firstLine="210" w:firstLineChars="100"/>
              <w:jc w:val="center"/>
              <w:textAlignment w:val="auto"/>
              <mc:AlternateContent>
                <mc:Choice Requires="wpsCustomData">
                  <wpsCustomData:diagonalParaType/>
                </mc:Choice>
              </mc:AlternateContent>
              <w:rPr>
                <w:rFonts w:hint="default" w:ascii="Times New Roman" w:hAnsi="Times New Roman" w:cs="Times New Roman"/>
                <w:b/>
                <w:bCs/>
                <w:sz w:val="21"/>
                <w:szCs w:val="21"/>
              </w:rPr>
            </w:pP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both"/>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检测结果</w:t>
            </w: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both"/>
              <w:textAlignment w:val="auto"/>
              <mc:AlternateContent>
                <mc:Choice Requires="wpsCustomData">
                  <wpsCustomData:diagonalParaType/>
                </mc:Choice>
              </mc:AlternateContent>
              <w:rPr>
                <w:rFonts w:hint="default" w:ascii="Times New Roman" w:hAnsi="Times New Roman" w:eastAsia="宋体" w:cs="Times New Roman"/>
                <w:b/>
                <w:bCs/>
                <w:sz w:val="21"/>
                <w:szCs w:val="21"/>
                <w:lang w:val="en-US" w:eastAsia="zh-CN"/>
              </w:rPr>
            </w:pP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 xml:space="preserve"> 检测因子</w:t>
            </w:r>
          </w:p>
        </w:tc>
        <w:tc>
          <w:tcPr>
            <w:tcW w:w="2293" w:type="dxa"/>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vertAlign w:val="subscript"/>
              </w:rPr>
            </w:pPr>
            <w:r>
              <w:rPr>
                <w:rFonts w:hint="default" w:ascii="Times New Roman" w:hAnsi="Times New Roman" w:eastAsia="宋体" w:cs="Times New Roman"/>
                <w:b/>
                <w:bCs/>
                <w:color w:val="auto"/>
                <w:sz w:val="21"/>
                <w:szCs w:val="21"/>
                <w:lang w:val="en-US" w:eastAsia="zh-CN"/>
              </w:rPr>
              <w:t>氨</w:t>
            </w:r>
          </w:p>
          <w:p>
            <w:pPr>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pacing w:val="-6"/>
                <w:sz w:val="21"/>
                <w:szCs w:val="21"/>
              </w:rPr>
              <w:t>(mg/m</w:t>
            </w:r>
            <w:r>
              <w:rPr>
                <w:rFonts w:hint="default" w:ascii="Times New Roman" w:hAnsi="Times New Roman" w:eastAsia="宋体" w:cs="Times New Roman"/>
                <w:b/>
                <w:bCs/>
                <w:color w:val="auto"/>
                <w:spacing w:val="-6"/>
                <w:sz w:val="21"/>
                <w:szCs w:val="21"/>
                <w:vertAlign w:val="superscript"/>
              </w:rPr>
              <w:t>3</w:t>
            </w:r>
            <w:r>
              <w:rPr>
                <w:rFonts w:hint="default" w:ascii="Times New Roman" w:hAnsi="Times New Roman" w:eastAsia="宋体" w:cs="Times New Roman"/>
                <w:b/>
                <w:bCs/>
                <w:color w:val="auto"/>
                <w:spacing w:val="-6"/>
                <w:sz w:val="21"/>
                <w:szCs w:val="21"/>
              </w:rPr>
              <w:t>)</w:t>
            </w:r>
          </w:p>
        </w:tc>
        <w:tc>
          <w:tcPr>
            <w:tcW w:w="2293" w:type="dxa"/>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硫化氢</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vertAlign w:val="baseline"/>
                <w:lang w:val="en-US" w:eastAsia="zh-CN"/>
              </w:rPr>
              <w:t>（mg/m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restart"/>
            <w:tcBorders>
              <w:tl2br w:val="nil"/>
              <w:tr2bl w:val="nil"/>
            </w:tcBorders>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color w:val="000000"/>
                <w:kern w:val="0"/>
                <w:sz w:val="21"/>
                <w:szCs w:val="21"/>
                <w:lang w:val="en-US" w:eastAsia="zh-CN"/>
              </w:rPr>
              <w:t>1#</w:t>
            </w:r>
            <w:r>
              <w:rPr>
                <w:rFonts w:hint="default" w:ascii="Times New Roman" w:hAnsi="Times New Roman" w:cs="Times New Roman"/>
                <w:color w:val="000000"/>
                <w:kern w:val="0"/>
                <w:sz w:val="21"/>
                <w:szCs w:val="21"/>
                <w:lang w:eastAsia="zh-CN"/>
              </w:rPr>
              <w:t>项目场址</w:t>
            </w:r>
          </w:p>
        </w:tc>
        <w:tc>
          <w:tcPr>
            <w:tcW w:w="2059" w:type="dxa"/>
            <w:vMerge w:val="restart"/>
            <w:tcBorders>
              <w:tl2br w:val="nil"/>
              <w:tr2bl w:val="nil"/>
            </w:tcBorders>
            <w:vAlign w:val="center"/>
          </w:tcPr>
          <w:p>
            <w:pPr>
              <w:widowControl w:val="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2023.11.16</w:t>
            </w: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02:00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bidi="ar-SA"/>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0000FF"/>
                <w:sz w:val="21"/>
                <w:szCs w:val="21"/>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08</w:t>
            </w:r>
            <w:r>
              <w:rPr>
                <w:rFonts w:hint="default" w:ascii="Times New Roman" w:hAnsi="Times New Roman" w:eastAsia="宋体" w:cs="Times New Roman"/>
                <w:b w:val="0"/>
                <w:bCs w:val="0"/>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pStyle w:val="29"/>
              <w:keepNext w:val="0"/>
              <w:keepLines w:val="0"/>
              <w:pageBreakBefore w:val="0"/>
              <w:widowControl/>
              <w:autoSpaceDE/>
              <w:autoSpaceDN/>
              <w:bidi w:val="0"/>
              <w:adjustRightInd/>
              <w:spacing w:line="360" w:lineRule="exact"/>
              <w:ind w:left="-105" w:leftChars="-50" w:right="-105" w:rightChars="-50" w:firstLine="0" w:firstLineChars="0"/>
              <w:rPr>
                <w:rFonts w:hint="default" w:ascii="Times New Roman" w:hAnsi="Times New Roman" w:eastAsia="宋体" w:cs="Times New Roman"/>
                <w:sz w:val="21"/>
                <w:szCs w:val="21"/>
                <w:lang w:val="en-US" w:eastAsia="zh-CN" w:bidi="ar-SA"/>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0000FF"/>
                <w:sz w:val="21"/>
                <w:szCs w:val="21"/>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未检出</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eastAsia="宋体" w:cs="Times New Roman"/>
                <w:sz w:val="21"/>
                <w:szCs w:val="21"/>
                <w:lang w:val="en-US" w:eastAsia="zh-CN" w:bidi="ar-SA"/>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0000FF"/>
                <w:sz w:val="21"/>
                <w:szCs w:val="21"/>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w:t>
            </w:r>
            <w:r>
              <w:rPr>
                <w:rFonts w:hint="default" w:ascii="Times New Roman" w:hAnsi="Times New Roman" w:eastAsia="宋体" w:cs="Times New Roman"/>
                <w:b w:val="0"/>
                <w:bCs w:val="0"/>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rPr>
            </w:pPr>
          </w:p>
        </w:tc>
        <w:tc>
          <w:tcPr>
            <w:tcW w:w="2059"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2023.11.17</w:t>
            </w: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eastAsia="宋体" w:cs="Times New Roman"/>
                <w:sz w:val="21"/>
                <w:szCs w:val="21"/>
                <w:lang w:val="en-US" w:eastAsia="zh-CN" w:bidi="ar-SA"/>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rPr>
            </w:pPr>
          </w:p>
        </w:tc>
        <w:tc>
          <w:tcPr>
            <w:tcW w:w="2059"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2023.11.18</w:t>
            </w: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rPr>
            </w:pPr>
          </w:p>
        </w:tc>
        <w:tc>
          <w:tcPr>
            <w:tcW w:w="2059"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2023.11.19</w:t>
            </w: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未检出</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2023.11.20</w:t>
            </w: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restart"/>
            <w:tcBorders>
              <w:tl2br w:val="nil"/>
              <w:tr2bl w:val="nil"/>
            </w:tcBorders>
            <w:vAlign w:val="center"/>
          </w:tcPr>
          <w:p>
            <w:pPr>
              <w:widowControl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b w:val="0"/>
                <w:bCs w:val="0"/>
                <w:color w:val="auto"/>
                <w:sz w:val="21"/>
                <w:szCs w:val="21"/>
                <w:highlight w:val="none"/>
                <w:vertAlign w:val="baseline"/>
                <w:lang w:val="en-US" w:eastAsia="zh-CN"/>
              </w:rPr>
              <w:t>2023.11.21</w:t>
            </w: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2023.11.22</w:t>
            </w: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191"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2059"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52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9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r>
    </w:tbl>
    <w:p>
      <w:pPr>
        <w:pStyle w:val="8"/>
        <w:spacing w:line="14" w:lineRule="auto"/>
        <w:rPr>
          <w:sz w:val="2"/>
        </w:rPr>
      </w:pPr>
    </w:p>
    <w:p>
      <w:pPr>
        <w:spacing w:line="14" w:lineRule="auto"/>
        <w:rPr>
          <w:sz w:val="2"/>
          <w:szCs w:val="2"/>
        </w:rPr>
        <w:sectPr>
          <w:pgSz w:w="11906" w:h="16839"/>
          <w:pgMar w:top="1431" w:right="1350" w:bottom="1278" w:left="1402" w:header="0" w:footer="1116" w:gutter="0"/>
          <w:pgBorders>
            <w:top w:val="none" w:sz="0" w:space="0"/>
            <w:left w:val="none" w:sz="0" w:space="0"/>
            <w:bottom w:val="none" w:sz="0" w:space="0"/>
            <w:right w:val="none" w:sz="0" w:space="0"/>
          </w:pgBorders>
          <w:pgNumType w:fmt="numberInDash"/>
          <w:cols w:equalWidth="0" w:num="1">
            <w:col w:w="9154"/>
          </w:cols>
        </w:sectPr>
      </w:pPr>
    </w:p>
    <w:p>
      <w:pPr>
        <w:snapToGrid w:val="0"/>
        <w:ind w:left="105" w:leftChars="50"/>
        <w:jc w:val="center"/>
        <w:rPr>
          <w:rFonts w:hint="default" w:ascii="Times New Roman" w:hAnsi="Times New Roman" w:cs="Times New Roman"/>
          <w:b/>
          <w:bCs/>
          <w:sz w:val="24"/>
          <w:szCs w:val="24"/>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6    其他污染物环境质量现状</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lang w:eastAsia="zh-CN"/>
        </w:rPr>
        <w:t>）</w:t>
      </w:r>
    </w:p>
    <w:tbl>
      <w:tblPr>
        <w:tblStyle w:val="20"/>
        <w:tblW w:w="90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992"/>
        <w:gridCol w:w="1477"/>
        <w:gridCol w:w="2219"/>
        <w:gridCol w:w="22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blHeader/>
          <w:jc w:val="center"/>
        </w:trPr>
        <w:tc>
          <w:tcPr>
            <w:tcW w:w="1152"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采样地点</w:t>
            </w:r>
          </w:p>
        </w:tc>
        <w:tc>
          <w:tcPr>
            <w:tcW w:w="3469" w:type="dxa"/>
            <w:gridSpan w:val="2"/>
            <w:tcBorders>
              <w:tl2br w:val="nil"/>
              <w:tr2bl w:val="nil"/>
            </w:tcBorders>
            <w:vAlign w:val="center"/>
            <mc:AlternateContent>
              <mc:Choice Requires="wpsCustomData">
                <wpsCustomData:diagonals>
                  <wpsCustomData:diagonal from="13400" to="30000">
                    <wpsCustomData:border w:val="single" w:color="auto" w:sz="12" w:space="0"/>
                  </wpsCustomData:diagonal>
                  <wpsCustomData:diagonal from="30000" to="6400">
                    <wpsCustomData:border w:val="single" w:color="auto" w:sz="12" w:space="0"/>
                  </wpsCustomData:diagonal>
                </wpsCustomData:diagonals>
              </mc:Choice>
            </mc:AlternateContent>
          </w:tcPr>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sz w:val="21"/>
                <w:szCs w:val="21"/>
                <w:lang w:val="en-US" w:eastAsia="zh-CN"/>
              </w:rPr>
            </w:pP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both"/>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采样时间</w:t>
            </w: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both"/>
              <w:textAlignment w:val="auto"/>
              <w:rPr>
                <w:rFonts w:hint="default" w:ascii="Times New Roman" w:hAnsi="Times New Roman" w:cs="Times New Roman"/>
                <w:b/>
                <w:bCs/>
                <w:sz w:val="21"/>
                <w:szCs w:val="21"/>
                <w:lang w:val="en-US" w:eastAsia="zh-CN"/>
              </w:rPr>
            </w:pP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firstLine="210" w:firstLineChars="100"/>
              <w:jc w:val="center"/>
              <w:textAlignment w:val="auto"/>
              <mc:AlternateContent>
                <mc:Choice Requires="wpsCustomData">
                  <wpsCustomData:diagonalParaType/>
                </mc:Choice>
              </mc:AlternateContent>
              <w:rPr>
                <w:rFonts w:hint="default" w:ascii="Times New Roman" w:hAnsi="Times New Roman" w:cs="Times New Roman"/>
                <w:b/>
                <w:bCs/>
                <w:sz w:val="21"/>
                <w:szCs w:val="21"/>
              </w:rPr>
            </w:pP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both"/>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检测结果</w:t>
            </w: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both"/>
              <w:textAlignment w:val="auto"/>
              <mc:AlternateContent>
                <mc:Choice Requires="wpsCustomData">
                  <wpsCustomData:diagonalParaType/>
                </mc:Choice>
              </mc:AlternateContent>
              <w:rPr>
                <w:rFonts w:hint="default" w:ascii="Times New Roman" w:hAnsi="Times New Roman" w:eastAsia="宋体" w:cs="Times New Roman"/>
                <w:b/>
                <w:bCs/>
                <w:sz w:val="21"/>
                <w:szCs w:val="21"/>
                <w:lang w:val="en-US" w:eastAsia="zh-CN"/>
              </w:rPr>
            </w:pPr>
          </w:p>
          <w:p>
            <w:pPr>
              <w:keepNext w:val="0"/>
              <w:keepLines w:val="0"/>
              <w:pageBreakBefore w:val="0"/>
              <w:widowControl/>
              <w:tabs>
                <w:tab w:val="center" w:pos="1440"/>
              </w:tabs>
              <w:kinsoku w:val="0"/>
              <w:wordWrap w:val="0"/>
              <w:overflowPunct w:val="0"/>
              <w:topLinePunct/>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 xml:space="preserve"> 检测因子</w:t>
            </w:r>
          </w:p>
        </w:tc>
        <w:tc>
          <w:tcPr>
            <w:tcW w:w="2219" w:type="dxa"/>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vertAlign w:val="subscript"/>
              </w:rPr>
            </w:pPr>
            <w:r>
              <w:rPr>
                <w:rFonts w:hint="default" w:ascii="Times New Roman" w:hAnsi="Times New Roman" w:eastAsia="宋体" w:cs="Times New Roman"/>
                <w:b/>
                <w:bCs/>
                <w:color w:val="auto"/>
                <w:sz w:val="21"/>
                <w:szCs w:val="21"/>
                <w:lang w:val="en-US" w:eastAsia="zh-CN"/>
              </w:rPr>
              <w:t>氨</w:t>
            </w:r>
          </w:p>
          <w:p>
            <w:pPr>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pacing w:val="-6"/>
                <w:sz w:val="21"/>
                <w:szCs w:val="21"/>
              </w:rPr>
              <w:t>(mg/m</w:t>
            </w:r>
            <w:r>
              <w:rPr>
                <w:rFonts w:hint="default" w:ascii="Times New Roman" w:hAnsi="Times New Roman" w:eastAsia="宋体" w:cs="Times New Roman"/>
                <w:b/>
                <w:bCs/>
                <w:color w:val="auto"/>
                <w:spacing w:val="-6"/>
                <w:sz w:val="21"/>
                <w:szCs w:val="21"/>
                <w:vertAlign w:val="superscript"/>
              </w:rPr>
              <w:t>3</w:t>
            </w:r>
            <w:r>
              <w:rPr>
                <w:rFonts w:hint="default" w:ascii="Times New Roman" w:hAnsi="Times New Roman" w:eastAsia="宋体" w:cs="Times New Roman"/>
                <w:b/>
                <w:bCs/>
                <w:color w:val="auto"/>
                <w:spacing w:val="-6"/>
                <w:sz w:val="21"/>
                <w:szCs w:val="21"/>
              </w:rPr>
              <w:t>)</w:t>
            </w:r>
          </w:p>
        </w:tc>
        <w:tc>
          <w:tcPr>
            <w:tcW w:w="2219" w:type="dxa"/>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硫化氢</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vertAlign w:val="baseline"/>
                <w:lang w:val="en-US" w:eastAsia="zh-CN"/>
              </w:rPr>
              <w:t>（mg/m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restart"/>
            <w:tcBorders>
              <w:tl2br w:val="nil"/>
              <w:tr2bl w:val="nil"/>
            </w:tcBorders>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sz w:val="21"/>
                <w:szCs w:val="21"/>
                <w:lang w:val="en-US" w:eastAsia="zh-CN"/>
              </w:rPr>
              <w:t>2#李庄村</w:t>
            </w:r>
          </w:p>
        </w:tc>
        <w:tc>
          <w:tcPr>
            <w:tcW w:w="1992" w:type="dxa"/>
            <w:vMerge w:val="restart"/>
            <w:tcBorders>
              <w:tl2br w:val="nil"/>
              <w:tr2bl w:val="nil"/>
            </w:tcBorders>
            <w:vAlign w:val="center"/>
          </w:tcPr>
          <w:p>
            <w:pPr>
              <w:widowControl w:val="0"/>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2023.11.16</w:t>
            </w: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02:00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bidi="ar-SA"/>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0000FF"/>
                <w:sz w:val="21"/>
                <w:szCs w:val="21"/>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08</w:t>
            </w:r>
            <w:r>
              <w:rPr>
                <w:rFonts w:hint="default" w:ascii="Times New Roman" w:hAnsi="Times New Roman" w:eastAsia="宋体" w:cs="Times New Roman"/>
                <w:b w:val="0"/>
                <w:bCs w:val="0"/>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pStyle w:val="29"/>
              <w:keepNext w:val="0"/>
              <w:keepLines w:val="0"/>
              <w:pageBreakBefore w:val="0"/>
              <w:widowControl/>
              <w:autoSpaceDE/>
              <w:autoSpaceDN/>
              <w:bidi w:val="0"/>
              <w:adjustRightInd/>
              <w:spacing w:line="360" w:lineRule="exact"/>
              <w:ind w:left="-105" w:leftChars="-50" w:right="-105" w:rightChars="-50" w:firstLine="0" w:firstLineChars="0"/>
              <w:rPr>
                <w:rFonts w:hint="default" w:ascii="Times New Roman" w:hAnsi="Times New Roman" w:eastAsia="宋体" w:cs="Times New Roman"/>
                <w:sz w:val="21"/>
                <w:szCs w:val="21"/>
                <w:lang w:val="en-US" w:eastAsia="zh-CN" w:bidi="ar-SA"/>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0000FF"/>
                <w:sz w:val="21"/>
                <w:szCs w:val="21"/>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eastAsia="宋体" w:cs="Times New Roman"/>
                <w:sz w:val="21"/>
                <w:szCs w:val="21"/>
                <w:lang w:val="en-US" w:eastAsia="zh-CN" w:bidi="ar-SA"/>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0000FF"/>
                <w:sz w:val="21"/>
                <w:szCs w:val="21"/>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w:t>
            </w:r>
            <w:r>
              <w:rPr>
                <w:rFonts w:hint="default" w:ascii="Times New Roman" w:hAnsi="Times New Roman" w:eastAsia="宋体" w:cs="Times New Roman"/>
                <w:b w:val="0"/>
                <w:bCs w:val="0"/>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rPr>
            </w:pPr>
          </w:p>
        </w:tc>
        <w:tc>
          <w:tcPr>
            <w:tcW w:w="1992"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2023.11.17</w:t>
            </w: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未检出</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eastAsia="宋体" w:cs="Times New Roman"/>
                <w:sz w:val="21"/>
                <w:szCs w:val="21"/>
                <w:lang w:val="en-US" w:eastAsia="zh-CN" w:bidi="ar-SA"/>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rPr>
            </w:pPr>
          </w:p>
        </w:tc>
        <w:tc>
          <w:tcPr>
            <w:tcW w:w="1992"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2023.11.18</w:t>
            </w: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rPr>
            </w:pPr>
          </w:p>
        </w:tc>
        <w:tc>
          <w:tcPr>
            <w:tcW w:w="1992"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2023.11.19</w:t>
            </w: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2023.11.20</w:t>
            </w: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restart"/>
            <w:tcBorders>
              <w:tl2br w:val="nil"/>
              <w:tr2bl w:val="nil"/>
            </w:tcBorders>
            <w:vAlign w:val="center"/>
          </w:tcPr>
          <w:p>
            <w:pPr>
              <w:widowControl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b w:val="0"/>
                <w:bCs w:val="0"/>
                <w:color w:val="auto"/>
                <w:sz w:val="21"/>
                <w:szCs w:val="21"/>
                <w:highlight w:val="none"/>
                <w:vertAlign w:val="baseline"/>
                <w:lang w:val="en-US" w:eastAsia="zh-CN"/>
              </w:rPr>
              <w:t>2023.11.21</w:t>
            </w: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2023.11.22</w:t>
            </w: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5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rPr>
            </w:pPr>
          </w:p>
        </w:tc>
        <w:tc>
          <w:tcPr>
            <w:tcW w:w="1992" w:type="dxa"/>
            <w:vMerge w:val="continue"/>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lang w:val="en-US" w:eastAsia="zh-CN" w:bidi="ar-SA"/>
              </w:rPr>
            </w:pPr>
          </w:p>
        </w:tc>
        <w:tc>
          <w:tcPr>
            <w:tcW w:w="1477"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2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r>
    </w:tbl>
    <w:p>
      <w:pPr>
        <w:keepNext w:val="0"/>
        <w:keepLines w:val="0"/>
        <w:pageBreakBefore w:val="0"/>
        <w:widowControl/>
        <w:kinsoku/>
        <w:wordWrap/>
        <w:overflowPunct/>
        <w:topLinePunct w:val="0"/>
        <w:autoSpaceDE/>
        <w:autoSpaceDN/>
        <w:bidi w:val="0"/>
        <w:adjustRightInd/>
        <w:snapToGrid w:val="0"/>
        <w:jc w:val="center"/>
        <w:textAlignment w:val="auto"/>
        <w:rPr>
          <w:rFonts w:hint="eastAsia"/>
          <w:b/>
          <w:bCs/>
          <w:sz w:val="24"/>
          <w:szCs w:val="24"/>
        </w:rPr>
      </w:pPr>
    </w:p>
    <w:p>
      <w:pPr>
        <w:keepNext w:val="0"/>
        <w:keepLines w:val="0"/>
        <w:pageBreakBefore w:val="0"/>
        <w:widowControl/>
        <w:kinsoku/>
        <w:wordWrap/>
        <w:overflowPunct/>
        <w:topLinePunct w:val="0"/>
        <w:autoSpaceDE/>
        <w:autoSpaceDN/>
        <w:bidi w:val="0"/>
        <w:adjustRightInd/>
        <w:snapToGrid w:val="0"/>
        <w:jc w:val="center"/>
        <w:textAlignment w:val="auto"/>
        <w:rPr>
          <w:rFonts w:hint="default" w:eastAsia="宋体"/>
          <w:b/>
          <w:bCs/>
          <w:sz w:val="24"/>
          <w:szCs w:val="24"/>
          <w:lang w:val="en-US" w:eastAsia="zh-CN"/>
        </w:rPr>
      </w:pPr>
      <w:r>
        <w:rPr>
          <w:rFonts w:hint="eastAsia"/>
          <w:b/>
          <w:bCs/>
          <w:sz w:val="24"/>
          <w:szCs w:val="24"/>
        </w:rPr>
        <w:t>表</w:t>
      </w:r>
      <w:r>
        <w:rPr>
          <w:rFonts w:hint="eastAsia" w:eastAsia="宋体"/>
          <w:b/>
          <w:bCs/>
          <w:sz w:val="24"/>
          <w:szCs w:val="24"/>
          <w:lang w:val="en-US" w:eastAsia="zh-CN"/>
        </w:rPr>
        <w:t>4-6</w:t>
      </w:r>
      <w:r>
        <w:rPr>
          <w:rFonts w:hint="eastAsia"/>
          <w:b/>
          <w:bCs/>
          <w:sz w:val="24"/>
          <w:szCs w:val="24"/>
          <w:lang w:val="en-US" w:eastAsia="zh-CN"/>
        </w:rPr>
        <w:t xml:space="preserve">    </w:t>
      </w:r>
      <w:r>
        <w:rPr>
          <w:rFonts w:hint="eastAsia"/>
          <w:b/>
          <w:bCs/>
          <w:sz w:val="24"/>
          <w:szCs w:val="24"/>
          <w:lang w:eastAsia="zh-CN"/>
        </w:rPr>
        <w:t>其他污染物环境质量现状</w:t>
      </w:r>
      <w:r>
        <w:rPr>
          <w:rFonts w:hint="eastAsia"/>
          <w:b/>
          <w:bCs/>
          <w:sz w:val="24"/>
          <w:szCs w:val="24"/>
          <w:lang w:val="en-US" w:eastAsia="zh-CN"/>
        </w:rPr>
        <w:t>（三）</w:t>
      </w:r>
    </w:p>
    <w:tbl>
      <w:tblPr>
        <w:tblStyle w:val="20"/>
        <w:tblW w:w="9061"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516"/>
        <w:gridCol w:w="1539"/>
        <w:gridCol w:w="2422"/>
        <w:gridCol w:w="242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blHeader/>
          <w:jc w:val="center"/>
        </w:trPr>
        <w:tc>
          <w:tcPr>
            <w:tcW w:w="11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检测因子</w:t>
            </w:r>
          </w:p>
        </w:tc>
        <w:tc>
          <w:tcPr>
            <w:tcW w:w="3055" w:type="dxa"/>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right"/>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采样地点</w:t>
            </w:r>
          </w:p>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left"/>
              <w:textAlignment w:val="auto"/>
              <w:rPr>
                <w:rFonts w:hint="default" w:ascii="Times New Roman" w:hAnsi="Times New Roman" w:eastAsia="宋体" w:cs="Times New Roman"/>
                <w:b/>
                <w:bCs/>
                <w:color w:val="auto"/>
                <w:sz w:val="21"/>
                <w:szCs w:val="21"/>
                <w:vertAlign w:val="baseline"/>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left"/>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检测时间</w:t>
            </w:r>
          </w:p>
        </w:tc>
        <w:tc>
          <w:tcPr>
            <w:tcW w:w="24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000000"/>
                <w:kern w:val="0"/>
                <w:sz w:val="21"/>
                <w:szCs w:val="21"/>
                <w:lang w:val="en-US" w:eastAsia="zh-CN"/>
              </w:rPr>
              <w:t>1#</w:t>
            </w:r>
            <w:r>
              <w:rPr>
                <w:rFonts w:hint="default" w:ascii="Times New Roman" w:hAnsi="Times New Roman" w:cs="Times New Roman"/>
                <w:b/>
                <w:bCs/>
                <w:color w:val="000000"/>
                <w:kern w:val="0"/>
                <w:sz w:val="21"/>
                <w:szCs w:val="21"/>
                <w:lang w:eastAsia="zh-CN"/>
              </w:rPr>
              <w:t>项目场址</w:t>
            </w:r>
          </w:p>
        </w:tc>
        <w:tc>
          <w:tcPr>
            <w:tcW w:w="2426" w:type="dxa"/>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sz w:val="21"/>
                <w:szCs w:val="21"/>
                <w:lang w:val="en-US" w:eastAsia="zh-CN"/>
              </w:rPr>
              <w:t>2#李庄村</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restart"/>
            <w:tcBorders>
              <w:tl2br w:val="nil"/>
              <w:tr2bl w:val="nil"/>
            </w:tcBorders>
            <w:vAlign w:val="center"/>
          </w:tcPr>
          <w:p>
            <w:pPr>
              <w:snapToGrid w:val="0"/>
              <w:spacing w:line="240" w:lineRule="auto"/>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臭气浓度</w:t>
            </w:r>
          </w:p>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（无量纲）</w:t>
            </w:r>
          </w:p>
        </w:tc>
        <w:tc>
          <w:tcPr>
            <w:tcW w:w="1516" w:type="dxa"/>
            <w:vMerge w:val="restart"/>
            <w:tcBorders>
              <w:tl2br w:val="nil"/>
              <w:tr2bl w:val="nil"/>
            </w:tcBorders>
            <w:vAlign w:val="center"/>
          </w:tcPr>
          <w:p>
            <w:pPr>
              <w:widowControl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2023.11.16</w:t>
            </w: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第一次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第二次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第三次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第四次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restart"/>
            <w:tcBorders>
              <w:tl2br w:val="nil"/>
              <w:tr2bl w:val="nil"/>
            </w:tcBorders>
            <w:vAlign w:val="center"/>
          </w:tcPr>
          <w:p>
            <w:pPr>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2023.11.17</w:t>
            </w: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第一次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第二次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eastAsia="宋体" w:cs="Times New Roman"/>
                <w:sz w:val="21"/>
                <w:szCs w:val="21"/>
                <w:lang w:val="en-US" w:eastAsia="zh-CN" w:bidi="ar-SA"/>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第三次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第四次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restart"/>
            <w:tcBorders>
              <w:tl2br w:val="nil"/>
              <w:tr2bl w:val="nil"/>
            </w:tcBorders>
            <w:vAlign w:val="center"/>
          </w:tcPr>
          <w:p>
            <w:pPr>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2023.11.18</w:t>
            </w: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第一次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第二次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第三次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第四次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516" w:type="dxa"/>
            <w:vMerge w:val="restart"/>
            <w:tcBorders>
              <w:tl2br w:val="nil"/>
              <w:tr2bl w:val="nil"/>
            </w:tcBorders>
            <w:vAlign w:val="center"/>
          </w:tcPr>
          <w:p>
            <w:pPr>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2023.11.19</w:t>
            </w: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val="0"/>
                <w:bCs w:val="0"/>
                <w:sz w:val="21"/>
                <w:szCs w:val="21"/>
                <w:lang w:val="en-US" w:eastAsia="zh-CN"/>
              </w:rPr>
              <w:t>第一次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第二次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第三次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第四次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restart"/>
            <w:tcBorders>
              <w:tl2br w:val="nil"/>
              <w:tr2bl w:val="nil"/>
            </w:tcBorders>
            <w:vAlign w:val="center"/>
          </w:tcPr>
          <w:p>
            <w:pPr>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2023.11.20</w:t>
            </w: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第一次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第二次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第三次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第四次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restart"/>
            <w:tcBorders>
              <w:tl2br w:val="nil"/>
              <w:tr2bl w:val="nil"/>
            </w:tcBorders>
            <w:vAlign w:val="center"/>
          </w:tcPr>
          <w:p>
            <w:pPr>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2023.11.21</w:t>
            </w: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第一次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第二次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第三次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第四次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restart"/>
            <w:tcBorders>
              <w:tl2br w:val="nil"/>
              <w:tr2bl w:val="nil"/>
            </w:tcBorders>
            <w:vAlign w:val="center"/>
          </w:tcPr>
          <w:p>
            <w:pPr>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2023.11.22</w:t>
            </w: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第一次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spacing w:line="240" w:lineRule="auto"/>
              <w:jc w:val="right"/>
              <w:rPr>
                <w:rFonts w:hint="default" w:ascii="Times New Roman" w:hAnsi="Times New Roman" w:eastAsia="宋体" w:cs="Times New Roman"/>
                <w:color w:val="auto"/>
                <w:sz w:val="21"/>
                <w:szCs w:val="21"/>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第二次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spacing w:line="240" w:lineRule="auto"/>
              <w:jc w:val="right"/>
              <w:rPr>
                <w:rFonts w:hint="default" w:ascii="Times New Roman" w:hAnsi="Times New Roman" w:eastAsia="宋体" w:cs="Times New Roman"/>
                <w:color w:val="auto"/>
                <w:sz w:val="21"/>
                <w:szCs w:val="21"/>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第三次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158"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16" w:type="dxa"/>
            <w:vMerge w:val="continue"/>
            <w:tcBorders>
              <w:tl2br w:val="nil"/>
              <w:tr2bl w:val="nil"/>
            </w:tcBorders>
            <w:vAlign w:val="center"/>
          </w:tcPr>
          <w:p>
            <w:pPr>
              <w:spacing w:line="240" w:lineRule="auto"/>
              <w:jc w:val="right"/>
              <w:rPr>
                <w:rFonts w:hint="default" w:ascii="Times New Roman" w:hAnsi="Times New Roman" w:eastAsia="宋体" w:cs="Times New Roman"/>
                <w:color w:val="auto"/>
                <w:sz w:val="21"/>
                <w:szCs w:val="21"/>
              </w:rPr>
            </w:pPr>
          </w:p>
        </w:tc>
        <w:tc>
          <w:tcPr>
            <w:tcW w:w="1539" w:type="dxa"/>
            <w:tcBorders>
              <w:tl2br w:val="nil"/>
              <w:tr2bl w:val="nil"/>
            </w:tcBorders>
            <w:vAlign w:val="center"/>
          </w:tcPr>
          <w:p>
            <w:pPr>
              <w:keepNext w:val="0"/>
              <w:keepLines w:val="0"/>
              <w:pageBreakBefore w:val="0"/>
              <w:widowControl/>
              <w:autoSpaceDE/>
              <w:autoSpaceDN/>
              <w:bidi w:val="0"/>
              <w:adjustRightInd/>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sz w:val="21"/>
                <w:szCs w:val="21"/>
                <w:lang w:val="en-US" w:eastAsia="zh-CN"/>
              </w:rPr>
              <w:t>第四次</w:t>
            </w:r>
          </w:p>
        </w:tc>
        <w:tc>
          <w:tcPr>
            <w:tcW w:w="2422"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c>
          <w:tcPr>
            <w:tcW w:w="2426"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&lt;10</w:t>
            </w:r>
          </w:p>
        </w:tc>
      </w:tr>
    </w:tbl>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firstLine="0" w:firstLineChars="0"/>
        <w:jc w:val="center"/>
        <w:textAlignment w:val="auto"/>
        <w:rPr>
          <w:rFonts w:hint="eastAsia" w:cs="Times New Roman"/>
          <w:b/>
          <w:bCs/>
          <w:color w:val="auto"/>
          <w:sz w:val="24"/>
          <w:szCs w:val="24"/>
          <w:lang w:val="en-US" w:eastAsia="zh-CN" w:bidi="ar-SA"/>
        </w:rPr>
      </w:pPr>
      <w:r>
        <w:rPr>
          <w:rFonts w:hint="eastAsia" w:cs="Times New Roman"/>
          <w:b/>
          <w:bCs/>
          <w:color w:val="auto"/>
          <w:sz w:val="24"/>
          <w:szCs w:val="24"/>
          <w:lang w:val="en-US" w:eastAsia="zh-CN" w:bidi="ar-SA"/>
        </w:rPr>
        <w:t>表4-7气象参数统计结果</w:t>
      </w:r>
    </w:p>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firstLine="0" w:firstLineChars="0"/>
        <w:jc w:val="right"/>
        <w:textAlignment w:val="auto"/>
        <w:rPr>
          <w:rFonts w:hint="default" w:cs="Times New Roman"/>
          <w:b/>
          <w:bCs/>
          <w:color w:val="auto"/>
          <w:sz w:val="24"/>
          <w:szCs w:val="24"/>
          <w:lang w:val="en-US" w:eastAsia="zh-CN" w:bidi="ar-SA"/>
        </w:rPr>
      </w:pPr>
      <w:r>
        <w:rPr>
          <w:rFonts w:hint="eastAsia" w:cs="Times New Roman"/>
          <w:b/>
          <w:bCs/>
          <w:color w:val="auto"/>
          <w:sz w:val="21"/>
          <w:szCs w:val="21"/>
          <w:lang w:val="en-US" w:eastAsia="zh-CN" w:bidi="ar-SA"/>
        </w:rPr>
        <w:t>观测点位：</w:t>
      </w:r>
      <w:r>
        <w:rPr>
          <w:rFonts w:hint="default" w:ascii="Times New Roman" w:hAnsi="Times New Roman" w:cs="Times New Roman"/>
          <w:b/>
          <w:bCs/>
          <w:sz w:val="21"/>
          <w:szCs w:val="21"/>
          <w:lang w:val="en-US" w:eastAsia="zh-CN"/>
        </w:rPr>
        <w:t>2#李庄村</w:t>
      </w:r>
    </w:p>
    <w:tbl>
      <w:tblPr>
        <w:tblStyle w:val="21"/>
        <w:tblW w:w="90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436"/>
        <w:gridCol w:w="1106"/>
        <w:gridCol w:w="1164"/>
        <w:gridCol w:w="1164"/>
        <w:gridCol w:w="1213"/>
        <w:gridCol w:w="1170"/>
        <w:gridCol w:w="11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序号</w:t>
            </w:r>
          </w:p>
        </w:tc>
        <w:tc>
          <w:tcPr>
            <w:tcW w:w="2542" w:type="dxa"/>
            <w:gridSpan w:val="2"/>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观测时间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天气</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气温</w:t>
            </w:r>
          </w:p>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气压</w:t>
            </w:r>
          </w:p>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（kPa）</w:t>
            </w:r>
          </w:p>
        </w:tc>
        <w:tc>
          <w:tcPr>
            <w:tcW w:w="117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风速</w:t>
            </w:r>
          </w:p>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（m/s）</w:t>
            </w:r>
          </w:p>
        </w:tc>
        <w:tc>
          <w:tcPr>
            <w:tcW w:w="1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w:t>
            </w:r>
          </w:p>
        </w:tc>
        <w:tc>
          <w:tcPr>
            <w:tcW w:w="1436"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2023.11.16</w:t>
            </w: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sz w:val="21"/>
                <w:szCs w:val="21"/>
                <w:lang w:val="en-US" w:eastAsia="zh-CN"/>
              </w:rPr>
              <w:t>02:00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3.7</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101.2</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08</w:t>
            </w:r>
            <w:r>
              <w:rPr>
                <w:rFonts w:hint="default" w:ascii="Times New Roman" w:hAnsi="Times New Roman" w:eastAsia="宋体" w:cs="Times New Roman"/>
                <w:b w:val="0"/>
                <w:bCs w:val="0"/>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6.9</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100.9</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14:00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15.2</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100.0</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cs="Times New Roman"/>
                <w:i w:val="0"/>
                <w:iCs w:val="0"/>
                <w:color w:val="auto"/>
                <w:kern w:val="0"/>
                <w:sz w:val="21"/>
                <w:szCs w:val="21"/>
                <w:u w:val="none"/>
                <w:lang w:val="en-US" w:eastAsia="zh-CN" w:bidi="ar"/>
              </w:rPr>
              <w:t>.9</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4</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20</w:t>
            </w:r>
            <w:r>
              <w:rPr>
                <w:rFonts w:hint="default" w:ascii="Times New Roman" w:hAnsi="Times New Roman" w:eastAsia="宋体" w:cs="Times New Roman"/>
                <w:b w:val="0"/>
                <w:bCs w:val="0"/>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10.7</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100.5</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2.8</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w:t>
            </w:r>
          </w:p>
        </w:tc>
        <w:tc>
          <w:tcPr>
            <w:tcW w:w="1436"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2023.11.17</w:t>
            </w: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多云</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101.3</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6</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多云</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10.6</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100.5</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14:00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多云</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18.3</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99.7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8</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多云</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13.7</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100.2</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9</w:t>
            </w:r>
          </w:p>
        </w:tc>
        <w:tc>
          <w:tcPr>
            <w:tcW w:w="1436"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2023.11.18</w:t>
            </w: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3.5</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101.2</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7.8</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100.8</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11</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14:00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19.4</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99.6</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12</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12.2</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100.3</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13</w:t>
            </w:r>
          </w:p>
        </w:tc>
        <w:tc>
          <w:tcPr>
            <w:tcW w:w="1436"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2023.11.19</w:t>
            </w: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4.7</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101.1</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14</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12.6</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100.3</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15</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14:00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22.5</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99.3</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2.1</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16</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19.3</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99.6</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17</w:t>
            </w:r>
          </w:p>
        </w:tc>
        <w:tc>
          <w:tcPr>
            <w:tcW w:w="1436"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2023.11.20</w:t>
            </w: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5.9</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101.0</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18</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9.6</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100.6</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19</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14:00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19.5</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99.6</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13.7</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100.2</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21</w:t>
            </w:r>
          </w:p>
        </w:tc>
        <w:tc>
          <w:tcPr>
            <w:tcW w:w="1436"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2023.11.21</w:t>
            </w: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9.2</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100.6</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12.8</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100.3</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2.9</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23</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14:00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21.7</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99.4</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14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14.2</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100.1</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2.8</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25</w:t>
            </w:r>
          </w:p>
        </w:tc>
        <w:tc>
          <w:tcPr>
            <w:tcW w:w="1436"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2023.11.22</w:t>
            </w: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6.8</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100.9</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2.1</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26</w:t>
            </w:r>
          </w:p>
        </w:tc>
        <w:tc>
          <w:tcPr>
            <w:tcW w:w="1436" w:type="dxa"/>
            <w:vMerge w:val="continue"/>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10.7</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100.5</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2.3</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1436" w:type="dxa"/>
            <w:vMerge w:val="continue"/>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14:00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21.8</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99.4</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28</w:t>
            </w:r>
          </w:p>
        </w:tc>
        <w:tc>
          <w:tcPr>
            <w:tcW w:w="1436"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106"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116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晴</w:t>
            </w:r>
          </w:p>
        </w:tc>
        <w:tc>
          <w:tcPr>
            <w:tcW w:w="116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bidi="ar-SA"/>
              </w:rPr>
              <w:t>15.2</w:t>
            </w:r>
          </w:p>
        </w:tc>
        <w:tc>
          <w:tcPr>
            <w:tcW w:w="121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100.0</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2.1</w:t>
            </w:r>
          </w:p>
        </w:tc>
        <w:tc>
          <w:tcPr>
            <w:tcW w:w="116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NW</w:t>
            </w:r>
          </w:p>
        </w:tc>
      </w:tr>
    </w:tbl>
    <w:p>
      <w:pPr>
        <w:spacing w:before="130" w:line="218" w:lineRule="auto"/>
        <w:ind w:left="2563"/>
        <w:rPr>
          <w:rFonts w:ascii="宋体" w:hAnsi="宋体" w:eastAsia="宋体" w:cs="宋体"/>
          <w:spacing w:val="-1"/>
          <w:sz w:val="24"/>
          <w:szCs w:val="24"/>
          <w14:textOutline w14:w="4358" w14:cap="sq" w14:cmpd="sng">
            <w14:solidFill>
              <w14:srgbClr w14:val="000000"/>
            </w14:solidFill>
            <w14:prstDash w14:val="solid"/>
            <w14:bevel/>
          </w14:textOutline>
        </w:rPr>
      </w:pPr>
    </w:p>
    <w:p>
      <w:pPr>
        <w:spacing w:before="130" w:line="218" w:lineRule="auto"/>
        <w:ind w:left="2563"/>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4-</w:t>
      </w:r>
      <w:r>
        <w:rPr>
          <w:rFonts w:hint="eastAsia" w:ascii="Times New Roman" w:hAnsi="Times New Roman" w:eastAsia="宋体" w:cs="Times New Roman"/>
          <w:b/>
          <w:bCs/>
          <w:spacing w:val="-1"/>
          <w:sz w:val="24"/>
          <w:szCs w:val="24"/>
          <w:lang w:val="en-US" w:eastAsia="zh-CN"/>
        </w:rPr>
        <w:t>8</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环境空气质量现状评价结果</w:t>
      </w:r>
    </w:p>
    <w:tbl>
      <w:tblPr>
        <w:tblStyle w:val="24"/>
        <w:tblW w:w="888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1964"/>
        <w:gridCol w:w="1065"/>
        <w:gridCol w:w="1459"/>
        <w:gridCol w:w="1396"/>
        <w:gridCol w:w="952"/>
        <w:gridCol w:w="9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jc w:val="center"/>
        </w:trPr>
        <w:tc>
          <w:tcPr>
            <w:tcW w:w="109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监测点位</w:t>
            </w:r>
          </w:p>
        </w:tc>
        <w:tc>
          <w:tcPr>
            <w:tcW w:w="196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监测点坐标</w:t>
            </w:r>
          </w:p>
        </w:tc>
        <w:tc>
          <w:tcPr>
            <w:tcW w:w="10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监测因子</w:t>
            </w:r>
          </w:p>
        </w:tc>
        <w:tc>
          <w:tcPr>
            <w:tcW w:w="145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浓度测值范围</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2"/>
              </w:rPr>
              <w:t>(</w:t>
            </w:r>
            <w:r>
              <w:rPr>
                <w:rFonts w:ascii="Times New Roman" w:hAnsi="Times New Roman" w:eastAsia="Times New Roman" w:cs="Times New Roman"/>
                <w:spacing w:val="2"/>
              </w:rPr>
              <w:t>μg/m</w:t>
            </w:r>
            <w:r>
              <w:rPr>
                <w:rFonts w:ascii="Times New Roman" w:hAnsi="Times New Roman" w:eastAsia="Times New Roman" w:cs="Times New Roman"/>
                <w:spacing w:val="2"/>
                <w:position w:val="6"/>
                <w:sz w:val="13"/>
                <w:szCs w:val="13"/>
              </w:rPr>
              <w:t>3</w:t>
            </w:r>
            <w:r>
              <w:rPr>
                <w:spacing w:val="2"/>
              </w:rPr>
              <w:t>）</w:t>
            </w:r>
          </w:p>
        </w:tc>
        <w:tc>
          <w:tcPr>
            <w:tcW w:w="13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7"/>
              </w:rPr>
            </w:pPr>
            <w:r>
              <w:rPr>
                <w:spacing w:val="7"/>
              </w:rPr>
              <w:t>标准限值</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t>(</w:t>
            </w:r>
            <w:r>
              <w:rPr>
                <w:rFonts w:ascii="Times New Roman" w:hAnsi="Times New Roman" w:eastAsia="Times New Roman" w:cs="Times New Roman"/>
              </w:rPr>
              <w:t>μg/m</w:t>
            </w:r>
            <w:r>
              <w:rPr>
                <w:rFonts w:ascii="Times New Roman" w:hAnsi="Times New Roman" w:eastAsia="Times New Roman" w:cs="Times New Roman"/>
                <w:position w:val="6"/>
                <w:sz w:val="13"/>
                <w:szCs w:val="13"/>
              </w:rPr>
              <w:t>3</w:t>
            </w:r>
            <w:r>
              <w:t>）</w:t>
            </w:r>
          </w:p>
        </w:tc>
        <w:tc>
          <w:tcPr>
            <w:tcW w:w="9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超标率</w:t>
            </w:r>
            <w:r>
              <w:t>（</w:t>
            </w:r>
            <w:r>
              <w:rPr>
                <w:rFonts w:ascii="Times New Roman" w:hAnsi="Times New Roman" w:eastAsia="Times New Roman" w:cs="Times New Roman"/>
              </w:rPr>
              <w:t>%</w:t>
            </w:r>
            <w:r>
              <w:t>）</w:t>
            </w:r>
          </w:p>
        </w:tc>
        <w:tc>
          <w:tcPr>
            <w:tcW w:w="9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position w:val="7"/>
              </w:rPr>
              <w:t>达标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jc w:val="center"/>
        </w:trPr>
        <w:tc>
          <w:tcPr>
            <w:tcW w:w="109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项目厂址</w:t>
            </w:r>
          </w:p>
        </w:tc>
        <w:tc>
          <w:tcPr>
            <w:tcW w:w="196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rPr>
            </w:pPr>
            <w:r>
              <w:rPr>
                <w:rFonts w:hint="default" w:ascii="Times New Roman" w:hAnsi="Times New Roman" w:eastAsia="Times New Roman" w:cs="Times New Roman"/>
                <w:lang w:val="en-US" w:eastAsia="zh-CN"/>
              </w:rPr>
              <w:t>E：113</w:t>
            </w:r>
            <w:r>
              <w:rPr>
                <w:rFonts w:hint="default" w:ascii="Times New Roman" w:hAnsi="Times New Roman" w:eastAsia="宋体" w:cs="Times New Roman"/>
                <w:lang w:eastAsia="zh-CN"/>
              </w:rPr>
              <w:t>°</w:t>
            </w:r>
            <w:r>
              <w:rPr>
                <w:rFonts w:hint="default" w:ascii="Times New Roman" w:hAnsi="Times New Roman" w:eastAsia="Times New Roman" w:cs="Times New Roman"/>
                <w:lang w:val="en-US" w:eastAsia="zh-CN"/>
              </w:rPr>
              <w:t>20</w:t>
            </w:r>
            <w:r>
              <w:rPr>
                <w:rFonts w:hint="default" w:ascii="Times New Roman" w:hAnsi="Times New Roman" w:eastAsia="宋体" w:cs="Times New Roman"/>
                <w:lang w:eastAsia="zh-CN"/>
              </w:rPr>
              <w:t>′</w:t>
            </w:r>
            <w:r>
              <w:rPr>
                <w:rFonts w:hint="default" w:ascii="Times New Roman" w:hAnsi="Times New Roman" w:eastAsia="Times New Roman" w:cs="Times New Roman"/>
                <w:lang w:val="en-US" w:eastAsia="zh-CN"/>
              </w:rPr>
              <w:t>50.33</w:t>
            </w:r>
            <w:r>
              <w:rPr>
                <w:rFonts w:hint="default" w:ascii="Times New Roman" w:hAnsi="Times New Roman" w:eastAsia="宋体" w:cs="Times New Roman"/>
                <w:lang w:eastAsia="zh-CN"/>
              </w:rPr>
              <w:t>″</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Times New Roman" w:hAnsi="Times New Roman" w:eastAsia="Times New Roman" w:cs="Times New Roman"/>
              </w:rPr>
            </w:pPr>
            <w:r>
              <w:rPr>
                <w:rFonts w:hint="default" w:ascii="Times New Roman" w:hAnsi="Times New Roman" w:eastAsia="宋体" w:cs="Times New Roman"/>
                <w:lang w:val="en-US" w:eastAsia="zh-CN"/>
              </w:rPr>
              <w:t>N：</w:t>
            </w:r>
            <w:r>
              <w:rPr>
                <w:rFonts w:hint="default" w:ascii="Times New Roman" w:hAnsi="Times New Roman" w:eastAsia="Times New Roman" w:cs="Times New Roman"/>
                <w:lang w:val="en-US" w:eastAsia="zh-CN"/>
              </w:rPr>
              <w:t>33</w:t>
            </w:r>
            <w:r>
              <w:rPr>
                <w:rFonts w:hint="default" w:ascii="Times New Roman" w:hAnsi="Times New Roman" w:eastAsia="宋体" w:cs="Times New Roman"/>
                <w:lang w:eastAsia="zh-CN"/>
              </w:rPr>
              <w:t>°</w:t>
            </w:r>
            <w:r>
              <w:rPr>
                <w:rFonts w:hint="default" w:ascii="Times New Roman" w:hAnsi="Times New Roman" w:eastAsia="Times New Roman" w:cs="Times New Roman"/>
                <w:lang w:val="en-US" w:eastAsia="zh-CN"/>
              </w:rPr>
              <w:t>35</w:t>
            </w:r>
            <w:r>
              <w:rPr>
                <w:rFonts w:hint="default" w:ascii="Times New Roman" w:hAnsi="Times New Roman" w:eastAsia="宋体" w:cs="Times New Roman"/>
                <w:lang w:eastAsia="zh-CN"/>
              </w:rPr>
              <w:t>′</w:t>
            </w:r>
            <w:r>
              <w:rPr>
                <w:rFonts w:hint="default" w:ascii="Times New Roman" w:hAnsi="Times New Roman" w:eastAsia="Times New Roman" w:cs="Times New Roman"/>
                <w:lang w:val="en-US" w:eastAsia="zh-CN"/>
              </w:rPr>
              <w:t>41.34</w:t>
            </w:r>
            <w:r>
              <w:rPr>
                <w:rFonts w:hint="default" w:ascii="Times New Roman" w:hAnsi="Times New Roman" w:eastAsia="宋体" w:cs="Times New Roman"/>
                <w:lang w:eastAsia="zh-CN"/>
              </w:rPr>
              <w:t>″</w:t>
            </w:r>
          </w:p>
        </w:tc>
        <w:tc>
          <w:tcPr>
            <w:tcW w:w="106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145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未检出~60</w:t>
            </w:r>
          </w:p>
        </w:tc>
        <w:tc>
          <w:tcPr>
            <w:tcW w:w="13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jc w:val="center"/>
        </w:trPr>
        <w:tc>
          <w:tcPr>
            <w:tcW w:w="109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9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06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145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lang w:val="en-US"/>
              </w:rPr>
            </w:pPr>
            <w:r>
              <w:rPr>
                <w:rFonts w:hint="eastAsia" w:ascii="Times New Roman" w:hAnsi="Times New Roman" w:eastAsia="宋体" w:cs="Times New Roman"/>
                <w:sz w:val="20"/>
                <w:szCs w:val="20"/>
                <w:lang w:val="en-US" w:eastAsia="zh-CN"/>
              </w:rPr>
              <w:t>未检出~7</w:t>
            </w:r>
          </w:p>
        </w:tc>
        <w:tc>
          <w:tcPr>
            <w:tcW w:w="13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jc w:val="center"/>
        </w:trPr>
        <w:tc>
          <w:tcPr>
            <w:tcW w:w="109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9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0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臭气浓度</w:t>
            </w:r>
          </w:p>
        </w:tc>
        <w:tc>
          <w:tcPr>
            <w:tcW w:w="145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eastAsia="宋体"/>
                <w:lang w:val="en-US" w:eastAsia="zh-CN"/>
              </w:rPr>
            </w:pPr>
            <w:r>
              <w:rPr>
                <w:rFonts w:hint="default" w:ascii="Times New Roman" w:hAnsi="Times New Roman" w:cs="Times New Roman"/>
              </w:rPr>
              <w:t>＜</w:t>
            </w:r>
            <w:r>
              <w:rPr>
                <w:rFonts w:hint="default" w:ascii="Times New Roman" w:hAnsi="Times New Roman" w:cs="Times New Roman"/>
                <w:lang w:val="en-US" w:eastAsia="zh-CN"/>
              </w:rPr>
              <w:t>10</w:t>
            </w:r>
          </w:p>
        </w:tc>
        <w:tc>
          <w:tcPr>
            <w:tcW w:w="13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4"/>
              </w:rPr>
              <w:t>20</w:t>
            </w:r>
            <w:r>
              <w:rPr>
                <w:spacing w:val="4"/>
              </w:rPr>
              <w:t>无量纲</w:t>
            </w:r>
          </w:p>
        </w:tc>
        <w:tc>
          <w:tcPr>
            <w:tcW w:w="9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jc w:val="center"/>
        </w:trPr>
        <w:tc>
          <w:tcPr>
            <w:tcW w:w="109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spacing w:val="6"/>
                <w:lang w:eastAsia="zh-CN"/>
              </w:rPr>
              <w:t>李</w:t>
            </w:r>
            <w:r>
              <w:rPr>
                <w:spacing w:val="6"/>
              </w:rPr>
              <w:t>庄村</w:t>
            </w:r>
          </w:p>
        </w:tc>
        <w:tc>
          <w:tcPr>
            <w:tcW w:w="196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lang w:eastAsia="zh-CN"/>
              </w:rPr>
            </w:pPr>
            <w:r>
              <w:rPr>
                <w:rFonts w:hint="default" w:ascii="Times New Roman" w:hAnsi="Times New Roman" w:eastAsia="Times New Roman" w:cs="Times New Roman"/>
                <w:lang w:val="en-US" w:eastAsia="zh-CN"/>
              </w:rPr>
              <w:t>E：</w:t>
            </w:r>
            <w:r>
              <w:rPr>
                <w:rFonts w:hint="default" w:ascii="Times New Roman" w:hAnsi="Times New Roman" w:eastAsia="宋体" w:cs="Times New Roman"/>
                <w:lang w:eastAsia="zh-CN"/>
              </w:rPr>
              <w:t>113°20′39.54″</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Times New Roman" w:hAnsi="Times New Roman" w:eastAsia="Times New Roman" w:cs="Times New Roman"/>
              </w:rPr>
            </w:pPr>
            <w:r>
              <w:rPr>
                <w:rFonts w:hint="default" w:ascii="Times New Roman" w:hAnsi="Times New Roman" w:eastAsia="宋体" w:cs="Times New Roman"/>
                <w:lang w:val="en-US" w:eastAsia="zh-CN"/>
              </w:rPr>
              <w:t>N：</w:t>
            </w:r>
            <w:r>
              <w:rPr>
                <w:rFonts w:hint="default" w:ascii="Times New Roman" w:hAnsi="Times New Roman" w:eastAsia="宋体" w:cs="Times New Roman"/>
                <w:lang w:eastAsia="zh-CN"/>
              </w:rPr>
              <w:t>33°35′23.33″</w:t>
            </w:r>
          </w:p>
        </w:tc>
        <w:tc>
          <w:tcPr>
            <w:tcW w:w="106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145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z w:val="20"/>
                <w:szCs w:val="20"/>
                <w:lang w:val="en-US" w:eastAsia="zh-CN"/>
              </w:rPr>
              <w:t>未检出~70</w:t>
            </w:r>
          </w:p>
        </w:tc>
        <w:tc>
          <w:tcPr>
            <w:tcW w:w="13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jc w:val="center"/>
        </w:trPr>
        <w:tc>
          <w:tcPr>
            <w:tcW w:w="109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9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06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145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lang w:val="en-US"/>
              </w:rPr>
            </w:pPr>
            <w:r>
              <w:rPr>
                <w:rFonts w:hint="eastAsia" w:ascii="Times New Roman" w:hAnsi="Times New Roman" w:eastAsia="宋体" w:cs="Times New Roman"/>
                <w:sz w:val="20"/>
                <w:szCs w:val="20"/>
                <w:lang w:val="en-US" w:eastAsia="zh-CN"/>
              </w:rPr>
              <w:t>未检出~7</w:t>
            </w:r>
          </w:p>
        </w:tc>
        <w:tc>
          <w:tcPr>
            <w:tcW w:w="13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jc w:val="center"/>
        </w:trPr>
        <w:tc>
          <w:tcPr>
            <w:tcW w:w="109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9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0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臭气浓度</w:t>
            </w:r>
          </w:p>
        </w:tc>
        <w:tc>
          <w:tcPr>
            <w:tcW w:w="145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default" w:ascii="Times New Roman" w:hAnsi="Times New Roman" w:cs="Times New Roman"/>
              </w:rPr>
              <w:t>＜</w:t>
            </w:r>
            <w:r>
              <w:rPr>
                <w:rFonts w:hint="default" w:ascii="Times New Roman" w:hAnsi="Times New Roman" w:cs="Times New Roman"/>
                <w:lang w:val="en-US" w:eastAsia="zh-CN"/>
              </w:rPr>
              <w:t>10</w:t>
            </w:r>
          </w:p>
        </w:tc>
        <w:tc>
          <w:tcPr>
            <w:tcW w:w="13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4"/>
              </w:rPr>
              <w:t>20</w:t>
            </w:r>
            <w:r>
              <w:rPr>
                <w:spacing w:val="4"/>
              </w:rPr>
              <w:t>无量纲</w:t>
            </w:r>
          </w:p>
        </w:tc>
        <w:tc>
          <w:tcPr>
            <w:tcW w:w="9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5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达标</w:t>
            </w:r>
          </w:p>
        </w:tc>
      </w:tr>
    </w:tbl>
    <w:p>
      <w:pPr>
        <w:keepNext w:val="0"/>
        <w:keepLines w:val="0"/>
        <w:pageBreakBefore w:val="0"/>
        <w:widowControl/>
        <w:kinsoku w:val="0"/>
        <w:wordWrap/>
        <w:overflowPunct/>
        <w:topLinePunct w:val="0"/>
        <w:autoSpaceDE w:val="0"/>
        <w:autoSpaceDN w:val="0"/>
        <w:bidi w:val="0"/>
        <w:adjustRightInd w:val="0"/>
        <w:snapToGrid w:val="0"/>
        <w:spacing w:before="155" w:line="360" w:lineRule="auto"/>
        <w:ind w:left="0" w:right="0" w:firstLine="480" w:firstLineChars="200"/>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由表</w:t>
      </w:r>
      <w:r>
        <w:rPr>
          <w:rFonts w:ascii="Times New Roman" w:hAnsi="Times New Roman" w:eastAsia="Times New Roman" w:cs="Times New Roman"/>
          <w:spacing w:val="0"/>
          <w:position w:val="0"/>
          <w:sz w:val="24"/>
          <w:szCs w:val="24"/>
        </w:rPr>
        <w:t>4-6</w:t>
      </w:r>
      <w:r>
        <w:rPr>
          <w:rFonts w:ascii="宋体" w:hAnsi="宋体" w:eastAsia="宋体" w:cs="宋体"/>
          <w:spacing w:val="0"/>
          <w:position w:val="0"/>
          <w:sz w:val="24"/>
          <w:szCs w:val="24"/>
        </w:rPr>
        <w:t>可知，本项目所在区域</w:t>
      </w:r>
      <w:r>
        <w:rPr>
          <w:rFonts w:ascii="Times New Roman" w:hAnsi="Times New Roman" w:eastAsia="Times New Roman" w:cs="Times New Roman"/>
          <w:spacing w:val="0"/>
          <w:position w:val="0"/>
          <w:sz w:val="24"/>
          <w:szCs w:val="24"/>
        </w:rPr>
        <w:t>NH</w:t>
      </w:r>
      <w:r>
        <w:rPr>
          <w:rFonts w:hint="eastAsia" w:ascii="Times New Roman" w:hAnsi="Times New Roman" w:eastAsia="宋体" w:cs="Times New Roman"/>
          <w:spacing w:val="0"/>
          <w:position w:val="0"/>
          <w:sz w:val="24"/>
          <w:szCs w:val="24"/>
          <w:vertAlign w:val="subscript"/>
          <w:lang w:val="en-US" w:eastAsia="zh-CN"/>
        </w:rPr>
        <w:t>3</w:t>
      </w:r>
      <w:r>
        <w:rPr>
          <w:rFonts w:ascii="宋体" w:hAnsi="宋体" w:eastAsia="宋体" w:cs="宋体"/>
          <w:spacing w:val="0"/>
          <w:position w:val="0"/>
          <w:sz w:val="24"/>
          <w:szCs w:val="24"/>
        </w:rPr>
        <w:t>、</w:t>
      </w:r>
      <w:r>
        <w:rPr>
          <w:rFonts w:ascii="Times New Roman" w:hAnsi="Times New Roman" w:eastAsia="Times New Roman" w:cs="Times New Roman"/>
          <w:spacing w:val="0"/>
          <w:position w:val="0"/>
          <w:sz w:val="24"/>
          <w:szCs w:val="24"/>
        </w:rPr>
        <w:t>H</w:t>
      </w:r>
      <w:r>
        <w:rPr>
          <w:rFonts w:hint="eastAsia" w:ascii="Times New Roman" w:hAnsi="Times New Roman" w:eastAsia="宋体" w:cs="Times New Roman"/>
          <w:spacing w:val="0"/>
          <w:position w:val="0"/>
          <w:sz w:val="24"/>
          <w:szCs w:val="24"/>
          <w:vertAlign w:val="subscript"/>
          <w:lang w:val="en-US" w:eastAsia="zh-CN"/>
        </w:rPr>
        <w:t>2</w:t>
      </w:r>
      <w:r>
        <w:rPr>
          <w:rFonts w:ascii="Times New Roman" w:hAnsi="Times New Roman" w:eastAsia="Times New Roman" w:cs="Times New Roman"/>
          <w:spacing w:val="0"/>
          <w:position w:val="0"/>
          <w:sz w:val="24"/>
          <w:szCs w:val="24"/>
        </w:rPr>
        <w:t>S1</w:t>
      </w:r>
      <w:r>
        <w:rPr>
          <w:rFonts w:ascii="宋体" w:hAnsi="宋体" w:eastAsia="宋体" w:cs="宋体"/>
          <w:spacing w:val="0"/>
          <w:position w:val="0"/>
          <w:sz w:val="24"/>
          <w:szCs w:val="24"/>
        </w:rPr>
        <w:t>小时均值浓度均满足《环境影响评价技术导则 大气环境》（</w:t>
      </w:r>
      <w:r>
        <w:rPr>
          <w:rFonts w:ascii="Times New Roman" w:hAnsi="Times New Roman" w:eastAsia="Times New Roman" w:cs="Times New Roman"/>
          <w:spacing w:val="0"/>
          <w:position w:val="0"/>
          <w:sz w:val="24"/>
          <w:szCs w:val="24"/>
        </w:rPr>
        <w:t>HJ2.2-2018</w:t>
      </w:r>
      <w:r>
        <w:rPr>
          <w:rFonts w:ascii="宋体" w:hAnsi="宋体" w:eastAsia="宋体" w:cs="宋体"/>
          <w:spacing w:val="0"/>
          <w:position w:val="0"/>
          <w:sz w:val="24"/>
          <w:szCs w:val="24"/>
        </w:rPr>
        <w:t>）附录</w:t>
      </w:r>
      <w:r>
        <w:rPr>
          <w:rFonts w:ascii="Times New Roman" w:hAnsi="Times New Roman" w:eastAsia="Times New Roman" w:cs="Times New Roman"/>
          <w:spacing w:val="0"/>
          <w:position w:val="0"/>
          <w:sz w:val="24"/>
          <w:szCs w:val="24"/>
        </w:rPr>
        <w:t>D</w:t>
      </w:r>
      <w:r>
        <w:rPr>
          <w:rFonts w:ascii="宋体" w:hAnsi="宋体" w:eastAsia="宋体" w:cs="宋体"/>
          <w:spacing w:val="0"/>
          <w:position w:val="0"/>
          <w:sz w:val="24"/>
          <w:szCs w:val="24"/>
        </w:rPr>
        <w:t>中其他污染物空气质量浓度参考限值要，臭气浓度可满足《工业企业设计卫生标准》（</w:t>
      </w:r>
      <w:r>
        <w:rPr>
          <w:rFonts w:ascii="Times New Roman" w:hAnsi="Times New Roman" w:eastAsia="Times New Roman" w:cs="Times New Roman"/>
          <w:spacing w:val="0"/>
          <w:position w:val="0"/>
          <w:sz w:val="24"/>
          <w:szCs w:val="24"/>
        </w:rPr>
        <w:t>TJ36-79</w:t>
      </w:r>
      <w:r>
        <w:rPr>
          <w:rFonts w:ascii="宋体" w:hAnsi="宋体" w:eastAsia="宋体" w:cs="宋体"/>
          <w:spacing w:val="0"/>
          <w:position w:val="0"/>
          <w:sz w:val="24"/>
          <w:szCs w:val="24"/>
        </w:rPr>
        <w:t>）居住区一次最高容许浓度</w:t>
      </w:r>
      <w:r>
        <w:rPr>
          <w:rFonts w:ascii="Times New Roman" w:hAnsi="Times New Roman" w:eastAsia="Times New Roman" w:cs="Times New Roman"/>
          <w:spacing w:val="0"/>
          <w:position w:val="0"/>
          <w:sz w:val="24"/>
          <w:szCs w:val="24"/>
        </w:rPr>
        <w:t>/</w:t>
      </w:r>
      <w:r>
        <w:rPr>
          <w:rFonts w:ascii="宋体" w:hAnsi="宋体" w:eastAsia="宋体" w:cs="宋体"/>
          <w:spacing w:val="0"/>
          <w:position w:val="0"/>
          <w:sz w:val="24"/>
          <w:szCs w:val="24"/>
        </w:rPr>
        <w:t>无量纲限值，说明当地环境空气质量现状较好。</w:t>
      </w:r>
    </w:p>
    <w:p>
      <w:pPr>
        <w:spacing w:before="92" w:line="224" w:lineRule="auto"/>
        <w:outlineLvl w:val="3"/>
        <w:rPr>
          <w:rFonts w:ascii="楷体" w:hAnsi="楷体" w:eastAsia="楷体" w:cs="楷体"/>
          <w:sz w:val="28"/>
          <w:szCs w:val="28"/>
        </w:rPr>
      </w:pPr>
      <w:bookmarkStart w:id="327" w:name="bookmark82"/>
      <w:bookmarkEnd w:id="327"/>
      <w:r>
        <w:rPr>
          <w:rFonts w:ascii="Times New Roman" w:hAnsi="Times New Roman" w:eastAsia="Times New Roman" w:cs="Times New Roman"/>
          <w:spacing w:val="-1"/>
          <w:sz w:val="28"/>
          <w:szCs w:val="28"/>
        </w:rPr>
        <w:t>4.3.2</w:t>
      </w:r>
      <w:r>
        <w:rPr>
          <w:rFonts w:ascii="楷体" w:hAnsi="楷体" w:eastAsia="楷体" w:cs="楷体"/>
          <w:spacing w:val="-1"/>
          <w:sz w:val="28"/>
          <w:szCs w:val="28"/>
        </w:rPr>
        <w:t>地表水环境质量现状调查与评价</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）区域水污染源调查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93" w:right="238" w:firstLine="482"/>
        <w:textAlignment w:val="baseline"/>
        <w:rPr>
          <w:rFonts w:ascii="宋体" w:hAnsi="宋体" w:eastAsia="宋体" w:cs="宋体"/>
          <w:spacing w:val="-3"/>
          <w:sz w:val="24"/>
          <w:szCs w:val="24"/>
        </w:rPr>
      </w:pPr>
      <w:r>
        <w:rPr>
          <w:rFonts w:ascii="宋体" w:hAnsi="宋体" w:eastAsia="宋体" w:cs="宋体"/>
          <w:spacing w:val="2"/>
          <w:sz w:val="24"/>
          <w:szCs w:val="24"/>
        </w:rPr>
        <w:t>本项目废水主要为生产废水和生活污水，其中生产废水包括</w:t>
      </w:r>
      <w:r>
        <w:rPr>
          <w:rFonts w:hint="eastAsia" w:ascii="宋体" w:hAnsi="宋体" w:eastAsia="宋体" w:cs="宋体"/>
          <w:spacing w:val="2"/>
          <w:sz w:val="24"/>
          <w:szCs w:val="24"/>
          <w:lang w:eastAsia="zh-CN"/>
        </w:rPr>
        <w:t>待宰圈冲洗</w:t>
      </w:r>
      <w:r>
        <w:rPr>
          <w:rFonts w:ascii="宋体" w:hAnsi="宋体" w:eastAsia="宋体" w:cs="宋体"/>
          <w:spacing w:val="2"/>
          <w:sz w:val="24"/>
          <w:szCs w:val="24"/>
        </w:rPr>
        <w:t>、</w:t>
      </w:r>
      <w:r>
        <w:rPr>
          <w:rFonts w:hint="eastAsia" w:ascii="宋体" w:hAnsi="宋体" w:eastAsia="宋体" w:cs="宋体"/>
          <w:spacing w:val="2"/>
          <w:sz w:val="24"/>
          <w:szCs w:val="24"/>
          <w:lang w:eastAsia="zh-CN"/>
        </w:rPr>
        <w:t>牛羊胴体</w:t>
      </w:r>
      <w:r>
        <w:rPr>
          <w:rFonts w:ascii="宋体" w:hAnsi="宋体" w:eastAsia="宋体" w:cs="宋体"/>
          <w:spacing w:val="2"/>
          <w:sz w:val="24"/>
          <w:szCs w:val="24"/>
        </w:rPr>
        <w:t>清洁、副产品清洁、冲洗设备、车间地面冲洗等屠宰过程产生的废水。本项目厂区建设有污水处理站，生活污水与生产废水一起排入自建污水处理站处理进行处理后，排入</w:t>
      </w:r>
      <w:r>
        <w:rPr>
          <w:rFonts w:hint="eastAsia" w:ascii="宋体" w:hAnsi="宋体" w:eastAsia="宋体" w:cs="宋体"/>
          <w:spacing w:val="2"/>
          <w:sz w:val="24"/>
          <w:szCs w:val="24"/>
          <w:lang w:eastAsia="zh-CN"/>
        </w:rPr>
        <w:t>叶县县城</w:t>
      </w:r>
      <w:r>
        <w:rPr>
          <w:rFonts w:ascii="宋体" w:hAnsi="宋体" w:eastAsia="宋体" w:cs="宋体"/>
          <w:spacing w:val="2"/>
          <w:sz w:val="24"/>
          <w:szCs w:val="24"/>
        </w:rPr>
        <w:t>污水处理厂，本项目废水不直接进入地表水体，为间接排</w:t>
      </w:r>
      <w:r>
        <w:rPr>
          <w:rFonts w:ascii="宋体" w:hAnsi="宋体" w:eastAsia="宋体" w:cs="宋体"/>
          <w:spacing w:val="-3"/>
          <w:sz w:val="24"/>
          <w:szCs w:val="24"/>
        </w:rPr>
        <w:t>放项目。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125" w:right="113" w:firstLine="476"/>
        <w:textAlignment w:val="baseline"/>
        <w:rPr>
          <w:rFonts w:ascii="宋体" w:hAnsi="宋体" w:eastAsia="宋体" w:cs="宋体"/>
          <w:sz w:val="24"/>
          <w:szCs w:val="24"/>
        </w:rPr>
      </w:pPr>
      <w:r>
        <w:rPr>
          <w:rFonts w:ascii="宋体" w:hAnsi="宋体" w:eastAsia="宋体" w:cs="宋体"/>
          <w:spacing w:val="1"/>
          <w:sz w:val="24"/>
          <w:szCs w:val="24"/>
        </w:rPr>
        <w:t>根据《环境影响评价技术导则 地表水环境》（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2.3-2018</w:t>
      </w:r>
      <w:r>
        <w:rPr>
          <w:rFonts w:ascii="宋体" w:hAnsi="宋体" w:eastAsia="宋体" w:cs="宋体"/>
          <w:spacing w:val="1"/>
          <w:sz w:val="24"/>
          <w:szCs w:val="24"/>
        </w:rPr>
        <w:t>）中</w:t>
      </w:r>
      <w:r>
        <w:rPr>
          <w:rFonts w:ascii="宋体" w:hAnsi="宋体" w:eastAsia="宋体" w:cs="宋体"/>
          <w:sz w:val="24"/>
          <w:szCs w:val="24"/>
        </w:rPr>
        <w:t>规定的地表水环</w:t>
      </w:r>
      <w:r>
        <w:rPr>
          <w:rFonts w:ascii="宋体" w:hAnsi="宋体" w:eastAsia="宋体" w:cs="宋体"/>
          <w:spacing w:val="2"/>
          <w:sz w:val="24"/>
          <w:szCs w:val="24"/>
        </w:rPr>
        <w:t>境影响评价级别的判定方法，确定本项目地表水环</w:t>
      </w:r>
      <w:r>
        <w:rPr>
          <w:rFonts w:ascii="宋体" w:hAnsi="宋体" w:eastAsia="宋体" w:cs="宋体"/>
          <w:spacing w:val="1"/>
          <w:sz w:val="24"/>
          <w:szCs w:val="24"/>
        </w:rPr>
        <w:t>评工作等级为三级</w:t>
      </w:r>
      <w:r>
        <w:rPr>
          <w:rFonts w:ascii="Times New Roman" w:hAnsi="Times New Roman" w:eastAsia="Times New Roman" w:cs="Times New Roman"/>
          <w:spacing w:val="1"/>
          <w:sz w:val="24"/>
          <w:szCs w:val="24"/>
        </w:rPr>
        <w:t>B</w:t>
      </w:r>
      <w:r>
        <w:rPr>
          <w:rFonts w:ascii="宋体" w:hAnsi="宋体" w:eastAsia="宋体" w:cs="宋体"/>
          <w:spacing w:val="1"/>
          <w:sz w:val="24"/>
          <w:szCs w:val="24"/>
        </w:rPr>
        <w:t>，本次区域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25"/>
        <w:textAlignment w:val="baseline"/>
        <w:rPr>
          <w:rFonts w:ascii="宋体" w:hAnsi="宋体" w:eastAsia="宋体" w:cs="宋体"/>
          <w:sz w:val="24"/>
          <w:szCs w:val="24"/>
        </w:rPr>
      </w:pPr>
      <w:r>
        <w:rPr>
          <w:rFonts w:ascii="宋体" w:hAnsi="宋体" w:eastAsia="宋体" w:cs="宋体"/>
          <w:spacing w:val="-1"/>
          <w:sz w:val="24"/>
          <w:szCs w:val="24"/>
        </w:rPr>
        <w:t>水污染源调查仅对项目废水处理措施及可行性进行分析，具体见章节</w:t>
      </w:r>
      <w:r>
        <w:rPr>
          <w:rFonts w:ascii="Times New Roman" w:hAnsi="Times New Roman" w:eastAsia="Times New Roman" w:cs="Times New Roman"/>
          <w:spacing w:val="-1"/>
          <w:sz w:val="24"/>
          <w:szCs w:val="24"/>
        </w:rPr>
        <w:t>6.2.2</w:t>
      </w:r>
      <w:r>
        <w:rPr>
          <w:rFonts w:ascii="宋体" w:hAnsi="宋体" w:eastAsia="宋体" w:cs="宋体"/>
          <w:spacing w:val="-1"/>
          <w:sz w:val="24"/>
          <w:szCs w:val="24"/>
        </w:rPr>
        <w:t>。</w:t>
      </w:r>
    </w:p>
    <w:p>
      <w:pPr>
        <w:keepNext w:val="0"/>
        <w:keepLines w:val="0"/>
        <w:pageBreakBefore w:val="0"/>
        <w:widowControl w:val="0"/>
        <w:wordWrap/>
        <w:overflowPunct/>
        <w:topLinePunct w:val="0"/>
        <w:bidi w:val="0"/>
        <w:spacing w:line="360" w:lineRule="auto"/>
        <w:ind w:left="0" w:firstLine="468" w:firstLineChars="200"/>
        <w:rPr>
          <w:rFonts w:ascii="宋体" w:hAnsi="宋体" w:eastAsia="宋体" w:cs="宋体"/>
          <w:sz w:val="24"/>
          <w:szCs w:val="24"/>
        </w:rPr>
      </w:pP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2</w:t>
      </w:r>
      <w:r>
        <w:rPr>
          <w:rFonts w:hint="eastAsia" w:ascii="Times New Roman" w:hAnsi="Times New Roman" w:eastAsia="宋体" w:cs="Times New Roman"/>
          <w:spacing w:val="-3"/>
          <w:sz w:val="24"/>
          <w:szCs w:val="24"/>
          <w:lang w:eastAsia="zh-CN"/>
        </w:rPr>
        <w:t>）</w:t>
      </w:r>
      <w:r>
        <w:rPr>
          <w:rFonts w:ascii="宋体" w:hAnsi="宋体" w:eastAsia="宋体" w:cs="宋体"/>
          <w:spacing w:val="-3"/>
          <w:sz w:val="24"/>
          <w:szCs w:val="24"/>
        </w:rPr>
        <w:t>区域水环境质量现状调查</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eastAsia="宋体" w:cs="Times New Roman"/>
          <w:snapToGrid/>
          <w:kern w:val="2"/>
          <w:sz w:val="24"/>
          <w:szCs w:val="24"/>
          <w:u w:val="none"/>
          <w:lang w:eastAsia="zh-CN"/>
        </w:rPr>
      </w:pPr>
      <w:r>
        <w:rPr>
          <w:rFonts w:ascii="Times New Roman" w:hAnsi="Times New Roman" w:eastAsia="宋体" w:cs="Times New Roman"/>
          <w:snapToGrid/>
          <w:kern w:val="2"/>
          <w:sz w:val="24"/>
          <w:szCs w:val="24"/>
          <w:u w:val="none"/>
          <w:lang w:eastAsia="zh-CN"/>
        </w:rPr>
        <w:t>本项目营运期废水经</w:t>
      </w:r>
      <w:r>
        <w:rPr>
          <w:rFonts w:hint="eastAsia" w:ascii="Times New Roman" w:hAnsi="Times New Roman" w:eastAsia="宋体" w:cs="Times New Roman"/>
          <w:snapToGrid/>
          <w:kern w:val="2"/>
          <w:sz w:val="24"/>
          <w:szCs w:val="24"/>
          <w:u w:val="none"/>
          <w:lang w:eastAsia="zh-CN"/>
        </w:rPr>
        <w:t>厂区</w:t>
      </w:r>
      <w:r>
        <w:rPr>
          <w:rFonts w:ascii="Times New Roman" w:hAnsi="Times New Roman" w:eastAsia="宋体" w:cs="Times New Roman"/>
          <w:snapToGrid/>
          <w:kern w:val="2"/>
          <w:sz w:val="24"/>
          <w:szCs w:val="24"/>
          <w:u w:val="none"/>
          <w:lang w:eastAsia="zh-CN"/>
        </w:rPr>
        <w:t>污水处理站处理后排入</w:t>
      </w:r>
      <w:r>
        <w:rPr>
          <w:rFonts w:hint="eastAsia" w:ascii="Times New Roman" w:hAnsi="Times New Roman" w:eastAsia="宋体" w:cs="Times New Roman"/>
          <w:snapToGrid/>
          <w:kern w:val="2"/>
          <w:sz w:val="24"/>
          <w:szCs w:val="24"/>
          <w:u w:val="none"/>
          <w:lang w:eastAsia="zh-CN"/>
        </w:rPr>
        <w:t>叶县县城</w:t>
      </w:r>
      <w:r>
        <w:rPr>
          <w:rFonts w:ascii="Times New Roman" w:hAnsi="Times New Roman" w:eastAsia="宋体" w:cs="Times New Roman"/>
          <w:snapToGrid/>
          <w:kern w:val="2"/>
          <w:sz w:val="24"/>
          <w:szCs w:val="24"/>
          <w:u w:val="none"/>
          <w:lang w:eastAsia="zh-CN"/>
        </w:rPr>
        <w:t>污水处理厂，</w:t>
      </w:r>
      <w:r>
        <w:rPr>
          <w:rFonts w:hint="eastAsia" w:ascii="Times New Roman" w:hAnsi="Times New Roman" w:eastAsia="宋体" w:cs="Times New Roman"/>
          <w:snapToGrid/>
          <w:kern w:val="2"/>
          <w:sz w:val="24"/>
          <w:szCs w:val="24"/>
          <w:u w:val="none"/>
          <w:lang w:eastAsia="zh-CN"/>
        </w:rPr>
        <w:t>污水处理厂处理后排入灰河。根据《河南省水环境功能区划（修订）》，沙河（白龟山水库出口</w:t>
      </w:r>
      <w:r>
        <w:rPr>
          <w:rFonts w:ascii="Times New Roman" w:hAnsi="Times New Roman" w:eastAsia="宋体" w:cs="Times New Roman"/>
          <w:snapToGrid/>
          <w:kern w:val="2"/>
          <w:sz w:val="24"/>
          <w:szCs w:val="24"/>
          <w:u w:val="none"/>
          <w:lang w:eastAsia="zh-CN"/>
        </w:rPr>
        <w:t>-</w:t>
      </w:r>
      <w:r>
        <w:rPr>
          <w:rFonts w:hint="eastAsia" w:ascii="Times New Roman" w:hAnsi="Times New Roman" w:eastAsia="宋体" w:cs="Times New Roman"/>
          <w:snapToGrid/>
          <w:kern w:val="2"/>
          <w:sz w:val="24"/>
          <w:szCs w:val="24"/>
          <w:u w:val="none"/>
          <w:lang w:eastAsia="zh-CN"/>
        </w:rPr>
        <w:t>马湾段）被划分为</w:t>
      </w:r>
      <w:r>
        <w:rPr>
          <w:rFonts w:hint="eastAsia" w:ascii="宋体" w:hAnsi="宋体" w:eastAsia="宋体" w:cs="宋体"/>
          <w:snapToGrid/>
          <w:kern w:val="2"/>
          <w:sz w:val="24"/>
          <w:szCs w:val="24"/>
          <w:u w:val="none"/>
          <w:lang w:eastAsia="zh-CN"/>
        </w:rPr>
        <w:t>Ⅲ</w:t>
      </w:r>
      <w:r>
        <w:rPr>
          <w:rFonts w:hint="eastAsia" w:ascii="Times New Roman" w:hAnsi="Times New Roman" w:eastAsia="宋体" w:cs="Times New Roman"/>
          <w:snapToGrid/>
          <w:kern w:val="2"/>
          <w:sz w:val="24"/>
          <w:szCs w:val="24"/>
          <w:u w:val="none"/>
          <w:lang w:eastAsia="zh-CN"/>
        </w:rPr>
        <w:t>类水体，灰河为沙河支流，水体功能为</w:t>
      </w:r>
      <w:r>
        <w:rPr>
          <w:rFonts w:hint="eastAsia" w:ascii="宋体" w:hAnsi="宋体" w:eastAsia="宋体" w:cs="宋体"/>
          <w:snapToGrid/>
          <w:kern w:val="2"/>
          <w:sz w:val="24"/>
          <w:szCs w:val="24"/>
          <w:u w:val="none"/>
          <w:lang w:eastAsia="zh-CN"/>
        </w:rPr>
        <w:t>Ⅳ</w:t>
      </w:r>
      <w:r>
        <w:rPr>
          <w:rFonts w:hint="eastAsia" w:ascii="Times New Roman" w:hAnsi="Times New Roman" w:eastAsia="宋体" w:cs="Times New Roman"/>
          <w:snapToGrid/>
          <w:kern w:val="2"/>
          <w:sz w:val="24"/>
          <w:szCs w:val="24"/>
          <w:u w:val="none"/>
          <w:lang w:eastAsia="zh-CN"/>
        </w:rPr>
        <w:t>类。根据河南省生态环境厅关于印发《“十四五”及</w:t>
      </w:r>
      <w:r>
        <w:rPr>
          <w:rFonts w:ascii="Times New Roman" w:hAnsi="Times New Roman" w:eastAsia="宋体" w:cs="Times New Roman"/>
          <w:snapToGrid/>
          <w:kern w:val="2"/>
          <w:sz w:val="24"/>
          <w:szCs w:val="24"/>
          <w:u w:val="none"/>
          <w:lang w:eastAsia="zh-CN"/>
        </w:rPr>
        <w:t>2021</w:t>
      </w:r>
      <w:r>
        <w:rPr>
          <w:rFonts w:hint="eastAsia" w:ascii="Times New Roman" w:hAnsi="Times New Roman" w:eastAsia="宋体" w:cs="Times New Roman"/>
          <w:snapToGrid/>
          <w:kern w:val="2"/>
          <w:sz w:val="24"/>
          <w:szCs w:val="24"/>
          <w:u w:val="none"/>
          <w:lang w:eastAsia="zh-CN"/>
        </w:rPr>
        <w:t>年地表水环境质量目标的函》（豫环函〔</w:t>
      </w:r>
      <w:r>
        <w:rPr>
          <w:rFonts w:ascii="Times New Roman" w:hAnsi="Times New Roman" w:eastAsia="宋体" w:cs="Times New Roman"/>
          <w:snapToGrid/>
          <w:kern w:val="2"/>
          <w:sz w:val="24"/>
          <w:szCs w:val="24"/>
          <w:u w:val="none"/>
          <w:lang w:eastAsia="zh-CN"/>
        </w:rPr>
        <w:t>2021</w:t>
      </w:r>
      <w:r>
        <w:rPr>
          <w:rFonts w:hint="eastAsia" w:ascii="Times New Roman" w:hAnsi="Times New Roman" w:eastAsia="宋体" w:cs="Times New Roman"/>
          <w:snapToGrid/>
          <w:kern w:val="2"/>
          <w:sz w:val="24"/>
          <w:szCs w:val="24"/>
          <w:u w:val="none"/>
          <w:lang w:eastAsia="zh-CN"/>
        </w:rPr>
        <w:t>〕</w:t>
      </w:r>
      <w:r>
        <w:rPr>
          <w:rFonts w:ascii="Times New Roman" w:hAnsi="Times New Roman" w:eastAsia="宋体" w:cs="Times New Roman"/>
          <w:snapToGrid/>
          <w:kern w:val="2"/>
          <w:sz w:val="24"/>
          <w:szCs w:val="24"/>
          <w:u w:val="none"/>
          <w:lang w:eastAsia="zh-CN"/>
        </w:rPr>
        <w:t>154</w:t>
      </w:r>
      <w:r>
        <w:rPr>
          <w:rFonts w:hint="eastAsia" w:ascii="Times New Roman" w:hAnsi="Times New Roman" w:eastAsia="宋体" w:cs="Times New Roman"/>
          <w:snapToGrid/>
          <w:kern w:val="2"/>
          <w:sz w:val="24"/>
          <w:szCs w:val="24"/>
          <w:u w:val="none"/>
          <w:lang w:eastAsia="zh-CN"/>
        </w:rPr>
        <w:t>号）平顶山市“十四五”及</w:t>
      </w:r>
      <w:r>
        <w:rPr>
          <w:rFonts w:ascii="Times New Roman" w:hAnsi="Times New Roman" w:eastAsia="宋体" w:cs="Times New Roman"/>
          <w:snapToGrid/>
          <w:kern w:val="2"/>
          <w:sz w:val="24"/>
          <w:szCs w:val="24"/>
          <w:u w:val="none"/>
          <w:lang w:eastAsia="zh-CN"/>
        </w:rPr>
        <w:t>2021</w:t>
      </w:r>
      <w:r>
        <w:rPr>
          <w:rFonts w:hint="eastAsia" w:ascii="Times New Roman" w:hAnsi="Times New Roman" w:eastAsia="宋体" w:cs="Times New Roman"/>
          <w:snapToGrid/>
          <w:kern w:val="2"/>
          <w:sz w:val="24"/>
          <w:szCs w:val="24"/>
          <w:u w:val="none"/>
          <w:lang w:eastAsia="zh-CN"/>
        </w:rPr>
        <w:t>年地表水环境质量目标，灰河水寨乡屈庄断面“十四五”目标为Ⅳ类。</w:t>
      </w:r>
    </w:p>
    <w:p>
      <w:pPr>
        <w:keepNext w:val="0"/>
        <w:keepLines w:val="0"/>
        <w:pageBreakBefore w:val="0"/>
        <w:widowControl w:val="0"/>
        <w:wordWrap/>
        <w:overflowPunct/>
        <w:topLinePunct w:val="0"/>
        <w:bidi w:val="0"/>
        <w:spacing w:line="360" w:lineRule="auto"/>
        <w:ind w:left="0" w:firstLine="480" w:firstLineChars="200"/>
        <w:rPr>
          <w:rFonts w:ascii="宋体" w:hAnsi="宋体" w:eastAsia="宋体" w:cs="宋体"/>
          <w:sz w:val="24"/>
          <w:szCs w:val="24"/>
        </w:rPr>
      </w:pPr>
      <w:r>
        <w:rPr>
          <w:rFonts w:hint="eastAsia" w:ascii="Times New Roman" w:hAnsi="Times New Roman" w:eastAsia="宋体" w:cs="Times New Roman"/>
          <w:snapToGrid/>
          <w:kern w:val="2"/>
          <w:sz w:val="24"/>
          <w:szCs w:val="24"/>
          <w:lang w:eastAsia="zh-CN"/>
        </w:rPr>
        <w:t>为了解项目区域地表水体的水质现状，本次评价采用2021年平顶山生态环保部门发布叶县灰河水寨屈庄断面、沙河舞阳马湾断面的监测数据</w:t>
      </w:r>
      <w:r>
        <w:rPr>
          <w:rFonts w:ascii="Times New Roman" w:hAnsi="Times New Roman" w:eastAsia="宋体" w:cs="Times New Roman"/>
          <w:snapToGrid/>
          <w:kern w:val="2"/>
          <w:sz w:val="24"/>
          <w:szCs w:val="24"/>
          <w:lang w:eastAsia="zh-CN"/>
        </w:rPr>
        <w:t>，地表水环境质量监测及调查情况见表</w:t>
      </w:r>
      <w:r>
        <w:rPr>
          <w:rFonts w:hint="eastAsia" w:ascii="Times New Roman" w:hAnsi="Times New Roman" w:eastAsia="宋体" w:cs="Times New Roman"/>
          <w:snapToGrid/>
          <w:kern w:val="2"/>
          <w:sz w:val="24"/>
          <w:szCs w:val="24"/>
          <w:highlight w:val="none"/>
          <w:lang w:val="en-US" w:eastAsia="zh-CN"/>
        </w:rPr>
        <w:t>4</w:t>
      </w:r>
      <w:r>
        <w:rPr>
          <w:rFonts w:hint="eastAsia" w:ascii="Times New Roman" w:hAnsi="Times New Roman" w:eastAsia="宋体" w:cs="Times New Roman"/>
          <w:snapToGrid/>
          <w:kern w:val="2"/>
          <w:sz w:val="24"/>
          <w:szCs w:val="24"/>
          <w:highlight w:val="none"/>
          <w:lang w:eastAsia="zh-CN"/>
        </w:rPr>
        <w:t>-</w:t>
      </w:r>
      <w:r>
        <w:rPr>
          <w:rFonts w:hint="eastAsia" w:ascii="Times New Roman" w:hAnsi="Times New Roman" w:eastAsia="宋体" w:cs="Times New Roman"/>
          <w:snapToGrid/>
          <w:kern w:val="2"/>
          <w:sz w:val="24"/>
          <w:szCs w:val="24"/>
          <w:highlight w:val="none"/>
          <w:lang w:val="en-US" w:eastAsia="zh-CN"/>
        </w:rPr>
        <w:t>9</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）调查断面及调查因子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ascii="宋体" w:hAnsi="宋体" w:eastAsia="宋体" w:cs="宋体"/>
          <w:sz w:val="24"/>
          <w:szCs w:val="24"/>
        </w:rPr>
      </w:pPr>
      <w:r>
        <w:rPr>
          <w:rFonts w:ascii="宋体" w:hAnsi="宋体" w:eastAsia="宋体" w:cs="宋体"/>
          <w:spacing w:val="-1"/>
          <w:sz w:val="24"/>
          <w:szCs w:val="24"/>
        </w:rPr>
        <w:t>本次调查断面及调查因子见表</w:t>
      </w:r>
      <w:r>
        <w:rPr>
          <w:rFonts w:ascii="Times New Roman" w:hAnsi="Times New Roman" w:eastAsia="Times New Roman" w:cs="Times New Roman"/>
          <w:spacing w:val="-1"/>
          <w:sz w:val="24"/>
          <w:szCs w:val="24"/>
        </w:rPr>
        <w:t>4-</w:t>
      </w:r>
      <w:r>
        <w:rPr>
          <w:rFonts w:hint="eastAsia" w:ascii="Times New Roman" w:hAnsi="Times New Roman" w:eastAsia="宋体" w:cs="Times New Roman"/>
          <w:spacing w:val="-1"/>
          <w:sz w:val="24"/>
          <w:szCs w:val="24"/>
          <w:lang w:val="en-US" w:eastAsia="zh-CN"/>
        </w:rPr>
        <w:t>9</w:t>
      </w:r>
      <w:r>
        <w:rPr>
          <w:rFonts w:ascii="宋体" w:hAnsi="宋体" w:eastAsia="宋体" w:cs="宋体"/>
          <w:spacing w:val="-1"/>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442" w:right="408" w:firstLine="482" w:firstLineChars="200"/>
        <w:jc w:val="center"/>
        <w:textAlignment w:val="auto"/>
        <w:rPr>
          <w:rFonts w:ascii="Times New Roman" w:hAnsi="Times New Roman" w:eastAsia="宋体" w:cs="宋体"/>
          <w:b/>
          <w:bCs/>
          <w:color w:val="000000"/>
          <w:kern w:val="2"/>
          <w:sz w:val="24"/>
          <w:szCs w:val="24"/>
          <w:lang w:val="zh-CN" w:eastAsia="zh-CN" w:bidi="zh-CN"/>
        </w:rPr>
      </w:pPr>
      <w:r>
        <w:rPr>
          <w:rFonts w:hint="eastAsia" w:ascii="Times New Roman" w:hAnsi="Times New Roman" w:eastAsia="宋体" w:cs="宋体"/>
          <w:b/>
          <w:bCs/>
          <w:color w:val="000000"/>
          <w:kern w:val="2"/>
          <w:sz w:val="24"/>
          <w:szCs w:val="24"/>
          <w:lang w:val="zh-CN" w:eastAsia="zh-CN" w:bidi="zh-CN"/>
        </w:rPr>
        <w:t>表</w:t>
      </w:r>
      <w:r>
        <w:rPr>
          <w:rFonts w:hint="eastAsia" w:ascii="Times New Roman" w:hAnsi="Times New Roman" w:eastAsia="宋体" w:cs="宋体"/>
          <w:b/>
          <w:bCs/>
          <w:color w:val="000000"/>
          <w:kern w:val="2"/>
          <w:sz w:val="24"/>
          <w:szCs w:val="24"/>
          <w:lang w:val="en-US" w:eastAsia="zh-CN" w:bidi="zh-CN"/>
        </w:rPr>
        <w:t xml:space="preserve">4-9  </w:t>
      </w:r>
      <w:r>
        <w:rPr>
          <w:rFonts w:hint="eastAsia" w:ascii="Times New Roman" w:hAnsi="Times New Roman" w:eastAsia="宋体" w:cs="宋体"/>
          <w:b/>
          <w:bCs/>
          <w:color w:val="000000"/>
          <w:kern w:val="2"/>
          <w:sz w:val="24"/>
          <w:szCs w:val="24"/>
          <w:lang w:val="zh-CN" w:eastAsia="zh-CN" w:bidi="zh-CN"/>
        </w:rPr>
        <w:t>地表水质量监测情况</w:t>
      </w:r>
    </w:p>
    <w:tbl>
      <w:tblPr>
        <w:tblStyle w:val="20"/>
        <w:tblW w:w="906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270"/>
        <w:gridCol w:w="3672"/>
        <w:gridCol w:w="1190"/>
        <w:gridCol w:w="1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序号</w:t>
            </w:r>
          </w:p>
        </w:tc>
        <w:tc>
          <w:tcPr>
            <w:tcW w:w="1270"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地表水体</w:t>
            </w:r>
          </w:p>
        </w:tc>
        <w:tc>
          <w:tcPr>
            <w:tcW w:w="3672"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监测断面名称</w:t>
            </w:r>
          </w:p>
        </w:tc>
        <w:tc>
          <w:tcPr>
            <w:tcW w:w="1190"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相对位置</w:t>
            </w:r>
          </w:p>
        </w:tc>
        <w:tc>
          <w:tcPr>
            <w:tcW w:w="198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水功能区划类别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1</w:t>
            </w:r>
          </w:p>
        </w:tc>
        <w:tc>
          <w:tcPr>
            <w:tcW w:w="1270"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灰河</w:t>
            </w:r>
          </w:p>
        </w:tc>
        <w:tc>
          <w:tcPr>
            <w:tcW w:w="3672"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叶县水寨屈庄断面</w:t>
            </w:r>
          </w:p>
        </w:tc>
        <w:tc>
          <w:tcPr>
            <w:tcW w:w="1190"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下游</w:t>
            </w:r>
          </w:p>
        </w:tc>
        <w:tc>
          <w:tcPr>
            <w:tcW w:w="198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IV类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2</w:t>
            </w:r>
          </w:p>
        </w:tc>
        <w:tc>
          <w:tcPr>
            <w:tcW w:w="1270"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沙河</w:t>
            </w:r>
          </w:p>
        </w:tc>
        <w:tc>
          <w:tcPr>
            <w:tcW w:w="3672"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舞阳马湾断面</w:t>
            </w:r>
          </w:p>
        </w:tc>
        <w:tc>
          <w:tcPr>
            <w:tcW w:w="1190"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下游</w:t>
            </w:r>
          </w:p>
        </w:tc>
        <w:tc>
          <w:tcPr>
            <w:tcW w:w="198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kern w:val="21"/>
                <w:sz w:val="21"/>
                <w:szCs w:val="21"/>
                <w:lang w:eastAsia="zh-CN"/>
              </w:rPr>
            </w:pPr>
            <w:r>
              <w:rPr>
                <w:rFonts w:hint="default" w:ascii="Times New Roman" w:hAnsi="Times New Roman" w:eastAsia="宋体" w:cs="Times New Roman"/>
                <w:snapToGrid/>
                <w:kern w:val="21"/>
                <w:sz w:val="21"/>
                <w:szCs w:val="21"/>
                <w:lang w:eastAsia="zh-CN"/>
              </w:rPr>
              <w:t>III类</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t>（2）检出方法及检出限值</w:t>
      </w:r>
    </w:p>
    <w:p>
      <w:pPr>
        <w:keepNext w:val="0"/>
        <w:keepLines w:val="0"/>
        <w:pageBreakBefore w:val="0"/>
        <w:widowControl w:val="0"/>
        <w:kinsoku/>
        <w:wordWrap/>
        <w:overflowPunct/>
        <w:topLinePunct w:val="0"/>
        <w:autoSpaceDE/>
        <w:autoSpaceDN/>
        <w:bidi w:val="0"/>
        <w:adjustRightInd/>
        <w:snapToGrid/>
        <w:spacing w:line="240" w:lineRule="auto"/>
        <w:ind w:right="408"/>
        <w:jc w:val="center"/>
        <w:textAlignment w:val="auto"/>
        <w:rPr>
          <w:rFonts w:ascii="Times New Roman" w:hAnsi="Times New Roman" w:eastAsia="宋体" w:cs="宋体"/>
          <w:b/>
          <w:bCs/>
          <w:color w:val="000000"/>
          <w:kern w:val="2"/>
          <w:sz w:val="24"/>
          <w:szCs w:val="24"/>
          <w:lang w:val="zh-CN" w:eastAsia="zh-CN" w:bidi="zh-CN"/>
        </w:rPr>
      </w:pPr>
      <w:r>
        <w:rPr>
          <w:rFonts w:hint="eastAsia" w:ascii="Times New Roman" w:hAnsi="Times New Roman" w:eastAsia="宋体" w:cs="宋体"/>
          <w:b/>
          <w:bCs/>
          <w:color w:val="000000"/>
          <w:kern w:val="2"/>
          <w:sz w:val="24"/>
          <w:szCs w:val="24"/>
          <w:lang w:val="zh-CN" w:eastAsia="zh-CN" w:bidi="zh-CN"/>
        </w:rPr>
        <w:t>表</w:t>
      </w:r>
      <w:r>
        <w:rPr>
          <w:rFonts w:hint="eastAsia" w:ascii="Times New Roman" w:hAnsi="Times New Roman" w:eastAsia="宋体" w:cs="宋体"/>
          <w:b/>
          <w:bCs/>
          <w:color w:val="000000"/>
          <w:kern w:val="2"/>
          <w:sz w:val="24"/>
          <w:szCs w:val="24"/>
          <w:lang w:val="en-US" w:eastAsia="zh-CN" w:bidi="zh-CN"/>
        </w:rPr>
        <w:t xml:space="preserve">4-10    </w:t>
      </w:r>
      <w:r>
        <w:rPr>
          <w:rFonts w:hint="eastAsia" w:ascii="Times New Roman" w:hAnsi="Times New Roman" w:eastAsia="宋体" w:cs="宋体"/>
          <w:b/>
          <w:bCs/>
          <w:color w:val="000000"/>
          <w:kern w:val="2"/>
          <w:sz w:val="24"/>
          <w:szCs w:val="24"/>
          <w:lang w:val="zh-CN" w:eastAsia="zh-CN" w:bidi="zh-CN"/>
        </w:rPr>
        <w:t>地表水环境各因子检测方法及检出限</w:t>
      </w:r>
    </w:p>
    <w:tbl>
      <w:tblPr>
        <w:tblStyle w:val="24"/>
        <w:tblW w:w="8876"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94"/>
        <w:gridCol w:w="4215"/>
        <w:gridCol w:w="2109"/>
        <w:gridCol w:w="145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jc w:val="center"/>
        </w:trPr>
        <w:tc>
          <w:tcPr>
            <w:tcW w:w="1094"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检测项目</w:t>
            </w:r>
          </w:p>
        </w:tc>
        <w:tc>
          <w:tcPr>
            <w:tcW w:w="421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检测标准（方法）</w:t>
            </w:r>
          </w:p>
        </w:tc>
        <w:tc>
          <w:tcPr>
            <w:tcW w:w="210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检测仪器</w:t>
            </w:r>
          </w:p>
        </w:tc>
        <w:tc>
          <w:tcPr>
            <w:tcW w:w="1458"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检出限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jc w:val="center"/>
        </w:trPr>
        <w:tc>
          <w:tcPr>
            <w:tcW w:w="1094"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Times New Roman" w:hAnsi="Times New Roman" w:eastAsia="Times New Roman" w:cs="Times New Roman"/>
                <w:snapToGrid/>
                <w:kern w:val="21"/>
                <w:sz w:val="21"/>
                <w:szCs w:val="21"/>
                <w:lang w:eastAsia="zh-CN"/>
              </w:rPr>
              <w:t>pH</w:t>
            </w:r>
            <w:r>
              <w:rPr>
                <w:rFonts w:ascii="宋体" w:hAnsi="宋体" w:eastAsia="宋体" w:cs="宋体"/>
                <w:snapToGrid/>
                <w:kern w:val="21"/>
                <w:sz w:val="21"/>
                <w:szCs w:val="21"/>
                <w:lang w:eastAsia="zh-CN"/>
              </w:rPr>
              <w:t>值</w:t>
            </w:r>
          </w:p>
        </w:tc>
        <w:tc>
          <w:tcPr>
            <w:tcW w:w="421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 xml:space="preserve">《水质 </w:t>
            </w:r>
            <w:r>
              <w:rPr>
                <w:rFonts w:ascii="Times New Roman" w:hAnsi="Times New Roman" w:eastAsia="Times New Roman" w:cs="Times New Roman"/>
                <w:snapToGrid/>
                <w:kern w:val="21"/>
                <w:sz w:val="21"/>
                <w:szCs w:val="21"/>
                <w:lang w:eastAsia="zh-CN"/>
              </w:rPr>
              <w:t xml:space="preserve">pH </w:t>
            </w:r>
            <w:r>
              <w:rPr>
                <w:rFonts w:ascii="宋体" w:hAnsi="宋体" w:eastAsia="宋体" w:cs="宋体"/>
                <w:snapToGrid/>
                <w:kern w:val="21"/>
                <w:sz w:val="21"/>
                <w:szCs w:val="21"/>
                <w:lang w:eastAsia="zh-CN"/>
              </w:rPr>
              <w:t xml:space="preserve">值的测定 玻璃电极法》 </w:t>
            </w:r>
            <w:r>
              <w:rPr>
                <w:rFonts w:ascii="Times New Roman" w:hAnsi="Times New Roman" w:eastAsia="Times New Roman" w:cs="Times New Roman"/>
                <w:snapToGrid/>
                <w:kern w:val="21"/>
                <w:sz w:val="21"/>
                <w:szCs w:val="21"/>
                <w:lang w:eastAsia="zh-CN"/>
              </w:rPr>
              <w:t>GB</w:t>
            </w:r>
            <w:r>
              <w:rPr>
                <w:rFonts w:ascii="Times New Roman" w:hAnsi="Times New Roman" w:eastAsia="Times New Roman" w:cs="Times New Roman"/>
                <w:snapToGrid/>
                <w:w w:val="101"/>
                <w:kern w:val="21"/>
                <w:sz w:val="21"/>
                <w:szCs w:val="21"/>
                <w:lang w:eastAsia="zh-CN"/>
              </w:rPr>
              <w:t xml:space="preserve"> </w:t>
            </w:r>
            <w:r>
              <w:rPr>
                <w:rFonts w:ascii="Times New Roman" w:hAnsi="Times New Roman" w:eastAsia="Times New Roman" w:cs="Times New Roman"/>
                <w:snapToGrid/>
                <w:kern w:val="21"/>
                <w:sz w:val="21"/>
                <w:szCs w:val="21"/>
                <w:lang w:eastAsia="zh-CN"/>
              </w:rPr>
              <w:t>6920- 1986</w:t>
            </w:r>
          </w:p>
        </w:tc>
        <w:tc>
          <w:tcPr>
            <w:tcW w:w="210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Times New Roman" w:hAnsi="Times New Roman" w:eastAsia="Times New Roman" w:cs="Times New Roman"/>
                <w:snapToGrid/>
                <w:kern w:val="21"/>
                <w:sz w:val="21"/>
                <w:szCs w:val="21"/>
                <w:lang w:eastAsia="zh-CN"/>
              </w:rPr>
              <w:t>pH</w:t>
            </w:r>
            <w:r>
              <w:rPr>
                <w:rFonts w:ascii="宋体" w:hAnsi="宋体" w:eastAsia="宋体" w:cs="宋体"/>
                <w:snapToGrid/>
                <w:kern w:val="21"/>
                <w:sz w:val="21"/>
                <w:szCs w:val="21"/>
                <w:lang w:eastAsia="zh-CN"/>
              </w:rPr>
              <w:t>计</w:t>
            </w:r>
            <w:r>
              <w:rPr>
                <w:rFonts w:ascii="Times New Roman" w:hAnsi="Times New Roman" w:eastAsia="Times New Roman" w:cs="Times New Roman"/>
                <w:snapToGrid/>
                <w:kern w:val="21"/>
                <w:sz w:val="21"/>
                <w:szCs w:val="21"/>
                <w:lang w:eastAsia="zh-CN"/>
              </w:rPr>
              <w:t>PHS-3C</w:t>
            </w:r>
          </w:p>
        </w:tc>
        <w:tc>
          <w:tcPr>
            <w:tcW w:w="1458"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Times New Roman" w:hAnsi="Times New Roman" w:eastAsia="Times New Roman" w:cs="Times New Roman"/>
                <w:snapToGrid/>
                <w:kern w:val="21"/>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jc w:val="center"/>
        </w:trPr>
        <w:tc>
          <w:tcPr>
            <w:tcW w:w="1094"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化学需氧量</w:t>
            </w:r>
          </w:p>
        </w:tc>
        <w:tc>
          <w:tcPr>
            <w:tcW w:w="421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《水质 化学需氧量的测定 重铬酸盐法》</w:t>
            </w:r>
            <w:r>
              <w:rPr>
                <w:rFonts w:ascii="Times New Roman" w:hAnsi="Times New Roman" w:eastAsia="Times New Roman" w:cs="Times New Roman"/>
                <w:snapToGrid/>
                <w:kern w:val="21"/>
                <w:sz w:val="21"/>
                <w:szCs w:val="21"/>
                <w:lang w:eastAsia="zh-CN"/>
              </w:rPr>
              <w:t>HJ828-2017</w:t>
            </w:r>
          </w:p>
        </w:tc>
        <w:tc>
          <w:tcPr>
            <w:tcW w:w="210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Times New Roman" w:hAnsi="Times New Roman" w:eastAsia="Times New Roman" w:cs="Times New Roman"/>
                <w:snapToGrid/>
                <w:kern w:val="21"/>
                <w:sz w:val="21"/>
                <w:szCs w:val="21"/>
                <w:lang w:eastAsia="zh-CN"/>
              </w:rPr>
              <w:t>50mL</w:t>
            </w:r>
            <w:r>
              <w:rPr>
                <w:rFonts w:ascii="宋体" w:hAnsi="宋体" w:eastAsia="宋体" w:cs="宋体"/>
                <w:snapToGrid/>
                <w:kern w:val="21"/>
                <w:sz w:val="21"/>
                <w:szCs w:val="21"/>
                <w:lang w:eastAsia="zh-CN"/>
              </w:rPr>
              <w:t>酸式滴定管</w:t>
            </w:r>
          </w:p>
        </w:tc>
        <w:tc>
          <w:tcPr>
            <w:tcW w:w="1458"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Times New Roman" w:hAnsi="Times New Roman" w:eastAsia="Times New Roman" w:cs="Times New Roman"/>
                <w:snapToGrid/>
                <w:kern w:val="21"/>
                <w:sz w:val="21"/>
                <w:szCs w:val="21"/>
                <w:lang w:eastAsia="zh-CN"/>
              </w:rPr>
              <w:t>4mg/L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jc w:val="center"/>
        </w:trPr>
        <w:tc>
          <w:tcPr>
            <w:tcW w:w="1094"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五日生化需氧量</w:t>
            </w:r>
          </w:p>
        </w:tc>
        <w:tc>
          <w:tcPr>
            <w:tcW w:w="421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《水质 五日生化需氧量（</w:t>
            </w:r>
            <w:r>
              <w:rPr>
                <w:rFonts w:ascii="Times New Roman" w:hAnsi="Times New Roman" w:eastAsia="Times New Roman" w:cs="Times New Roman"/>
                <w:snapToGrid/>
                <w:kern w:val="21"/>
                <w:sz w:val="21"/>
                <w:szCs w:val="21"/>
                <w:lang w:eastAsia="zh-CN"/>
              </w:rPr>
              <w:t>BOD</w:t>
            </w:r>
            <w:r>
              <w:rPr>
                <w:rFonts w:ascii="Times New Roman" w:hAnsi="Times New Roman" w:eastAsia="Times New Roman" w:cs="Times New Roman"/>
                <w:snapToGrid/>
                <w:kern w:val="21"/>
                <w:sz w:val="21"/>
                <w:szCs w:val="21"/>
                <w:vertAlign w:val="subscript"/>
                <w:lang w:eastAsia="zh-CN"/>
              </w:rPr>
              <w:t>5</w:t>
            </w:r>
            <w:r>
              <w:rPr>
                <w:rFonts w:ascii="宋体" w:hAnsi="宋体" w:eastAsia="宋体" w:cs="宋体"/>
                <w:snapToGrid/>
                <w:kern w:val="21"/>
                <w:sz w:val="21"/>
                <w:szCs w:val="21"/>
                <w:lang w:eastAsia="zh-CN"/>
              </w:rPr>
              <w:t xml:space="preserve">）的测定稀释与接种法》 </w:t>
            </w:r>
            <w:r>
              <w:rPr>
                <w:rFonts w:ascii="Times New Roman" w:hAnsi="Times New Roman" w:eastAsia="Times New Roman" w:cs="Times New Roman"/>
                <w:snapToGrid/>
                <w:kern w:val="21"/>
                <w:sz w:val="21"/>
                <w:szCs w:val="21"/>
                <w:lang w:eastAsia="zh-CN"/>
              </w:rPr>
              <w:t>HJ</w:t>
            </w:r>
            <w:r>
              <w:rPr>
                <w:rFonts w:ascii="Times New Roman" w:hAnsi="Times New Roman" w:eastAsia="Times New Roman" w:cs="Times New Roman"/>
                <w:snapToGrid/>
                <w:w w:val="101"/>
                <w:kern w:val="21"/>
                <w:sz w:val="21"/>
                <w:szCs w:val="21"/>
                <w:lang w:eastAsia="zh-CN"/>
              </w:rPr>
              <w:t xml:space="preserve"> </w:t>
            </w:r>
            <w:r>
              <w:rPr>
                <w:rFonts w:ascii="Times New Roman" w:hAnsi="Times New Roman" w:eastAsia="Times New Roman" w:cs="Times New Roman"/>
                <w:snapToGrid/>
                <w:kern w:val="21"/>
                <w:sz w:val="21"/>
                <w:szCs w:val="21"/>
                <w:lang w:eastAsia="zh-CN"/>
              </w:rPr>
              <w:t>505-2009</w:t>
            </w:r>
          </w:p>
        </w:tc>
        <w:tc>
          <w:tcPr>
            <w:tcW w:w="210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电热恒温培养箱</w:t>
            </w:r>
            <w:r>
              <w:rPr>
                <w:rFonts w:ascii="Times New Roman" w:hAnsi="Times New Roman" w:eastAsia="Times New Roman" w:cs="Times New Roman"/>
                <w:snapToGrid/>
                <w:kern w:val="21"/>
                <w:sz w:val="21"/>
                <w:szCs w:val="21"/>
                <w:lang w:eastAsia="zh-CN"/>
              </w:rPr>
              <w:t>DHP-9162B</w:t>
            </w:r>
          </w:p>
        </w:tc>
        <w:tc>
          <w:tcPr>
            <w:tcW w:w="1458"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Times New Roman" w:hAnsi="Times New Roman" w:eastAsia="Times New Roman" w:cs="Times New Roman"/>
                <w:snapToGrid/>
                <w:kern w:val="21"/>
                <w:sz w:val="21"/>
                <w:szCs w:val="21"/>
                <w:lang w:eastAsia="zh-CN"/>
              </w:rPr>
              <w:t>0.5mg/L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jc w:val="center"/>
        </w:trPr>
        <w:tc>
          <w:tcPr>
            <w:tcW w:w="1094"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氨氮</w:t>
            </w:r>
          </w:p>
        </w:tc>
        <w:tc>
          <w:tcPr>
            <w:tcW w:w="421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《水质 氨氮的测定 纳氏试剂分光光度法》</w:t>
            </w:r>
            <w:r>
              <w:rPr>
                <w:rFonts w:ascii="Times New Roman" w:hAnsi="Times New Roman" w:eastAsia="Times New Roman" w:cs="Times New Roman"/>
                <w:snapToGrid/>
                <w:kern w:val="21"/>
                <w:sz w:val="21"/>
                <w:szCs w:val="21"/>
                <w:lang w:eastAsia="zh-CN"/>
              </w:rPr>
              <w:t>HJ535-2009</w:t>
            </w:r>
          </w:p>
        </w:tc>
        <w:tc>
          <w:tcPr>
            <w:tcW w:w="210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双光束紫外可见分光光度计</w:t>
            </w:r>
            <w:r>
              <w:rPr>
                <w:rFonts w:ascii="Times New Roman" w:hAnsi="Times New Roman" w:eastAsia="Times New Roman" w:cs="Times New Roman"/>
                <w:snapToGrid/>
                <w:kern w:val="21"/>
                <w:sz w:val="21"/>
                <w:szCs w:val="21"/>
                <w:lang w:eastAsia="zh-CN"/>
              </w:rPr>
              <w:t>TU-1900</w:t>
            </w:r>
          </w:p>
        </w:tc>
        <w:tc>
          <w:tcPr>
            <w:tcW w:w="1458"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Times New Roman" w:hAnsi="Times New Roman" w:eastAsia="Times New Roman" w:cs="Times New Roman"/>
                <w:snapToGrid/>
                <w:kern w:val="21"/>
                <w:sz w:val="21"/>
                <w:szCs w:val="21"/>
                <w:lang w:eastAsia="zh-CN"/>
              </w:rPr>
              <w:t>0.025mg/L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jc w:val="center"/>
        </w:trPr>
        <w:tc>
          <w:tcPr>
            <w:tcW w:w="1094"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总磷</w:t>
            </w:r>
          </w:p>
        </w:tc>
        <w:tc>
          <w:tcPr>
            <w:tcW w:w="421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《水质 总磷的测定 钼酸铵分光光度法》</w:t>
            </w:r>
            <w:r>
              <w:rPr>
                <w:rFonts w:ascii="Times New Roman" w:hAnsi="Times New Roman" w:eastAsia="Times New Roman" w:cs="Times New Roman"/>
                <w:snapToGrid/>
                <w:kern w:val="21"/>
                <w:sz w:val="21"/>
                <w:szCs w:val="21"/>
                <w:lang w:eastAsia="zh-CN"/>
              </w:rPr>
              <w:t>GB11893-1989</w:t>
            </w:r>
          </w:p>
        </w:tc>
        <w:tc>
          <w:tcPr>
            <w:tcW w:w="210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双光束紫外可见分光光度计</w:t>
            </w:r>
            <w:r>
              <w:rPr>
                <w:rFonts w:ascii="Times New Roman" w:hAnsi="Times New Roman" w:eastAsia="Times New Roman" w:cs="Times New Roman"/>
                <w:snapToGrid/>
                <w:kern w:val="21"/>
                <w:sz w:val="21"/>
                <w:szCs w:val="21"/>
                <w:lang w:eastAsia="zh-CN"/>
              </w:rPr>
              <w:t>TU-1900</w:t>
            </w:r>
          </w:p>
        </w:tc>
        <w:tc>
          <w:tcPr>
            <w:tcW w:w="1458"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Times New Roman" w:hAnsi="Times New Roman" w:eastAsia="Times New Roman" w:cs="Times New Roman"/>
                <w:snapToGrid/>
                <w:kern w:val="21"/>
                <w:sz w:val="21"/>
                <w:szCs w:val="21"/>
                <w:lang w:eastAsia="zh-CN"/>
              </w:rPr>
              <w:t>0.01mg/L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jc w:val="center"/>
        </w:trPr>
        <w:tc>
          <w:tcPr>
            <w:tcW w:w="1094"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总氮</w:t>
            </w:r>
          </w:p>
        </w:tc>
        <w:tc>
          <w:tcPr>
            <w:tcW w:w="421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《水质 总氮的测定 碱性过硫酸钾消解紫外分光光度法》</w:t>
            </w:r>
            <w:r>
              <w:rPr>
                <w:rFonts w:ascii="Times New Roman" w:hAnsi="Times New Roman" w:eastAsia="Times New Roman" w:cs="Times New Roman"/>
                <w:snapToGrid/>
                <w:kern w:val="21"/>
                <w:sz w:val="21"/>
                <w:szCs w:val="21"/>
                <w:lang w:eastAsia="zh-CN"/>
              </w:rPr>
              <w:t>HJ636-2012</w:t>
            </w:r>
          </w:p>
        </w:tc>
        <w:tc>
          <w:tcPr>
            <w:tcW w:w="210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双光束紫外可见分光光度计</w:t>
            </w:r>
            <w:r>
              <w:rPr>
                <w:rFonts w:ascii="Times New Roman" w:hAnsi="Times New Roman" w:eastAsia="Times New Roman" w:cs="Times New Roman"/>
                <w:snapToGrid/>
                <w:kern w:val="21"/>
                <w:sz w:val="21"/>
                <w:szCs w:val="21"/>
                <w:lang w:eastAsia="zh-CN"/>
              </w:rPr>
              <w:t>TU-1900</w:t>
            </w:r>
          </w:p>
        </w:tc>
        <w:tc>
          <w:tcPr>
            <w:tcW w:w="1458"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Times New Roman" w:hAnsi="Times New Roman" w:eastAsia="Times New Roman" w:cs="Times New Roman"/>
                <w:snapToGrid/>
                <w:kern w:val="21"/>
                <w:sz w:val="21"/>
                <w:szCs w:val="21"/>
                <w:lang w:eastAsia="zh-CN"/>
              </w:rPr>
              <w:t>0.05mg/L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jc w:val="center"/>
        </w:trPr>
        <w:tc>
          <w:tcPr>
            <w:tcW w:w="1094"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宋体" w:hAnsi="宋体" w:eastAsia="宋体" w:cs="宋体"/>
                <w:snapToGrid/>
                <w:kern w:val="21"/>
                <w:sz w:val="21"/>
                <w:szCs w:val="21"/>
                <w:lang w:eastAsia="zh-CN"/>
              </w:rPr>
            </w:pPr>
            <w:r>
              <w:rPr>
                <w:rFonts w:ascii="宋体" w:hAnsi="宋体" w:eastAsia="宋体" w:cs="宋体"/>
                <w:snapToGrid/>
                <w:kern w:val="21"/>
                <w:sz w:val="21"/>
                <w:szCs w:val="21"/>
                <w:lang w:eastAsia="zh-CN"/>
              </w:rPr>
              <w:t>石油类</w:t>
            </w:r>
          </w:p>
        </w:tc>
        <w:tc>
          <w:tcPr>
            <w:tcW w:w="4215"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《水质 石油类和动植物油类的测定红外分光光度法》</w:t>
            </w:r>
            <w:r>
              <w:rPr>
                <w:rFonts w:ascii="Times New Roman" w:hAnsi="Times New Roman" w:eastAsia="Times New Roman" w:cs="Times New Roman"/>
                <w:snapToGrid/>
                <w:kern w:val="21"/>
                <w:sz w:val="21"/>
                <w:szCs w:val="21"/>
                <w:lang w:eastAsia="zh-CN"/>
              </w:rPr>
              <w:t>HJ637-2018</w:t>
            </w:r>
          </w:p>
        </w:tc>
        <w:tc>
          <w:tcPr>
            <w:tcW w:w="2109"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宋体" w:hAnsi="宋体" w:eastAsia="宋体" w:cs="宋体"/>
                <w:snapToGrid/>
                <w:kern w:val="21"/>
                <w:sz w:val="21"/>
                <w:szCs w:val="21"/>
                <w:lang w:eastAsia="zh-CN"/>
              </w:rPr>
              <w:t>红外光度测油仪</w:t>
            </w:r>
            <w:r>
              <w:rPr>
                <w:rFonts w:ascii="Times New Roman" w:hAnsi="Times New Roman" w:eastAsia="Times New Roman" w:cs="Times New Roman"/>
                <w:snapToGrid/>
                <w:kern w:val="21"/>
                <w:sz w:val="21"/>
                <w:szCs w:val="21"/>
                <w:lang w:eastAsia="zh-CN"/>
              </w:rPr>
              <w:t>OIL-8</w:t>
            </w:r>
          </w:p>
        </w:tc>
        <w:tc>
          <w:tcPr>
            <w:tcW w:w="1458" w:type="dxa"/>
            <w:tcBorders>
              <w:tl2br w:val="nil"/>
              <w:tr2bl w:val="nil"/>
            </w:tcBorders>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Times New Roman" w:cs="Times New Roman"/>
                <w:snapToGrid/>
                <w:kern w:val="21"/>
                <w:sz w:val="21"/>
                <w:szCs w:val="21"/>
                <w:lang w:eastAsia="zh-CN"/>
              </w:rPr>
            </w:pPr>
            <w:r>
              <w:rPr>
                <w:rFonts w:ascii="Times New Roman" w:hAnsi="Times New Roman" w:eastAsia="Times New Roman" w:cs="Times New Roman"/>
                <w:snapToGrid/>
                <w:kern w:val="21"/>
                <w:sz w:val="21"/>
                <w:szCs w:val="21"/>
                <w:lang w:eastAsia="zh-CN"/>
              </w:rPr>
              <w:t>0.06mg/L</w:t>
            </w:r>
          </w:p>
        </w:tc>
      </w:tr>
    </w:tbl>
    <w:p>
      <w:pPr>
        <w:spacing w:before="130" w:line="218"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）评价方法</w:t>
      </w:r>
    </w:p>
    <w:p>
      <w:pPr>
        <w:spacing w:before="281" w:line="219" w:lineRule="auto"/>
        <w:ind w:left="602"/>
        <w:rPr>
          <w:rFonts w:ascii="宋体" w:hAnsi="宋体" w:eastAsia="宋体" w:cs="宋体"/>
          <w:sz w:val="24"/>
          <w:szCs w:val="24"/>
        </w:rPr>
      </w:pPr>
      <w:r>
        <w:rPr>
          <w:rFonts w:ascii="宋体" w:hAnsi="宋体" w:eastAsia="宋体" w:cs="宋体"/>
          <w:spacing w:val="-1"/>
          <w:sz w:val="24"/>
          <w:szCs w:val="24"/>
        </w:rPr>
        <w:t>采用标准指数法，一般公式如下：</w:t>
      </w:r>
    </w:p>
    <w:p>
      <w:pPr>
        <w:keepNext w:val="0"/>
        <w:keepLines w:val="0"/>
        <w:pageBreakBefore w:val="0"/>
        <w:widowControl/>
        <w:kinsoku w:val="0"/>
        <w:wordWrap/>
        <w:overflowPunct/>
        <w:topLinePunct w:val="0"/>
        <w:autoSpaceDE w:val="0"/>
        <w:autoSpaceDN w:val="0"/>
        <w:bidi w:val="0"/>
        <w:adjustRightInd w:val="0"/>
        <w:snapToGrid w:val="0"/>
        <w:spacing w:line="240" w:lineRule="auto"/>
        <w:ind w:left="4228"/>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5"/>
          <w:position w:val="-10"/>
          <w:sz w:val="23"/>
          <w:szCs w:val="23"/>
        </w:rPr>
        <w:t>S</w:t>
      </w:r>
      <w:r>
        <w:rPr>
          <w:rFonts w:ascii="Times New Roman" w:hAnsi="Times New Roman" w:eastAsia="Times New Roman" w:cs="Times New Roman"/>
          <w:spacing w:val="9"/>
          <w:position w:val="-10"/>
          <w:sz w:val="23"/>
          <w:szCs w:val="23"/>
        </w:rPr>
        <w:t xml:space="preserve">    </w:t>
      </w:r>
      <w:r>
        <w:rPr>
          <w:rFonts w:ascii="Symbol" w:hAnsi="Symbol" w:eastAsia="Symbol" w:cs="Symbol"/>
          <w:spacing w:val="5"/>
          <w:position w:val="-10"/>
          <w:sz w:val="23"/>
          <w:szCs w:val="23"/>
        </w:rPr>
        <w:t xml:space="preserve">= </w:t>
      </w:r>
      <w:r>
        <w:rPr>
          <w:rFonts w:ascii="Times New Roman" w:hAnsi="Times New Roman" w:eastAsia="Times New Roman" w:cs="Times New Roman"/>
          <w:i/>
          <w:iCs/>
          <w:spacing w:val="-26"/>
          <w:position w:val="8"/>
          <w:sz w:val="23"/>
          <w:szCs w:val="23"/>
          <w:u w:val="single" w:color="auto"/>
        </w:rPr>
        <w:t xml:space="preserve"> </w:t>
      </w:r>
      <w:r>
        <w:rPr>
          <w:rFonts w:ascii="Times New Roman" w:hAnsi="Times New Roman" w:eastAsia="Times New Roman" w:cs="Times New Roman"/>
          <w:i/>
          <w:iCs/>
          <w:position w:val="8"/>
          <w:sz w:val="23"/>
          <w:szCs w:val="23"/>
          <w:u w:val="single" w:color="auto"/>
        </w:rPr>
        <w:t>C</w:t>
      </w:r>
      <w:r>
        <w:rPr>
          <w:rFonts w:ascii="Times New Roman" w:hAnsi="Times New Roman" w:eastAsia="Times New Roman" w:cs="Times New Roman"/>
          <w:i/>
          <w:iCs/>
          <w:position w:val="2"/>
          <w:sz w:val="13"/>
          <w:szCs w:val="13"/>
          <w:u w:val="single" w:color="auto"/>
        </w:rPr>
        <w:t>i</w:t>
      </w:r>
      <w:r>
        <w:rPr>
          <w:rFonts w:ascii="Times New Roman" w:hAnsi="Times New Roman" w:eastAsia="Times New Roman" w:cs="Times New Roman"/>
          <w:i/>
          <w:iCs/>
          <w:spacing w:val="-14"/>
          <w:position w:val="2"/>
          <w:sz w:val="13"/>
          <w:szCs w:val="13"/>
          <w:u w:val="single" w:color="auto"/>
        </w:rPr>
        <w:t xml:space="preserve"> </w:t>
      </w:r>
      <w:r>
        <w:rPr>
          <w:rFonts w:ascii="Times New Roman" w:hAnsi="Times New Roman" w:eastAsia="Times New Roman" w:cs="Times New Roman"/>
          <w:spacing w:val="5"/>
          <w:position w:val="2"/>
          <w:sz w:val="13"/>
          <w:szCs w:val="13"/>
          <w:u w:val="single" w:color="auto"/>
        </w:rPr>
        <w:t>,</w:t>
      </w:r>
      <w:r>
        <w:rPr>
          <w:rFonts w:ascii="Times New Roman" w:hAnsi="Times New Roman" w:eastAsia="Times New Roman" w:cs="Times New Roman"/>
          <w:i/>
          <w:iCs/>
          <w:spacing w:val="5"/>
          <w:position w:val="2"/>
          <w:sz w:val="13"/>
          <w:szCs w:val="13"/>
          <w:u w:val="single" w:color="auto"/>
        </w:rPr>
        <w:t>j</w:t>
      </w:r>
      <w:r>
        <w:rPr>
          <w:rFonts w:ascii="Times New Roman" w:hAnsi="Times New Roman" w:eastAsia="Times New Roman" w:cs="Times New Roman"/>
          <w:i/>
          <w:iCs/>
          <w:position w:val="2"/>
          <w:sz w:val="13"/>
          <w:szCs w:val="13"/>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240" w:lineRule="auto"/>
        <w:ind w:left="4359"/>
        <w:textAlignment w:val="baseline"/>
        <w:rPr>
          <w:rFonts w:ascii="Times New Roman" w:hAnsi="Times New Roman" w:eastAsia="Times New Roman" w:cs="Times New Roman"/>
          <w:sz w:val="23"/>
          <w:szCs w:val="23"/>
        </w:rPr>
      </w:pPr>
      <w:r>
        <w:rPr>
          <w:rFonts w:ascii="Times New Roman" w:hAnsi="Times New Roman" w:eastAsia="Times New Roman" w:cs="Times New Roman"/>
          <w:i/>
          <w:iCs/>
          <w:spacing w:val="6"/>
          <w:position w:val="6"/>
          <w:sz w:val="13"/>
          <w:szCs w:val="13"/>
        </w:rPr>
        <w:t>i</w:t>
      </w:r>
      <w:r>
        <w:rPr>
          <w:rFonts w:ascii="Times New Roman" w:hAnsi="Times New Roman" w:eastAsia="Times New Roman" w:cs="Times New Roman"/>
          <w:i/>
          <w:iCs/>
          <w:spacing w:val="-14"/>
          <w:position w:val="6"/>
          <w:sz w:val="13"/>
          <w:szCs w:val="13"/>
        </w:rPr>
        <w:t xml:space="preserve"> </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i/>
          <w:iCs/>
          <w:spacing w:val="6"/>
          <w:position w:val="6"/>
          <w:sz w:val="13"/>
          <w:szCs w:val="13"/>
        </w:rPr>
        <w:t>j</w:t>
      </w:r>
      <w:r>
        <w:rPr>
          <w:rFonts w:ascii="Times New Roman" w:hAnsi="Times New Roman" w:eastAsia="Times New Roman" w:cs="Times New Roman"/>
          <w:i/>
          <w:iCs/>
          <w:spacing w:val="2"/>
          <w:position w:val="6"/>
          <w:sz w:val="13"/>
          <w:szCs w:val="13"/>
        </w:rPr>
        <w:t xml:space="preserve">          </w:t>
      </w:r>
      <w:r>
        <w:rPr>
          <w:rFonts w:ascii="Times New Roman" w:hAnsi="Times New Roman" w:eastAsia="Times New Roman" w:cs="Times New Roman"/>
          <w:i/>
          <w:iCs/>
          <w:spacing w:val="6"/>
          <w:position w:val="-5"/>
          <w:sz w:val="23"/>
          <w:szCs w:val="23"/>
        </w:rPr>
        <w:t>C</w:t>
      </w:r>
    </w:p>
    <w:p>
      <w:pPr>
        <w:keepNext w:val="0"/>
        <w:keepLines w:val="0"/>
        <w:pageBreakBefore w:val="0"/>
        <w:widowControl/>
        <w:kinsoku w:val="0"/>
        <w:wordWrap/>
        <w:overflowPunct/>
        <w:topLinePunct w:val="0"/>
        <w:autoSpaceDE w:val="0"/>
        <w:autoSpaceDN w:val="0"/>
        <w:bidi w:val="0"/>
        <w:adjustRightInd w:val="0"/>
        <w:snapToGrid w:val="0"/>
        <w:spacing w:line="240" w:lineRule="auto"/>
        <w:ind w:left="5019"/>
        <w:textAlignment w:val="baseline"/>
        <w:rPr>
          <w:rFonts w:ascii="Times New Roman" w:hAnsi="Times New Roman" w:eastAsia="Times New Roman" w:cs="Times New Roman"/>
          <w:sz w:val="13"/>
          <w:szCs w:val="13"/>
        </w:rPr>
      </w:pPr>
      <w:r>
        <w:rPr>
          <w:rFonts w:ascii="Times New Roman" w:hAnsi="Times New Roman" w:eastAsia="Times New Roman" w:cs="Times New Roman"/>
          <w:i/>
          <w:iCs/>
          <w:spacing w:val="3"/>
          <w:sz w:val="13"/>
          <w:szCs w:val="13"/>
        </w:rPr>
        <w:t>sj</w:t>
      </w:r>
    </w:p>
    <w:p>
      <w:pPr>
        <w:spacing w:before="256" w:line="468" w:lineRule="exact"/>
        <w:ind w:left="602"/>
        <w:rPr>
          <w:rFonts w:ascii="宋体" w:hAnsi="宋体" w:eastAsia="宋体" w:cs="宋体"/>
          <w:sz w:val="24"/>
          <w:szCs w:val="24"/>
        </w:rPr>
      </w:pPr>
      <w:r>
        <w:rPr>
          <w:rFonts w:ascii="宋体" w:hAnsi="宋体" w:eastAsia="宋体" w:cs="宋体"/>
          <w:spacing w:val="-1"/>
          <w:position w:val="17"/>
          <w:sz w:val="24"/>
          <w:szCs w:val="24"/>
        </w:rPr>
        <w:t>对于</w:t>
      </w:r>
      <w:r>
        <w:rPr>
          <w:rFonts w:ascii="宋体" w:hAnsi="宋体" w:eastAsia="宋体" w:cs="宋体"/>
          <w:spacing w:val="-52"/>
          <w:position w:val="17"/>
          <w:sz w:val="24"/>
          <w:szCs w:val="24"/>
        </w:rPr>
        <w:t xml:space="preserve"> </w:t>
      </w:r>
      <w:r>
        <w:rPr>
          <w:rFonts w:ascii="Times New Roman" w:hAnsi="Times New Roman" w:eastAsia="Times New Roman" w:cs="Times New Roman"/>
          <w:spacing w:val="-1"/>
          <w:position w:val="17"/>
          <w:sz w:val="24"/>
          <w:szCs w:val="24"/>
        </w:rPr>
        <w:t xml:space="preserve">pH </w:t>
      </w:r>
      <w:r>
        <w:rPr>
          <w:rFonts w:ascii="宋体" w:hAnsi="宋体" w:eastAsia="宋体" w:cs="宋体"/>
          <w:spacing w:val="-1"/>
          <w:position w:val="17"/>
          <w:sz w:val="24"/>
          <w:szCs w:val="24"/>
        </w:rPr>
        <w:t>标准指数采用如下公式计算。</w:t>
      </w:r>
    </w:p>
    <w:p>
      <w:pPr>
        <w:spacing w:before="1" w:line="210" w:lineRule="auto"/>
        <w:ind w:left="593"/>
        <w:rPr>
          <w:rFonts w:ascii="宋体" w:hAnsi="宋体" w:eastAsia="宋体" w:cs="宋体"/>
          <w:sz w:val="24"/>
          <w:szCs w:val="24"/>
        </w:rPr>
      </w:pPr>
      <w:r>
        <w:rPr>
          <w:rFonts w:ascii="Times New Roman" w:hAnsi="Times New Roman" w:eastAsia="Times New Roman" w:cs="Times New Roman"/>
          <w:spacing w:val="-1"/>
          <w:sz w:val="24"/>
          <w:szCs w:val="24"/>
        </w:rPr>
        <w:t xml:space="preserve">pH </w:t>
      </w:r>
      <w:r>
        <w:rPr>
          <w:rFonts w:ascii="宋体" w:hAnsi="宋体" w:eastAsia="宋体" w:cs="宋体"/>
          <w:spacing w:val="-1"/>
          <w:sz w:val="24"/>
          <w:szCs w:val="24"/>
        </w:rPr>
        <w:t>标准指数计算公式：</w:t>
      </w:r>
    </w:p>
    <w:p>
      <w:pPr>
        <w:spacing w:before="255" w:line="936" w:lineRule="exact"/>
        <w:ind w:left="3237"/>
        <w:rPr>
          <w:rFonts w:ascii="Times New Roman" w:hAnsi="Times New Roman" w:eastAsia="Times New Roman" w:cs="Times New Roman"/>
          <w:sz w:val="23"/>
          <w:szCs w:val="23"/>
        </w:rPr>
      </w:pPr>
      <w:r>
        <w:rPr>
          <w:rFonts w:ascii="Times New Roman" w:hAnsi="Times New Roman" w:eastAsia="Times New Roman" w:cs="Times New Roman"/>
          <w:position w:val="39"/>
          <w:sz w:val="23"/>
          <w:szCs w:val="23"/>
        </w:rPr>
        <w:t>S</w:t>
      </w:r>
      <w:r>
        <w:rPr>
          <w:rFonts w:ascii="Times New Roman" w:hAnsi="Times New Roman" w:eastAsia="Times New Roman" w:cs="Times New Roman"/>
          <w:i/>
          <w:iCs/>
          <w:position w:val="34"/>
          <w:sz w:val="13"/>
          <w:szCs w:val="13"/>
        </w:rPr>
        <w:t>pH</w:t>
      </w:r>
      <w:r>
        <w:rPr>
          <w:rFonts w:ascii="Times New Roman" w:hAnsi="Times New Roman" w:eastAsia="Times New Roman" w:cs="Times New Roman"/>
          <w:i/>
          <w:iCs/>
          <w:spacing w:val="15"/>
          <w:position w:val="34"/>
          <w:sz w:val="13"/>
          <w:szCs w:val="13"/>
        </w:rPr>
        <w:t xml:space="preserve"> </w:t>
      </w:r>
      <w:r>
        <w:rPr>
          <w:rFonts w:ascii="Times New Roman" w:hAnsi="Times New Roman" w:eastAsia="Times New Roman" w:cs="Times New Roman"/>
          <w:spacing w:val="15"/>
          <w:position w:val="30"/>
          <w:sz w:val="13"/>
          <w:szCs w:val="13"/>
        </w:rPr>
        <w:t>,</w:t>
      </w:r>
      <w:r>
        <w:rPr>
          <w:rFonts w:ascii="Times New Roman" w:hAnsi="Times New Roman" w:eastAsia="Times New Roman" w:cs="Times New Roman"/>
          <w:i/>
          <w:iCs/>
          <w:spacing w:val="15"/>
          <w:position w:val="30"/>
          <w:sz w:val="13"/>
          <w:szCs w:val="13"/>
        </w:rPr>
        <w:t>j</w:t>
      </w:r>
      <w:r>
        <w:rPr>
          <w:rFonts w:ascii="Times New Roman" w:hAnsi="Times New Roman" w:eastAsia="Times New Roman" w:cs="Times New Roman"/>
          <w:i/>
          <w:iCs/>
          <w:spacing w:val="5"/>
          <w:position w:val="30"/>
          <w:sz w:val="13"/>
          <w:szCs w:val="13"/>
        </w:rPr>
        <w:t xml:space="preserve">   </w:t>
      </w:r>
      <w:r>
        <w:rPr>
          <w:rFonts w:ascii="Symbol" w:hAnsi="Symbol" w:eastAsia="Symbol" w:cs="Symbol"/>
          <w:spacing w:val="15"/>
          <w:position w:val="39"/>
          <w:sz w:val="23"/>
          <w:szCs w:val="23"/>
        </w:rPr>
        <w:t xml:space="preserve">= </w:t>
      </w:r>
      <w:r>
        <w:rPr>
          <w:position w:val="11"/>
          <w:sz w:val="23"/>
          <w:szCs w:val="23"/>
        </w:rPr>
        <w:drawing>
          <wp:inline distT="0" distB="0" distL="0" distR="0">
            <wp:extent cx="688975" cy="40703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37"/>
                    <a:stretch>
                      <a:fillRect/>
                    </a:stretch>
                  </pic:blipFill>
                  <pic:spPr>
                    <a:xfrm>
                      <a:off x="0" y="0"/>
                      <a:ext cx="689203" cy="407313"/>
                    </a:xfrm>
                    <a:prstGeom prst="rect">
                      <a:avLst/>
                    </a:prstGeom>
                  </pic:spPr>
                </pic:pic>
              </a:graphicData>
            </a:graphic>
          </wp:inline>
        </w:drawing>
      </w:r>
      <w:r>
        <w:rPr>
          <w:rFonts w:ascii="Symbol" w:hAnsi="Symbol" w:eastAsia="Symbol" w:cs="Symbol"/>
          <w:spacing w:val="-14"/>
          <w:position w:val="39"/>
          <w:sz w:val="23"/>
          <w:szCs w:val="23"/>
        </w:rPr>
        <w:t xml:space="preserve"> </w:t>
      </w:r>
      <w:r>
        <w:rPr>
          <w:rFonts w:ascii="Times New Roman" w:hAnsi="Times New Roman" w:eastAsia="Times New Roman" w:cs="Times New Roman"/>
          <w:spacing w:val="15"/>
          <w:position w:val="39"/>
          <w:sz w:val="23"/>
          <w:szCs w:val="23"/>
        </w:rPr>
        <w:t>,</w:t>
      </w:r>
      <w:r>
        <w:rPr>
          <w:rFonts w:ascii="Times New Roman" w:hAnsi="Times New Roman" w:eastAsia="Times New Roman" w:cs="Times New Roman"/>
          <w:spacing w:val="-23"/>
          <w:position w:val="39"/>
          <w:sz w:val="23"/>
          <w:szCs w:val="23"/>
        </w:rPr>
        <w:t xml:space="preserve"> </w:t>
      </w:r>
      <w:r>
        <w:rPr>
          <w:rFonts w:ascii="Times New Roman" w:hAnsi="Times New Roman" w:eastAsia="Times New Roman" w:cs="Times New Roman"/>
          <w:i/>
          <w:iCs/>
          <w:position w:val="39"/>
          <w:sz w:val="23"/>
          <w:szCs w:val="23"/>
        </w:rPr>
        <w:t>pH</w:t>
      </w:r>
      <w:r>
        <w:rPr>
          <w:rFonts w:ascii="Times New Roman" w:hAnsi="Times New Roman" w:eastAsia="Times New Roman" w:cs="Times New Roman"/>
          <w:i/>
          <w:iCs/>
          <w:position w:val="34"/>
          <w:sz w:val="13"/>
          <w:szCs w:val="13"/>
        </w:rPr>
        <w:t>j</w:t>
      </w:r>
      <w:r>
        <w:rPr>
          <w:rFonts w:ascii="Times New Roman" w:hAnsi="Times New Roman" w:eastAsia="Times New Roman" w:cs="Times New Roman"/>
          <w:i/>
          <w:iCs/>
          <w:spacing w:val="2"/>
          <w:position w:val="34"/>
          <w:sz w:val="13"/>
          <w:szCs w:val="13"/>
        </w:rPr>
        <w:t xml:space="preserve">   </w:t>
      </w:r>
      <w:r>
        <w:rPr>
          <w:rFonts w:ascii="Symbol" w:hAnsi="Symbol" w:eastAsia="Symbol" w:cs="Symbol"/>
          <w:spacing w:val="15"/>
          <w:position w:val="39"/>
          <w:sz w:val="23"/>
          <w:szCs w:val="23"/>
        </w:rPr>
        <w:t xml:space="preserve">&lt; </w:t>
      </w:r>
      <w:r>
        <w:rPr>
          <w:rFonts w:ascii="Times New Roman" w:hAnsi="Times New Roman" w:eastAsia="Times New Roman" w:cs="Times New Roman"/>
          <w:spacing w:val="15"/>
          <w:position w:val="39"/>
          <w:sz w:val="23"/>
          <w:szCs w:val="23"/>
        </w:rPr>
        <w:t>7.0</w:t>
      </w:r>
    </w:p>
    <w:p>
      <w:pPr>
        <w:pStyle w:val="8"/>
        <w:ind w:left="3237"/>
        <w:rPr>
          <w:rFonts w:ascii="Times New Roman" w:hAnsi="Times New Roman" w:eastAsia="Times New Roman" w:cs="Times New Roman"/>
          <w:sz w:val="23"/>
          <w:szCs w:val="23"/>
        </w:rPr>
      </w:pPr>
      <w:r>
        <w:rPr>
          <w:rFonts w:ascii="Times New Roman" w:hAnsi="Times New Roman" w:eastAsia="Times New Roman" w:cs="Times New Roman"/>
          <w:sz w:val="23"/>
          <w:szCs w:val="23"/>
        </w:rPr>
        <w:t>S</w:t>
      </w:r>
      <w:r>
        <w:rPr>
          <w:rFonts w:ascii="Times New Roman" w:hAnsi="Times New Roman" w:eastAsia="Times New Roman" w:cs="Times New Roman"/>
          <w:i/>
          <w:iCs/>
          <w:position w:val="-5"/>
          <w:sz w:val="13"/>
          <w:szCs w:val="13"/>
        </w:rPr>
        <w:t>pH</w:t>
      </w:r>
      <w:r>
        <w:rPr>
          <w:rFonts w:ascii="Times New Roman" w:hAnsi="Times New Roman" w:eastAsia="Times New Roman" w:cs="Times New Roman"/>
          <w:i/>
          <w:iCs/>
          <w:spacing w:val="15"/>
          <w:position w:val="-5"/>
          <w:sz w:val="13"/>
          <w:szCs w:val="13"/>
        </w:rPr>
        <w:t xml:space="preserve"> </w:t>
      </w:r>
      <w:r>
        <w:rPr>
          <w:rFonts w:ascii="Times New Roman" w:hAnsi="Times New Roman" w:eastAsia="Times New Roman" w:cs="Times New Roman"/>
          <w:spacing w:val="15"/>
          <w:position w:val="-9"/>
          <w:sz w:val="13"/>
          <w:szCs w:val="13"/>
        </w:rPr>
        <w:t>,</w:t>
      </w:r>
      <w:r>
        <w:rPr>
          <w:rFonts w:ascii="Times New Roman" w:hAnsi="Times New Roman" w:eastAsia="Times New Roman" w:cs="Times New Roman"/>
          <w:i/>
          <w:iCs/>
          <w:spacing w:val="15"/>
          <w:position w:val="-9"/>
          <w:sz w:val="13"/>
          <w:szCs w:val="13"/>
        </w:rPr>
        <w:t>j</w:t>
      </w:r>
      <w:r>
        <w:rPr>
          <w:rFonts w:ascii="Times New Roman" w:hAnsi="Times New Roman" w:eastAsia="Times New Roman" w:cs="Times New Roman"/>
          <w:i/>
          <w:iCs/>
          <w:spacing w:val="5"/>
          <w:position w:val="-9"/>
          <w:sz w:val="13"/>
          <w:szCs w:val="13"/>
        </w:rPr>
        <w:t xml:space="preserve">   </w:t>
      </w:r>
      <w:r>
        <w:rPr>
          <w:rFonts w:ascii="Symbol" w:hAnsi="Symbol" w:eastAsia="Symbol" w:cs="Symbol"/>
          <w:spacing w:val="15"/>
          <w:sz w:val="23"/>
          <w:szCs w:val="23"/>
        </w:rPr>
        <w:t xml:space="preserve">= </w:t>
      </w:r>
      <w:r>
        <w:rPr>
          <w:position w:val="-24"/>
          <w:sz w:val="23"/>
          <w:szCs w:val="23"/>
        </w:rPr>
        <w:drawing>
          <wp:inline distT="0" distB="0" distL="0" distR="0">
            <wp:extent cx="682625" cy="38100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38"/>
                    <a:stretch>
                      <a:fillRect/>
                    </a:stretch>
                  </pic:blipFill>
                  <pic:spPr>
                    <a:xfrm>
                      <a:off x="0" y="0"/>
                      <a:ext cx="683247" cy="381298"/>
                    </a:xfrm>
                    <a:prstGeom prst="rect">
                      <a:avLst/>
                    </a:prstGeom>
                  </pic:spPr>
                </pic:pic>
              </a:graphicData>
            </a:graphic>
          </wp:inline>
        </w:drawing>
      </w:r>
      <w:r>
        <w:rPr>
          <w:rFonts w:ascii="Symbol" w:hAnsi="Symbol" w:eastAsia="Symbol" w:cs="Symbol"/>
          <w:spacing w:val="-16"/>
          <w:sz w:val="23"/>
          <w:szCs w:val="23"/>
        </w:rPr>
        <w:t xml:space="preserve"> </w:t>
      </w:r>
      <w:r>
        <w:rPr>
          <w:rFonts w:ascii="Times New Roman" w:hAnsi="Times New Roman" w:eastAsia="Times New Roman" w:cs="Times New Roman"/>
          <w:spacing w:val="15"/>
          <w:sz w:val="23"/>
          <w:szCs w:val="23"/>
        </w:rPr>
        <w:t>,</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i/>
          <w:iCs/>
          <w:sz w:val="23"/>
          <w:szCs w:val="23"/>
        </w:rPr>
        <w:t>pH</w:t>
      </w:r>
      <w:r>
        <w:rPr>
          <w:rFonts w:ascii="Times New Roman" w:hAnsi="Times New Roman" w:eastAsia="Times New Roman" w:cs="Times New Roman"/>
          <w:i/>
          <w:iCs/>
          <w:position w:val="-5"/>
          <w:sz w:val="13"/>
          <w:szCs w:val="13"/>
        </w:rPr>
        <w:t>j</w:t>
      </w:r>
      <w:r>
        <w:rPr>
          <w:rFonts w:ascii="Times New Roman" w:hAnsi="Times New Roman" w:eastAsia="Times New Roman" w:cs="Times New Roman"/>
          <w:i/>
          <w:iCs/>
          <w:spacing w:val="3"/>
          <w:position w:val="-5"/>
          <w:sz w:val="13"/>
          <w:szCs w:val="13"/>
        </w:rPr>
        <w:t xml:space="preserve">   </w:t>
      </w:r>
      <w:r>
        <w:rPr>
          <w:b/>
          <w:bCs/>
          <w:spacing w:val="15"/>
          <w:sz w:val="23"/>
          <w:szCs w:val="23"/>
        </w:rPr>
        <w:t xml:space="preserve">&gt; </w:t>
      </w:r>
      <w:r>
        <w:rPr>
          <w:rFonts w:ascii="Times New Roman" w:hAnsi="Times New Roman" w:eastAsia="Times New Roman" w:cs="Times New Roman"/>
          <w:spacing w:val="15"/>
          <w:sz w:val="23"/>
          <w:szCs w:val="23"/>
        </w:rPr>
        <w:t>7.0</w:t>
      </w:r>
    </w:p>
    <w:p>
      <w:pPr>
        <w:spacing w:before="275" w:line="468" w:lineRule="exact"/>
        <w:ind w:left="607"/>
        <w:rPr>
          <w:rFonts w:ascii="宋体" w:hAnsi="宋体" w:eastAsia="宋体" w:cs="宋体"/>
          <w:sz w:val="24"/>
          <w:szCs w:val="24"/>
        </w:rPr>
      </w:pPr>
      <w:r>
        <w:rPr>
          <w:rFonts w:ascii="宋体" w:hAnsi="宋体" w:eastAsia="宋体" w:cs="宋体"/>
          <w:position w:val="17"/>
          <w:sz w:val="24"/>
          <w:szCs w:val="24"/>
        </w:rPr>
        <w:t>式中：</w:t>
      </w:r>
      <w:r>
        <w:rPr>
          <w:rFonts w:ascii="Times New Roman" w:hAnsi="Times New Roman" w:eastAsia="Times New Roman" w:cs="Times New Roman"/>
          <w:position w:val="17"/>
          <w:sz w:val="24"/>
          <w:szCs w:val="24"/>
        </w:rPr>
        <w:t>S</w:t>
      </w:r>
      <w:r>
        <w:rPr>
          <w:rFonts w:ascii="Times New Roman" w:hAnsi="Times New Roman" w:eastAsia="Times New Roman" w:cs="Times New Roman"/>
          <w:position w:val="16"/>
          <w:sz w:val="15"/>
          <w:szCs w:val="15"/>
        </w:rPr>
        <w:t>i</w:t>
      </w:r>
      <w:r>
        <w:rPr>
          <w:rFonts w:ascii="宋体" w:hAnsi="宋体" w:eastAsia="宋体" w:cs="宋体"/>
          <w:position w:val="14"/>
          <w:sz w:val="12"/>
          <w:szCs w:val="12"/>
        </w:rPr>
        <w:t>，</w:t>
      </w:r>
      <w:r>
        <w:rPr>
          <w:rFonts w:ascii="Times New Roman" w:hAnsi="Times New Roman" w:eastAsia="Times New Roman" w:cs="Times New Roman"/>
          <w:position w:val="16"/>
          <w:sz w:val="15"/>
          <w:szCs w:val="15"/>
        </w:rPr>
        <w:t>j</w:t>
      </w:r>
      <w:r>
        <w:rPr>
          <w:rFonts w:ascii="Times New Roman" w:hAnsi="Times New Roman" w:eastAsia="Times New Roman" w:cs="Times New Roman"/>
          <w:position w:val="17"/>
          <w:sz w:val="24"/>
          <w:szCs w:val="24"/>
        </w:rPr>
        <w:t>——</w:t>
      </w:r>
      <w:r>
        <w:rPr>
          <w:rFonts w:ascii="宋体" w:hAnsi="宋体" w:eastAsia="宋体" w:cs="宋体"/>
          <w:position w:val="17"/>
          <w:sz w:val="24"/>
          <w:szCs w:val="24"/>
        </w:rPr>
        <w:t>单项目水质参数</w:t>
      </w:r>
      <w:r>
        <w:rPr>
          <w:rFonts w:ascii="宋体" w:hAnsi="宋体" w:eastAsia="宋体" w:cs="宋体"/>
          <w:spacing w:val="-35"/>
          <w:position w:val="17"/>
          <w:sz w:val="24"/>
          <w:szCs w:val="24"/>
        </w:rPr>
        <w:t xml:space="preserve"> </w:t>
      </w:r>
      <w:r>
        <w:rPr>
          <w:rFonts w:ascii="Times New Roman" w:hAnsi="Times New Roman" w:eastAsia="Times New Roman" w:cs="Times New Roman"/>
          <w:position w:val="17"/>
          <w:sz w:val="24"/>
          <w:szCs w:val="24"/>
        </w:rPr>
        <w:t xml:space="preserve">i </w:t>
      </w:r>
      <w:r>
        <w:rPr>
          <w:rFonts w:ascii="宋体" w:hAnsi="宋体" w:eastAsia="宋体" w:cs="宋体"/>
          <w:position w:val="17"/>
          <w:sz w:val="24"/>
          <w:szCs w:val="24"/>
        </w:rPr>
        <w:t>在</w:t>
      </w:r>
      <w:r>
        <w:rPr>
          <w:rFonts w:ascii="Times New Roman" w:hAnsi="Times New Roman" w:eastAsia="Times New Roman" w:cs="Times New Roman"/>
          <w:position w:val="17"/>
          <w:sz w:val="24"/>
          <w:szCs w:val="24"/>
        </w:rPr>
        <w:t>j</w:t>
      </w:r>
      <w:r>
        <w:rPr>
          <w:rFonts w:ascii="Times New Roman" w:hAnsi="Times New Roman" w:eastAsia="Times New Roman" w:cs="Times New Roman"/>
          <w:spacing w:val="20"/>
          <w:position w:val="17"/>
          <w:sz w:val="24"/>
          <w:szCs w:val="24"/>
        </w:rPr>
        <w:t xml:space="preserve"> </w:t>
      </w:r>
      <w:r>
        <w:rPr>
          <w:rFonts w:ascii="宋体" w:hAnsi="宋体" w:eastAsia="宋体" w:cs="宋体"/>
          <w:position w:val="17"/>
          <w:sz w:val="24"/>
          <w:szCs w:val="24"/>
        </w:rPr>
        <w:t>点的标准指数；</w:t>
      </w:r>
    </w:p>
    <w:p>
      <w:pPr>
        <w:spacing w:line="211" w:lineRule="auto"/>
        <w:ind w:left="1322"/>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position w:val="-1"/>
          <w:sz w:val="15"/>
          <w:szCs w:val="15"/>
        </w:rPr>
        <w:t>i</w:t>
      </w:r>
      <w:r>
        <w:rPr>
          <w:rFonts w:ascii="宋体" w:hAnsi="宋体" w:eastAsia="宋体" w:cs="宋体"/>
          <w:spacing w:val="1"/>
          <w:position w:val="-3"/>
          <w:sz w:val="12"/>
          <w:szCs w:val="12"/>
        </w:rPr>
        <w:t>，</w:t>
      </w:r>
      <w:r>
        <w:rPr>
          <w:rFonts w:ascii="Times New Roman" w:hAnsi="Times New Roman" w:eastAsia="Times New Roman" w:cs="Times New Roman"/>
          <w:spacing w:val="1"/>
          <w:position w:val="-1"/>
          <w:sz w:val="15"/>
          <w:szCs w:val="15"/>
        </w:rPr>
        <w:t>j</w:t>
      </w:r>
      <w:r>
        <w:rPr>
          <w:rFonts w:ascii="Times New Roman" w:hAnsi="Times New Roman" w:eastAsia="Times New Roman" w:cs="Times New Roman"/>
          <w:spacing w:val="1"/>
          <w:sz w:val="24"/>
          <w:szCs w:val="24"/>
        </w:rPr>
        <w:t>——</w:t>
      </w:r>
      <w:r>
        <w:rPr>
          <w:rFonts w:ascii="宋体" w:hAnsi="宋体" w:eastAsia="宋体" w:cs="宋体"/>
          <w:spacing w:val="1"/>
          <w:sz w:val="24"/>
          <w:szCs w:val="24"/>
        </w:rPr>
        <w:t>单项目水质参数</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在</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点的实际浓度；</w:t>
      </w:r>
    </w:p>
    <w:p>
      <w:pPr>
        <w:spacing w:before="194" w:line="210" w:lineRule="auto"/>
        <w:ind w:left="1322"/>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position w:val="-1"/>
          <w:sz w:val="15"/>
          <w:szCs w:val="15"/>
        </w:rPr>
        <w:t>si</w:t>
      </w:r>
      <w:r>
        <w:rPr>
          <w:rFonts w:ascii="Times New Roman" w:hAnsi="Times New Roman" w:eastAsia="Times New Roman" w:cs="Times New Roman"/>
          <w:spacing w:val="1"/>
          <w:sz w:val="24"/>
          <w:szCs w:val="24"/>
        </w:rPr>
        <w:t>——</w:t>
      </w:r>
      <w:r>
        <w:rPr>
          <w:rFonts w:ascii="宋体" w:hAnsi="宋体" w:eastAsia="宋体" w:cs="宋体"/>
          <w:spacing w:val="1"/>
          <w:sz w:val="24"/>
          <w:szCs w:val="24"/>
        </w:rPr>
        <w:t>项目水质参数</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在</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点的评价标准；</w:t>
      </w:r>
    </w:p>
    <w:p>
      <w:pPr>
        <w:spacing w:before="195" w:line="468" w:lineRule="exact"/>
        <w:ind w:left="1313"/>
        <w:rPr>
          <w:rFonts w:ascii="宋体" w:hAnsi="宋体" w:eastAsia="宋体" w:cs="宋体"/>
          <w:sz w:val="24"/>
          <w:szCs w:val="24"/>
        </w:rPr>
      </w:pPr>
      <w:r>
        <w:rPr>
          <w:rFonts w:ascii="Times New Roman" w:hAnsi="Times New Roman" w:eastAsia="Times New Roman" w:cs="Times New Roman"/>
          <w:position w:val="17"/>
          <w:sz w:val="24"/>
          <w:szCs w:val="24"/>
        </w:rPr>
        <w:t>pH</w:t>
      </w:r>
      <w:r>
        <w:rPr>
          <w:rFonts w:ascii="Times New Roman" w:hAnsi="Times New Roman" w:eastAsia="Times New Roman" w:cs="Times New Roman"/>
          <w:position w:val="16"/>
          <w:sz w:val="15"/>
          <w:szCs w:val="15"/>
        </w:rPr>
        <w:t>sd</w:t>
      </w:r>
      <w:r>
        <w:rPr>
          <w:rFonts w:ascii="Times New Roman" w:hAnsi="Times New Roman" w:eastAsia="Times New Roman" w:cs="Times New Roman"/>
          <w:position w:val="17"/>
          <w:sz w:val="24"/>
          <w:szCs w:val="24"/>
        </w:rPr>
        <w:t xml:space="preserve">——pH </w:t>
      </w:r>
      <w:r>
        <w:rPr>
          <w:rFonts w:ascii="宋体" w:hAnsi="宋体" w:eastAsia="宋体" w:cs="宋体"/>
          <w:position w:val="17"/>
          <w:sz w:val="24"/>
          <w:szCs w:val="24"/>
        </w:rPr>
        <w:t>标准规定的下限值；</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315"/>
        <w:textAlignment w:val="baseline"/>
        <w:rPr>
          <w:rFonts w:ascii="宋体" w:hAnsi="宋体" w:eastAsia="宋体" w:cs="宋体"/>
          <w:sz w:val="24"/>
          <w:szCs w:val="24"/>
        </w:rPr>
      </w:pPr>
      <w:r>
        <w:rPr>
          <w:rFonts w:ascii="Times New Roman" w:hAnsi="Times New Roman" w:eastAsia="Times New Roman" w:cs="Times New Roman"/>
          <w:sz w:val="24"/>
          <w:szCs w:val="24"/>
        </w:rPr>
        <w:t>pH</w:t>
      </w:r>
      <w:r>
        <w:rPr>
          <w:rFonts w:ascii="Times New Roman" w:hAnsi="Times New Roman" w:eastAsia="Times New Roman" w:cs="Times New Roman"/>
          <w:position w:val="-1"/>
          <w:sz w:val="15"/>
          <w:szCs w:val="15"/>
        </w:rPr>
        <w:t>su</w:t>
      </w:r>
      <w:r>
        <w:rPr>
          <w:rFonts w:ascii="Times New Roman" w:hAnsi="Times New Roman" w:eastAsia="Times New Roman" w:cs="Times New Roman"/>
          <w:sz w:val="24"/>
          <w:szCs w:val="24"/>
        </w:rPr>
        <w:t xml:space="preserve">——pH </w:t>
      </w:r>
      <w:r>
        <w:rPr>
          <w:rFonts w:ascii="宋体" w:hAnsi="宋体" w:eastAsia="宋体" w:cs="宋体"/>
          <w:sz w:val="24"/>
          <w:szCs w:val="24"/>
        </w:rPr>
        <w:t>标准规定的上限值；</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水质参数的标准指数＞1，表明该水质超过了规定水质标准，已不能满足使用要求。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（4）地表水环境质量结果分析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lang w:eastAsia="zh-CN"/>
        </w:rPr>
        <w:t>本项目地表水引用的4处断面取样水质监测情况详见表</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lang w:eastAsia="zh-CN"/>
        </w:rPr>
        <w:t>～表</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①灰河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灰河现状监测及评价统计结果见表</w:t>
      </w:r>
      <w:r>
        <w:rPr>
          <w:rFonts w:hint="eastAsia" w:ascii="Times New Roman" w:hAnsi="Times New Roman" w:eastAsia="宋体" w:cs="Times New Roman"/>
          <w:color w:val="auto"/>
          <w:kern w:val="2"/>
          <w:sz w:val="24"/>
          <w:szCs w:val="24"/>
          <w:lang w:val="en-US" w:eastAsia="zh-CN" w:bidi="ar-SA"/>
        </w:rPr>
        <w:t>4-11</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color w:val="000000"/>
          <w:kern w:val="2"/>
          <w:sz w:val="24"/>
          <w:szCs w:val="24"/>
          <w:lang w:val="zh-CN" w:eastAsia="zh-CN" w:bidi="zh-CN"/>
        </w:rPr>
      </w:pPr>
      <w:r>
        <w:rPr>
          <w:rFonts w:hint="eastAsia" w:ascii="Times New Roman" w:hAnsi="Times New Roman" w:eastAsia="宋体" w:cs="宋体"/>
          <w:b/>
          <w:bCs/>
          <w:color w:val="000000"/>
          <w:kern w:val="2"/>
          <w:sz w:val="24"/>
          <w:szCs w:val="24"/>
          <w:lang w:val="zh-CN" w:eastAsia="zh-CN" w:bidi="zh-CN"/>
        </w:rPr>
        <w:t>表</w:t>
      </w:r>
      <w:r>
        <w:rPr>
          <w:rFonts w:hint="eastAsia" w:ascii="Times New Roman" w:hAnsi="Times New Roman" w:eastAsia="宋体" w:cs="宋体"/>
          <w:b/>
          <w:bCs/>
          <w:color w:val="000000"/>
          <w:kern w:val="2"/>
          <w:sz w:val="24"/>
          <w:szCs w:val="24"/>
          <w:lang w:val="en-US" w:eastAsia="zh-CN" w:bidi="zh-CN"/>
        </w:rPr>
        <w:t>4-11</w:t>
      </w:r>
      <w:r>
        <w:rPr>
          <w:rFonts w:hint="eastAsia" w:ascii="Times New Roman" w:hAnsi="Times New Roman" w:eastAsia="宋体" w:cs="宋体"/>
          <w:b/>
          <w:bCs/>
          <w:color w:val="000000"/>
          <w:kern w:val="2"/>
          <w:sz w:val="24"/>
          <w:szCs w:val="24"/>
          <w:lang w:val="zh-CN" w:eastAsia="zh-CN" w:bidi="zh-CN"/>
        </w:rPr>
        <w:t xml:space="preserve">  </w:t>
      </w:r>
      <w:r>
        <w:rPr>
          <w:rFonts w:hint="eastAsia" w:ascii="Times New Roman" w:hAnsi="Times New Roman" w:eastAsia="宋体" w:cs="宋体"/>
          <w:b/>
          <w:bCs/>
          <w:color w:val="000000"/>
          <w:kern w:val="2"/>
          <w:sz w:val="24"/>
          <w:szCs w:val="24"/>
          <w:lang w:val="en-US" w:eastAsia="zh-CN" w:bidi="zh-CN"/>
        </w:rPr>
        <w:t xml:space="preserve">  </w:t>
      </w:r>
      <w:r>
        <w:rPr>
          <w:rFonts w:hint="eastAsia" w:ascii="Times New Roman" w:hAnsi="Times New Roman" w:eastAsia="宋体" w:cs="宋体"/>
          <w:b/>
          <w:bCs/>
          <w:color w:val="000000"/>
          <w:kern w:val="2"/>
          <w:sz w:val="24"/>
          <w:szCs w:val="24"/>
          <w:lang w:val="zh-CN" w:eastAsia="zh-CN" w:bidi="zh-CN"/>
        </w:rPr>
        <w:t>2021年灰河叶县水寨屈庄断面监测结果统计单位：mg/L（除pH）</w:t>
      </w:r>
    </w:p>
    <w:tbl>
      <w:tblPr>
        <w:tblStyle w:val="20"/>
        <w:tblW w:w="90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2219"/>
        <w:gridCol w:w="1135"/>
        <w:gridCol w:w="1135"/>
        <w:gridCol w:w="1135"/>
        <w:gridCol w:w="1135"/>
        <w:gridCol w:w="1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河流断面</w:t>
            </w: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项目</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均值</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评价标准</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标准指数</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超标率（%）</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最大超标倍数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灰河叶县水寨屈庄断面</w:t>
            </w:r>
          </w:p>
        </w:tc>
        <w:tc>
          <w:tcPr>
            <w:tcW w:w="2219" w:type="dxa"/>
            <w:tcBorders>
              <w:tl2br w:val="nil"/>
              <w:tr2bl w:val="nil"/>
            </w:tcBorders>
            <w:vAlign w:val="center"/>
          </w:tcPr>
          <w:p>
            <w:pPr>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pH</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7.90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6～9</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0.45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COD</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26</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30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0.87</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BOD</w:t>
            </w:r>
            <w:r>
              <w:rPr>
                <w:rFonts w:hint="default" w:ascii="Times New Roman" w:hAnsi="Times New Roman" w:eastAsia="宋体" w:cs="Times New Roman"/>
                <w:snapToGrid/>
                <w:color w:val="auto"/>
                <w:kern w:val="2"/>
                <w:sz w:val="21"/>
                <w:szCs w:val="21"/>
                <w:vertAlign w:val="subscript"/>
                <w:lang w:eastAsia="zh-CN"/>
              </w:rPr>
              <w:t>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2.8</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6</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0.47</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氟化物</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0.67</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0.45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阴离子表面活性剂</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0.067</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高锰酸盐指数</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0.43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氨氮</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0.763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0.51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总氮</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5.28</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铜</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石油类</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锌</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2.0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硒</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0.0067</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挥发酚</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氰化物</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砷</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0.0008</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0.008</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汞</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硫化物</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六价铬</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镉</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铅</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粪大肠菌群（个/L）</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261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20000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0.013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hint="default" w:ascii="Times New Roman" w:hAnsi="Times New Roman" w:eastAsia="宋体" w:cs="Times New Roman"/>
          <w:snapToGrid/>
          <w:kern w:val="2"/>
          <w:sz w:val="24"/>
          <w:szCs w:val="24"/>
          <w:lang w:eastAsia="zh-CN"/>
        </w:rPr>
      </w:pPr>
      <w:r>
        <w:rPr>
          <w:rFonts w:hint="default" w:ascii="Times New Roman" w:hAnsi="Times New Roman" w:eastAsia="宋体" w:cs="Times New Roman"/>
          <w:snapToGrid/>
          <w:kern w:val="2"/>
          <w:sz w:val="24"/>
          <w:szCs w:val="24"/>
          <w:lang w:eastAsia="zh-CN"/>
        </w:rPr>
        <w:t>由上表</w:t>
      </w:r>
      <w:r>
        <w:rPr>
          <w:rFonts w:hint="eastAsia" w:ascii="Times New Roman" w:hAnsi="Times New Roman" w:eastAsia="宋体" w:cs="Times New Roman"/>
          <w:snapToGrid/>
          <w:kern w:val="2"/>
          <w:sz w:val="24"/>
          <w:szCs w:val="24"/>
          <w:lang w:eastAsia="zh-CN"/>
        </w:rPr>
        <w:t>检测</w:t>
      </w:r>
      <w:r>
        <w:rPr>
          <w:rFonts w:hint="default" w:ascii="Times New Roman" w:hAnsi="Times New Roman" w:eastAsia="宋体" w:cs="Times New Roman"/>
          <w:snapToGrid/>
          <w:kern w:val="2"/>
          <w:sz w:val="24"/>
          <w:szCs w:val="24"/>
          <w:lang w:eastAsia="zh-CN"/>
        </w:rPr>
        <w:t>结果可知，</w:t>
      </w:r>
      <w:r>
        <w:rPr>
          <w:rFonts w:hint="eastAsia" w:ascii="Times New Roman" w:hAnsi="Times New Roman" w:eastAsia="宋体" w:cs="Times New Roman"/>
          <w:snapToGrid/>
          <w:kern w:val="2"/>
          <w:sz w:val="24"/>
          <w:szCs w:val="24"/>
          <w:lang w:eastAsia="zh-CN"/>
        </w:rPr>
        <w:t>202</w:t>
      </w:r>
      <w:r>
        <w:rPr>
          <w:rFonts w:hint="default" w:ascii="Times New Roman" w:hAnsi="Times New Roman" w:eastAsia="宋体" w:cs="Times New Roman"/>
          <w:snapToGrid/>
          <w:kern w:val="2"/>
          <w:sz w:val="24"/>
          <w:szCs w:val="24"/>
          <w:lang w:eastAsia="zh-CN"/>
        </w:rPr>
        <w:t>1</w:t>
      </w:r>
      <w:r>
        <w:rPr>
          <w:rFonts w:hint="eastAsia" w:ascii="Times New Roman" w:hAnsi="Times New Roman" w:eastAsia="宋体" w:cs="Times New Roman"/>
          <w:snapToGrid/>
          <w:kern w:val="2"/>
          <w:sz w:val="24"/>
          <w:szCs w:val="24"/>
          <w:lang w:eastAsia="zh-CN"/>
        </w:rPr>
        <w:t>年度</w:t>
      </w:r>
      <w:r>
        <w:rPr>
          <w:rFonts w:hint="default" w:ascii="Times New Roman" w:hAnsi="Times New Roman" w:eastAsia="宋体" w:cs="Times New Roman"/>
          <w:snapToGrid/>
          <w:kern w:val="2"/>
          <w:sz w:val="24"/>
          <w:szCs w:val="24"/>
          <w:lang w:eastAsia="zh-CN"/>
        </w:rPr>
        <w:t>灰河叶县水寨屈庄断面各监测因子均满足《地表水环境质量标准》（GB3838</w:t>
      </w:r>
      <w:r>
        <w:rPr>
          <w:rFonts w:hint="eastAsia" w:ascii="Times New Roman" w:hAnsi="Times New Roman" w:eastAsia="宋体" w:cs="Times New Roman"/>
          <w:snapToGrid/>
          <w:kern w:val="2"/>
          <w:sz w:val="24"/>
          <w:szCs w:val="24"/>
          <w:lang w:val="en-US" w:eastAsia="zh-CN"/>
        </w:rPr>
        <w:t>-</w:t>
      </w:r>
      <w:r>
        <w:rPr>
          <w:rFonts w:hint="default" w:ascii="Times New Roman" w:hAnsi="Times New Roman" w:eastAsia="宋体" w:cs="Times New Roman"/>
          <w:snapToGrid/>
          <w:kern w:val="2"/>
          <w:sz w:val="24"/>
          <w:szCs w:val="24"/>
          <w:lang w:eastAsia="zh-CN"/>
        </w:rPr>
        <w:t>2002）</w:t>
      </w:r>
      <w:r>
        <w:rPr>
          <w:rFonts w:hint="eastAsia" w:ascii="Times New Roman" w:hAnsi="Times New Roman" w:eastAsia="宋体" w:cs="Times New Roman"/>
          <w:snapToGrid/>
          <w:kern w:val="2"/>
          <w:sz w:val="24"/>
          <w:szCs w:val="24"/>
          <w:lang w:eastAsia="zh-CN"/>
        </w:rPr>
        <w:t>IV</w:t>
      </w:r>
      <w:r>
        <w:rPr>
          <w:rFonts w:hint="default" w:ascii="Times New Roman" w:hAnsi="Times New Roman" w:eastAsia="宋体" w:cs="Times New Roman"/>
          <w:snapToGrid/>
          <w:kern w:val="2"/>
          <w:sz w:val="24"/>
          <w:szCs w:val="24"/>
          <w:lang w:eastAsia="zh-CN"/>
        </w:rPr>
        <w:t>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lang w:eastAsia="zh-CN"/>
        </w:rPr>
      </w:pPr>
      <w:r>
        <w:rPr>
          <w:rFonts w:hint="default" w:ascii="Times New Roman" w:hAnsi="Times New Roman" w:eastAsia="宋体" w:cs="Times New Roman"/>
          <w:snapToGrid/>
          <w:kern w:val="2"/>
          <w:sz w:val="24"/>
          <w:szCs w:val="24"/>
          <w:lang w:eastAsia="zh-CN"/>
        </w:rPr>
        <w:t>②</w:t>
      </w:r>
      <w:r>
        <w:rPr>
          <w:rFonts w:hint="eastAsia" w:ascii="Times New Roman" w:hAnsi="Times New Roman" w:eastAsia="宋体" w:cs="Times New Roman"/>
          <w:snapToGrid/>
          <w:kern w:val="2"/>
          <w:sz w:val="24"/>
          <w:szCs w:val="24"/>
          <w:lang w:eastAsia="zh-CN"/>
        </w:rPr>
        <w:t>沙河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kern w:val="2"/>
          <w:sz w:val="24"/>
          <w:szCs w:val="24"/>
          <w:lang w:eastAsia="zh-CN"/>
        </w:rPr>
        <w:t>沙河</w:t>
      </w:r>
      <w:r>
        <w:rPr>
          <w:rFonts w:hint="default" w:ascii="Times New Roman" w:hAnsi="Times New Roman" w:eastAsia="宋体" w:cs="Times New Roman"/>
          <w:snapToGrid/>
          <w:kern w:val="2"/>
          <w:sz w:val="24"/>
          <w:szCs w:val="24"/>
          <w:lang w:eastAsia="zh-CN"/>
        </w:rPr>
        <w:t>现状监测及评价统计结果见表</w:t>
      </w:r>
      <w:r>
        <w:rPr>
          <w:rFonts w:hint="eastAsia" w:ascii="Times New Roman" w:hAnsi="Times New Roman" w:eastAsia="宋体" w:cs="Times New Roman"/>
          <w:snapToGrid/>
          <w:kern w:val="2"/>
          <w:sz w:val="24"/>
          <w:szCs w:val="24"/>
          <w:lang w:val="en-US" w:eastAsia="zh-CN"/>
        </w:rPr>
        <w:t>4-12</w:t>
      </w:r>
      <w:r>
        <w:rPr>
          <w:rFonts w:hint="default" w:ascii="Times New Roman" w:hAnsi="Times New Roman" w:eastAsia="宋体" w:cs="Times New Roman"/>
          <w:snapToGrid/>
          <w:kern w:val="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宋体"/>
          <w:b/>
          <w:bCs/>
          <w:color w:val="000000"/>
          <w:kern w:val="2"/>
          <w:sz w:val="24"/>
          <w:szCs w:val="24"/>
          <w:lang w:val="zh-CN" w:eastAsia="zh-CN" w:bidi="zh-CN"/>
        </w:rPr>
      </w:pPr>
      <w:r>
        <w:rPr>
          <w:rFonts w:hint="eastAsia" w:ascii="Times New Roman" w:hAnsi="Times New Roman" w:eastAsia="宋体" w:cs="宋体"/>
          <w:b/>
          <w:bCs/>
          <w:color w:val="000000"/>
          <w:kern w:val="2"/>
          <w:sz w:val="24"/>
          <w:szCs w:val="24"/>
          <w:lang w:val="zh-CN" w:eastAsia="zh-CN" w:bidi="zh-CN"/>
        </w:rPr>
        <w:t>表</w:t>
      </w:r>
      <w:r>
        <w:rPr>
          <w:rFonts w:hint="eastAsia" w:ascii="Times New Roman" w:hAnsi="Times New Roman" w:eastAsia="宋体" w:cs="宋体"/>
          <w:b/>
          <w:bCs/>
          <w:color w:val="000000"/>
          <w:kern w:val="2"/>
          <w:sz w:val="24"/>
          <w:szCs w:val="24"/>
          <w:lang w:val="en-US" w:eastAsia="zh-CN" w:bidi="zh-CN"/>
        </w:rPr>
        <w:t>4-12</w:t>
      </w:r>
      <w:r>
        <w:rPr>
          <w:rFonts w:hint="eastAsia" w:ascii="Times New Roman" w:hAnsi="Times New Roman" w:eastAsia="宋体" w:cs="宋体"/>
          <w:b/>
          <w:bCs/>
          <w:color w:val="000000"/>
          <w:kern w:val="2"/>
          <w:sz w:val="24"/>
          <w:szCs w:val="24"/>
          <w:lang w:val="zh-CN" w:eastAsia="zh-CN" w:bidi="zh-CN"/>
        </w:rPr>
        <w:t xml:space="preserve">  </w:t>
      </w:r>
      <w:r>
        <w:rPr>
          <w:rFonts w:hint="eastAsia" w:ascii="Times New Roman" w:hAnsi="Times New Roman" w:eastAsia="宋体" w:cs="宋体"/>
          <w:b/>
          <w:bCs/>
          <w:color w:val="000000"/>
          <w:kern w:val="2"/>
          <w:sz w:val="24"/>
          <w:szCs w:val="24"/>
          <w:lang w:val="en-US" w:eastAsia="zh-CN" w:bidi="zh-CN"/>
        </w:rPr>
        <w:t xml:space="preserve">  </w:t>
      </w:r>
      <w:r>
        <w:rPr>
          <w:rFonts w:hint="eastAsia" w:ascii="Times New Roman" w:hAnsi="Times New Roman" w:eastAsia="宋体" w:cs="宋体"/>
          <w:b/>
          <w:bCs/>
          <w:color w:val="000000"/>
          <w:kern w:val="2"/>
          <w:sz w:val="24"/>
          <w:szCs w:val="24"/>
          <w:lang w:val="zh-CN" w:eastAsia="zh-CN" w:bidi="zh-CN"/>
        </w:rPr>
        <w:t>2021年沙河舞阳马湾断面监测结果统计  单位：mg/L（除pH外）</w:t>
      </w:r>
    </w:p>
    <w:tbl>
      <w:tblPr>
        <w:tblStyle w:val="20"/>
        <w:tblW w:w="90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2219"/>
        <w:gridCol w:w="1135"/>
        <w:gridCol w:w="1135"/>
        <w:gridCol w:w="1135"/>
        <w:gridCol w:w="1135"/>
        <w:gridCol w:w="1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河流断面</w:t>
            </w: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项目</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均值</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评价标准</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标准指数</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超标率（%）</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最大超标倍数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沙河舞阳马湾断面</w:t>
            </w:r>
          </w:p>
        </w:tc>
        <w:tc>
          <w:tcPr>
            <w:tcW w:w="2219" w:type="dxa"/>
            <w:tcBorders>
              <w:tl2br w:val="nil"/>
              <w:tr2bl w:val="nil"/>
            </w:tcBorders>
            <w:vAlign w:val="center"/>
          </w:tcPr>
          <w:p>
            <w:pPr>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pH</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6～9</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COD</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16</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0.80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BOD</w:t>
            </w:r>
            <w:r>
              <w:rPr>
                <w:rFonts w:hint="default" w:ascii="Times New Roman" w:hAnsi="Times New Roman" w:eastAsia="宋体" w:cs="Times New Roman"/>
                <w:snapToGrid/>
                <w:color w:val="auto"/>
                <w:kern w:val="2"/>
                <w:sz w:val="21"/>
                <w:szCs w:val="21"/>
                <w:vertAlign w:val="subscript"/>
                <w:lang w:eastAsia="zh-CN"/>
              </w:rPr>
              <w:t>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2.6</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0.65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氟化物</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0.509</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0.509</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阴离子表面活性剂</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0.15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高锰酸盐指数</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6</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0.83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氨氮</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0.13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0.13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总氮</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3.84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铜</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石油类</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0.10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锌</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kern w:val="2"/>
                <w:sz w:val="21"/>
                <w:szCs w:val="21"/>
                <w:lang w:eastAsia="zh-CN"/>
              </w:rPr>
              <w:t>1.0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硒</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挥发酚</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0.0011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0.022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氰化物</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砷</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0.0009</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0.018</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汞</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r>
              <w:rPr>
                <w:rFonts w:hint="default" w:ascii="Times New Roman" w:hAnsi="Times New Roman" w:eastAsia="宋体" w:cs="Times New Roman"/>
                <w:snapToGrid/>
                <w:color w:val="auto"/>
                <w:kern w:val="2"/>
                <w:sz w:val="21"/>
                <w:szCs w:val="21"/>
                <w:lang w:eastAsia="zh-CN"/>
              </w:rPr>
              <w:t>0.0001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硫化物</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0.01</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六价铬</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0.08</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镉</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kern w:val="2"/>
                <w:sz w:val="21"/>
                <w:szCs w:val="21"/>
                <w:lang w:eastAsia="zh-CN"/>
              </w:rPr>
            </w:pPr>
          </w:p>
        </w:tc>
        <w:tc>
          <w:tcPr>
            <w:tcW w:w="2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铅</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0.0002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eastAsia="zh-CN"/>
              </w:rPr>
            </w:pPr>
            <w:r>
              <w:rPr>
                <w:rFonts w:hint="default" w:ascii="Times New Roman" w:hAnsi="Times New Roman" w:eastAsia="宋体" w:cs="Times New Roman"/>
                <w:snapToGrid/>
                <w:color w:val="auto"/>
                <w:kern w:val="2"/>
                <w:sz w:val="21"/>
                <w:szCs w:val="21"/>
                <w:lang w:eastAsia="zh-CN"/>
              </w:rPr>
              <w:t>0.004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eastAsia="zh-CN"/>
        </w:rPr>
      </w:pPr>
      <w:r>
        <w:rPr>
          <w:rFonts w:hint="default" w:ascii="Times New Roman" w:hAnsi="Times New Roman" w:eastAsia="宋体" w:cs="Times New Roman"/>
          <w:snapToGrid/>
          <w:kern w:val="2"/>
          <w:sz w:val="24"/>
          <w:szCs w:val="24"/>
          <w:lang w:eastAsia="zh-CN"/>
        </w:rPr>
        <w:t>由上表</w:t>
      </w:r>
      <w:r>
        <w:rPr>
          <w:rFonts w:hint="eastAsia" w:ascii="Times New Roman" w:hAnsi="Times New Roman" w:eastAsia="宋体" w:cs="Times New Roman"/>
          <w:snapToGrid/>
          <w:kern w:val="2"/>
          <w:sz w:val="24"/>
          <w:szCs w:val="24"/>
          <w:lang w:eastAsia="zh-CN"/>
        </w:rPr>
        <w:t>检测</w:t>
      </w:r>
      <w:r>
        <w:rPr>
          <w:rFonts w:hint="default" w:ascii="Times New Roman" w:hAnsi="Times New Roman" w:eastAsia="宋体" w:cs="Times New Roman"/>
          <w:snapToGrid/>
          <w:kern w:val="2"/>
          <w:sz w:val="24"/>
          <w:szCs w:val="24"/>
          <w:lang w:eastAsia="zh-CN"/>
        </w:rPr>
        <w:t>结果可知，</w:t>
      </w:r>
      <w:r>
        <w:rPr>
          <w:rFonts w:hint="eastAsia" w:ascii="Times New Roman" w:hAnsi="Times New Roman" w:eastAsia="宋体" w:cs="Times New Roman"/>
          <w:snapToGrid/>
          <w:kern w:val="2"/>
          <w:sz w:val="24"/>
          <w:szCs w:val="24"/>
          <w:lang w:eastAsia="zh-CN"/>
        </w:rPr>
        <w:t>202</w:t>
      </w:r>
      <w:r>
        <w:rPr>
          <w:rFonts w:hint="default" w:ascii="Times New Roman" w:hAnsi="Times New Roman" w:eastAsia="宋体" w:cs="Times New Roman"/>
          <w:snapToGrid/>
          <w:kern w:val="2"/>
          <w:sz w:val="24"/>
          <w:szCs w:val="24"/>
          <w:lang w:eastAsia="zh-CN"/>
        </w:rPr>
        <w:t>1</w:t>
      </w:r>
      <w:r>
        <w:rPr>
          <w:rFonts w:hint="eastAsia" w:ascii="Times New Roman" w:hAnsi="Times New Roman" w:eastAsia="宋体" w:cs="Times New Roman"/>
          <w:snapToGrid/>
          <w:kern w:val="2"/>
          <w:sz w:val="24"/>
          <w:szCs w:val="24"/>
          <w:lang w:eastAsia="zh-CN"/>
        </w:rPr>
        <w:t>年度沙河马湾</w:t>
      </w:r>
      <w:r>
        <w:rPr>
          <w:rFonts w:hint="default" w:ascii="Times New Roman" w:hAnsi="Times New Roman" w:eastAsia="宋体" w:cs="Times New Roman"/>
          <w:snapToGrid/>
          <w:kern w:val="2"/>
          <w:sz w:val="24"/>
          <w:szCs w:val="24"/>
          <w:lang w:eastAsia="zh-CN"/>
        </w:rPr>
        <w:t>断面各监测因子均满足《地表水环境质量标准》（GB3838-2002）III类标准</w:t>
      </w:r>
      <w:r>
        <w:rPr>
          <w:rFonts w:hint="eastAsia" w:ascii="Times New Roman" w:hAnsi="Times New Roman" w:eastAsia="宋体" w:cs="Times New Roman"/>
          <w:snapToGrid/>
          <w:kern w:val="2"/>
          <w:sz w:val="24"/>
          <w:szCs w:val="24"/>
          <w:lang w:eastAsia="zh-CN"/>
        </w:rPr>
        <w:t>，说明</w:t>
      </w:r>
      <w:r>
        <w:rPr>
          <w:rFonts w:hint="default" w:ascii="Times New Roman" w:hAnsi="Times New Roman" w:eastAsia="宋体" w:cs="Times New Roman"/>
          <w:snapToGrid/>
          <w:kern w:val="2"/>
          <w:sz w:val="24"/>
          <w:szCs w:val="24"/>
          <w:lang w:eastAsia="zh-CN"/>
        </w:rPr>
        <w:t>沙河水质现状</w:t>
      </w:r>
      <w:r>
        <w:rPr>
          <w:rFonts w:hint="eastAsia" w:ascii="Times New Roman" w:hAnsi="Times New Roman" w:eastAsia="宋体" w:cs="Times New Roman"/>
          <w:snapToGrid/>
          <w:kern w:val="2"/>
          <w:sz w:val="24"/>
          <w:szCs w:val="24"/>
          <w:lang w:eastAsia="zh-CN"/>
        </w:rPr>
        <w:t>较好。</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sz w:val="28"/>
          <w:szCs w:val="28"/>
        </w:rPr>
      </w:pPr>
      <w:bookmarkStart w:id="328" w:name="bookmark83"/>
      <w:bookmarkEnd w:id="328"/>
      <w:r>
        <w:rPr>
          <w:rFonts w:ascii="Times New Roman" w:hAnsi="Times New Roman" w:eastAsia="Times New Roman" w:cs="Times New Roman"/>
          <w:spacing w:val="-1"/>
          <w:sz w:val="28"/>
          <w:szCs w:val="28"/>
        </w:rPr>
        <w:t>4.3.3</w:t>
      </w:r>
      <w:r>
        <w:rPr>
          <w:rFonts w:ascii="楷体" w:hAnsi="楷体" w:eastAsia="楷体" w:cs="楷体"/>
          <w:spacing w:val="-1"/>
          <w:sz w:val="28"/>
          <w:szCs w:val="28"/>
        </w:rPr>
        <w:t>地下水环境质量现状监测与评价</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为了了解和掌握评价区域地下水环境质量现状，委托河南</w:t>
      </w:r>
      <w:r>
        <w:rPr>
          <w:rFonts w:hint="default" w:ascii="Times New Roman" w:hAnsi="Times New Roman" w:eastAsia="宋体" w:cs="Times New Roman"/>
          <w:sz w:val="24"/>
          <w:szCs w:val="24"/>
          <w:lang w:eastAsia="zh-CN"/>
        </w:rPr>
        <w:t>永飞</w:t>
      </w:r>
      <w:r>
        <w:rPr>
          <w:rFonts w:hint="default" w:ascii="Times New Roman" w:hAnsi="Times New Roman" w:eastAsia="宋体" w:cs="Times New Roman"/>
          <w:sz w:val="24"/>
          <w:szCs w:val="24"/>
        </w:rPr>
        <w:t>检测</w:t>
      </w:r>
      <w:r>
        <w:rPr>
          <w:rFonts w:hint="default" w:ascii="Times New Roman" w:hAnsi="Times New Roman" w:eastAsia="宋体" w:cs="Times New Roman"/>
          <w:sz w:val="24"/>
          <w:szCs w:val="24"/>
          <w:lang w:eastAsia="zh-CN"/>
        </w:rPr>
        <w:t>科技</w:t>
      </w:r>
      <w:r>
        <w:rPr>
          <w:rFonts w:hint="default" w:ascii="Times New Roman" w:hAnsi="Times New Roman" w:eastAsia="宋体" w:cs="Times New Roman"/>
          <w:sz w:val="24"/>
          <w:szCs w:val="24"/>
        </w:rPr>
        <w:t>有限公司于202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16</w:t>
      </w:r>
      <w:r>
        <w:rPr>
          <w:rFonts w:hint="default" w:ascii="Times New Roman" w:hAnsi="Times New Roman" w:eastAsia="宋体" w:cs="Times New Roman"/>
          <w:sz w:val="24"/>
          <w:szCs w:val="24"/>
          <w:highlight w:val="none"/>
        </w:rPr>
        <w:t>日-</w:t>
      </w:r>
      <w:r>
        <w:rPr>
          <w:rFonts w:hint="eastAsia" w:ascii="Times New Roman" w:hAnsi="Times New Roman" w:eastAsia="宋体" w:cs="Times New Roman"/>
          <w:sz w:val="24"/>
          <w:szCs w:val="24"/>
          <w:highlight w:val="none"/>
          <w:lang w:val="en-US" w:eastAsia="zh-CN"/>
        </w:rPr>
        <w:t>17</w:t>
      </w:r>
      <w:r>
        <w:rPr>
          <w:rFonts w:hint="default" w:ascii="Times New Roman" w:hAnsi="Times New Roman" w:eastAsia="宋体" w:cs="Times New Roman"/>
          <w:sz w:val="24"/>
          <w:szCs w:val="24"/>
          <w:highlight w:val="none"/>
        </w:rPr>
        <w:t>日</w:t>
      </w:r>
      <w:r>
        <w:rPr>
          <w:rFonts w:hint="default" w:ascii="Times New Roman" w:hAnsi="Times New Roman" w:eastAsia="宋体" w:cs="Times New Roman"/>
          <w:sz w:val="24"/>
          <w:szCs w:val="24"/>
        </w:rPr>
        <w:t>进行区域地下水质量现状监测。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）监测点位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根据区域地下水的流向和项目污水流经区域，选取</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个监测井的监测数据，监测布点见附图</w:t>
      </w:r>
      <w:r>
        <w:rPr>
          <w:rFonts w:hint="eastAsia" w:ascii="Times New Roman" w:hAnsi="Times New Roman" w:eastAsia="宋体" w:cs="Times New Roman"/>
          <w:sz w:val="24"/>
          <w:szCs w:val="24"/>
          <w:lang w:eastAsia="zh-CN"/>
        </w:rPr>
        <w:t>十一</w:t>
      </w:r>
      <w:r>
        <w:rPr>
          <w:rFonts w:hint="default" w:ascii="Times New Roman" w:hAnsi="Times New Roman" w:eastAsia="宋体" w:cs="Times New Roman"/>
          <w:sz w:val="24"/>
          <w:szCs w:val="24"/>
        </w:rPr>
        <w:t>，监测井的位置见表</w:t>
      </w:r>
      <w:r>
        <w:rPr>
          <w:rFonts w:hint="default" w:ascii="Times New Roman" w:hAnsi="Times New Roman" w:eastAsia="宋体" w:cs="Times New Roman"/>
          <w:sz w:val="24"/>
          <w:szCs w:val="24"/>
          <w:highlight w:val="none"/>
        </w:rPr>
        <w:t>4-1</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rPr>
        <w:t>。</w:t>
      </w:r>
    </w:p>
    <w:p>
      <w:pPr>
        <w:ind w:firstLine="480" w:firstLineChars="200"/>
        <w:jc w:val="center"/>
        <w:rPr>
          <w:rFonts w:ascii="Times New Roman" w:hAnsi="Times New Roman"/>
          <w:b/>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4-1</w:t>
      </w:r>
      <w:r>
        <w:rPr>
          <w:rFonts w:hint="eastAsia" w:ascii="Times New Roman" w:hAnsi="Times New Roman" w:eastAsia="宋体" w:cs="Times New Roman"/>
          <w:b/>
          <w:bCs/>
          <w:sz w:val="24"/>
          <w:szCs w:val="24"/>
          <w:lang w:val="en-US" w:eastAsia="zh-CN"/>
        </w:rPr>
        <w:t>3</w:t>
      </w:r>
      <w:r>
        <w:rPr>
          <w:rFonts w:ascii="Times New Roman" w:hAnsi="Times New Roman" w:eastAsia="Times New Roman" w:cs="Times New Roman"/>
          <w:b/>
          <w:bCs/>
          <w:sz w:val="24"/>
          <w:szCs w:val="24"/>
        </w:rPr>
        <w:t xml:space="preserve">           </w:t>
      </w:r>
      <w:r>
        <w:rPr>
          <w:rFonts w:ascii="Times New Roman" w:hAnsi="Times New Roman"/>
          <w:b/>
        </w:rPr>
        <w:t xml:space="preserve"> </w:t>
      </w:r>
      <w:r>
        <w:rPr>
          <w:rFonts w:hint="eastAsia" w:ascii="Times New Roman"/>
          <w:b/>
          <w:lang w:eastAsia="zh-CN"/>
        </w:rPr>
        <w:t>地下水</w:t>
      </w:r>
      <w:r>
        <w:rPr>
          <w:rFonts w:ascii="Times New Roman"/>
          <w:b/>
        </w:rPr>
        <w:t>监测点位布设情况一览表</w:t>
      </w:r>
    </w:p>
    <w:tbl>
      <w:tblPr>
        <w:tblStyle w:val="20"/>
        <w:tblW w:w="906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3"/>
        <w:gridCol w:w="1462"/>
        <w:gridCol w:w="2580"/>
        <w:gridCol w:w="36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53" w:type="dxa"/>
            <w:vAlign w:val="center"/>
          </w:tcPr>
          <w:p>
            <w:pPr>
              <w:jc w:val="center"/>
              <w:rPr>
                <w:rFonts w:ascii="Times New Roman" w:hAnsi="Times New Roman"/>
                <w:b/>
                <w:sz w:val="21"/>
                <w:szCs w:val="21"/>
              </w:rPr>
            </w:pPr>
            <w:r>
              <w:rPr>
                <w:rFonts w:ascii="Times New Roman"/>
                <w:b/>
                <w:sz w:val="21"/>
                <w:szCs w:val="21"/>
              </w:rPr>
              <w:t>监测点编号</w:t>
            </w:r>
          </w:p>
        </w:tc>
        <w:tc>
          <w:tcPr>
            <w:tcW w:w="1462" w:type="dxa"/>
            <w:vAlign w:val="center"/>
          </w:tcPr>
          <w:p>
            <w:pPr>
              <w:jc w:val="center"/>
              <w:rPr>
                <w:rFonts w:hint="eastAsia" w:ascii="Times New Roman" w:hAnsi="Times New Roman" w:eastAsia="宋体"/>
                <w:b/>
                <w:sz w:val="21"/>
                <w:szCs w:val="21"/>
                <w:lang w:eastAsia="zh-CN"/>
              </w:rPr>
            </w:pPr>
            <w:r>
              <w:rPr>
                <w:rFonts w:ascii="Times New Roman"/>
                <w:b/>
                <w:sz w:val="21"/>
                <w:szCs w:val="21"/>
              </w:rPr>
              <w:t>监测点</w:t>
            </w:r>
            <w:r>
              <w:rPr>
                <w:rFonts w:hint="eastAsia" w:ascii="Times New Roman"/>
                <w:b/>
                <w:sz w:val="21"/>
                <w:szCs w:val="21"/>
                <w:lang w:eastAsia="zh-CN"/>
              </w:rPr>
              <w:t>名称</w:t>
            </w:r>
          </w:p>
        </w:tc>
        <w:tc>
          <w:tcPr>
            <w:tcW w:w="2580" w:type="dxa"/>
            <w:vAlign w:val="center"/>
          </w:tcPr>
          <w:p>
            <w:pPr>
              <w:jc w:val="center"/>
              <w:rPr>
                <w:rFonts w:ascii="Times New Roman" w:hAnsi="Times New Roman"/>
                <w:b/>
                <w:sz w:val="21"/>
                <w:szCs w:val="21"/>
              </w:rPr>
            </w:pPr>
            <w:r>
              <w:rPr>
                <w:rFonts w:ascii="Times New Roman"/>
                <w:b/>
                <w:sz w:val="21"/>
                <w:szCs w:val="21"/>
              </w:rPr>
              <w:t>与</w:t>
            </w:r>
            <w:r>
              <w:rPr>
                <w:rFonts w:hint="eastAsia" w:ascii="Times New Roman"/>
                <w:b/>
                <w:sz w:val="21"/>
                <w:szCs w:val="21"/>
                <w:lang w:eastAsia="zh-CN"/>
              </w:rPr>
              <w:t>本项目</w:t>
            </w:r>
            <w:r>
              <w:rPr>
                <w:rFonts w:ascii="Times New Roman"/>
                <w:b/>
                <w:sz w:val="21"/>
                <w:szCs w:val="21"/>
              </w:rPr>
              <w:t>方位</w:t>
            </w:r>
            <w:r>
              <w:rPr>
                <w:rFonts w:hint="eastAsia" w:ascii="Times New Roman"/>
                <w:b/>
                <w:sz w:val="21"/>
                <w:szCs w:val="21"/>
                <w:lang w:val="en-US" w:eastAsia="zh-CN"/>
              </w:rPr>
              <w:t>/距离</w:t>
            </w:r>
            <w:r>
              <w:rPr>
                <w:rFonts w:ascii="Times New Roman"/>
                <w:b/>
                <w:sz w:val="21"/>
                <w:szCs w:val="21"/>
              </w:rPr>
              <w:t>（</w:t>
            </w:r>
            <w:r>
              <w:rPr>
                <w:rFonts w:ascii="Times New Roman" w:hAnsi="Times New Roman"/>
                <w:b/>
                <w:sz w:val="21"/>
                <w:szCs w:val="21"/>
              </w:rPr>
              <w:t>m</w:t>
            </w:r>
            <w:r>
              <w:rPr>
                <w:rFonts w:ascii="Times New Roman"/>
                <w:b/>
                <w:sz w:val="21"/>
                <w:szCs w:val="21"/>
              </w:rPr>
              <w:t>）</w:t>
            </w:r>
          </w:p>
        </w:tc>
        <w:tc>
          <w:tcPr>
            <w:tcW w:w="3671" w:type="dxa"/>
            <w:vAlign w:val="center"/>
          </w:tcPr>
          <w:p>
            <w:pPr>
              <w:jc w:val="center"/>
              <w:rPr>
                <w:rFonts w:hint="eastAsia" w:ascii="Times New Roman" w:hAnsi="Times New Roman" w:eastAsia="宋体"/>
                <w:b/>
                <w:sz w:val="21"/>
                <w:szCs w:val="21"/>
                <w:lang w:eastAsia="zh-CN"/>
              </w:rPr>
            </w:pPr>
            <w:r>
              <w:rPr>
                <w:rFonts w:hint="eastAsia" w:ascii="Times New Roman" w:hAnsi="Times New Roman"/>
                <w:b/>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53" w:type="dxa"/>
            <w:vAlign w:val="center"/>
          </w:tcPr>
          <w:p>
            <w:pPr>
              <w:jc w:val="center"/>
              <w:rPr>
                <w:rFonts w:ascii="Times New Roman" w:hAnsi="Times New Roman"/>
                <w:sz w:val="21"/>
                <w:szCs w:val="21"/>
              </w:rPr>
            </w:pPr>
            <w:r>
              <w:rPr>
                <w:rFonts w:hint="eastAsia" w:ascii="Times New Roman" w:hAnsi="Times New Roman"/>
                <w:sz w:val="21"/>
                <w:szCs w:val="21"/>
                <w:lang w:val="en-US" w:eastAsia="zh-CN"/>
              </w:rPr>
              <w:t>D</w:t>
            </w:r>
            <w:r>
              <w:rPr>
                <w:rFonts w:ascii="Times New Roman" w:hAnsi="Times New Roman"/>
                <w:sz w:val="21"/>
                <w:szCs w:val="21"/>
              </w:rPr>
              <w:t>1</w:t>
            </w:r>
          </w:p>
        </w:tc>
        <w:tc>
          <w:tcPr>
            <w:tcW w:w="1462" w:type="dxa"/>
            <w:vAlign w:val="center"/>
          </w:tcPr>
          <w:p>
            <w:pPr>
              <w:jc w:val="center"/>
              <w:rPr>
                <w:rFonts w:hint="eastAsia" w:ascii="Times New Roman" w:hAnsi="Times New Roman" w:eastAsia="宋体"/>
                <w:sz w:val="21"/>
                <w:szCs w:val="21"/>
                <w:lang w:eastAsia="zh-CN"/>
              </w:rPr>
            </w:pPr>
            <w:r>
              <w:rPr>
                <w:rFonts w:hint="eastAsia" w:ascii="宋体" w:hAnsi="宋体" w:cs="宋体"/>
                <w:color w:val="000000"/>
                <w:kern w:val="0"/>
                <w:sz w:val="21"/>
                <w:szCs w:val="21"/>
                <w:lang w:eastAsia="zh-CN"/>
              </w:rPr>
              <w:t>项目场址</w:t>
            </w:r>
          </w:p>
        </w:tc>
        <w:tc>
          <w:tcPr>
            <w:tcW w:w="2580" w:type="dxa"/>
            <w:vAlign w:val="center"/>
          </w:tcPr>
          <w:p>
            <w:pPr>
              <w:jc w:val="center"/>
              <w:rPr>
                <w:rFonts w:hint="eastAsia" w:ascii="Times New Roman" w:hAnsi="Times New Roman" w:eastAsia="宋体"/>
                <w:sz w:val="21"/>
                <w:szCs w:val="21"/>
                <w:lang w:eastAsia="zh-CN"/>
              </w:rPr>
            </w:pPr>
            <w:r>
              <w:rPr>
                <w:rFonts w:hint="eastAsia" w:ascii="Times New Roman"/>
                <w:sz w:val="21"/>
                <w:szCs w:val="21"/>
                <w:lang w:val="en-US" w:eastAsia="zh-CN"/>
              </w:rPr>
              <w:t>/</w:t>
            </w:r>
          </w:p>
        </w:tc>
        <w:tc>
          <w:tcPr>
            <w:tcW w:w="3671" w:type="dxa"/>
            <w:vAlign w:val="center"/>
          </w:tcPr>
          <w:p>
            <w:pPr>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53" w:type="dxa"/>
            <w:vAlign w:val="center"/>
          </w:tcPr>
          <w:p>
            <w:pPr>
              <w:jc w:val="center"/>
              <w:rPr>
                <w:rFonts w:ascii="Times New Roman" w:hAnsi="Times New Roman"/>
                <w:sz w:val="21"/>
                <w:szCs w:val="21"/>
                <w:vertAlign w:val="superscript"/>
              </w:rPr>
            </w:pPr>
            <w:r>
              <w:rPr>
                <w:rFonts w:hint="eastAsia" w:ascii="Times New Roman" w:hAnsi="Times New Roman"/>
                <w:sz w:val="21"/>
                <w:szCs w:val="21"/>
                <w:lang w:val="en-US" w:eastAsia="zh-CN"/>
              </w:rPr>
              <w:t>D</w:t>
            </w:r>
            <w:r>
              <w:rPr>
                <w:rFonts w:ascii="Times New Roman" w:hAnsi="Times New Roman"/>
                <w:sz w:val="21"/>
                <w:szCs w:val="21"/>
              </w:rPr>
              <w:t>2</w:t>
            </w:r>
          </w:p>
        </w:tc>
        <w:tc>
          <w:tcPr>
            <w:tcW w:w="1462"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张申庄村</w:t>
            </w:r>
          </w:p>
        </w:tc>
        <w:tc>
          <w:tcPr>
            <w:tcW w:w="2580"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西南1084m</w:t>
            </w:r>
          </w:p>
        </w:tc>
        <w:tc>
          <w:tcPr>
            <w:tcW w:w="3671"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上游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53"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D3</w:t>
            </w:r>
          </w:p>
        </w:tc>
        <w:tc>
          <w:tcPr>
            <w:tcW w:w="1462" w:type="dxa"/>
            <w:vAlign w:val="center"/>
          </w:tcPr>
          <w:p>
            <w:pPr>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贺庄</w:t>
            </w:r>
          </w:p>
        </w:tc>
        <w:tc>
          <w:tcPr>
            <w:tcW w:w="2580"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西侧1299m</w:t>
            </w:r>
          </w:p>
        </w:tc>
        <w:tc>
          <w:tcPr>
            <w:tcW w:w="3671"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上游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53" w:type="dxa"/>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D4</w:t>
            </w:r>
          </w:p>
        </w:tc>
        <w:tc>
          <w:tcPr>
            <w:tcW w:w="1462" w:type="dxa"/>
            <w:vAlign w:val="center"/>
          </w:tcPr>
          <w:p>
            <w:pPr>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鲁庄</w:t>
            </w:r>
          </w:p>
        </w:tc>
        <w:tc>
          <w:tcPr>
            <w:tcW w:w="2580"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东北380m</w:t>
            </w:r>
          </w:p>
        </w:tc>
        <w:tc>
          <w:tcPr>
            <w:tcW w:w="3671"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下游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53" w:type="dxa"/>
            <w:vAlign w:val="center"/>
          </w:tcPr>
          <w:p>
            <w:pPr>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D5</w:t>
            </w:r>
          </w:p>
        </w:tc>
        <w:tc>
          <w:tcPr>
            <w:tcW w:w="1462" w:type="dxa"/>
            <w:vAlign w:val="center"/>
          </w:tcPr>
          <w:p>
            <w:pPr>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大张庄</w:t>
            </w:r>
          </w:p>
        </w:tc>
        <w:tc>
          <w:tcPr>
            <w:tcW w:w="2580"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东北712m</w:t>
            </w:r>
          </w:p>
        </w:tc>
        <w:tc>
          <w:tcPr>
            <w:tcW w:w="3671"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下游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53" w:type="dxa"/>
            <w:vAlign w:val="center"/>
          </w:tcPr>
          <w:p>
            <w:pPr>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D6</w:t>
            </w:r>
          </w:p>
        </w:tc>
        <w:tc>
          <w:tcPr>
            <w:tcW w:w="1462" w:type="dxa"/>
            <w:vAlign w:val="center"/>
          </w:tcPr>
          <w:p>
            <w:pPr>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刘庄</w:t>
            </w:r>
          </w:p>
        </w:tc>
        <w:tc>
          <w:tcPr>
            <w:tcW w:w="2580"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西北373m</w:t>
            </w:r>
          </w:p>
        </w:tc>
        <w:tc>
          <w:tcPr>
            <w:tcW w:w="3671"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两侧（西北侧）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353" w:type="dxa"/>
            <w:vAlign w:val="center"/>
          </w:tcPr>
          <w:p>
            <w:pPr>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D7</w:t>
            </w:r>
          </w:p>
        </w:tc>
        <w:tc>
          <w:tcPr>
            <w:tcW w:w="1462" w:type="dxa"/>
            <w:vAlign w:val="center"/>
          </w:tcPr>
          <w:p>
            <w:pPr>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马庄乡</w:t>
            </w:r>
          </w:p>
        </w:tc>
        <w:tc>
          <w:tcPr>
            <w:tcW w:w="2580"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东南778m</w:t>
            </w:r>
          </w:p>
        </w:tc>
        <w:tc>
          <w:tcPr>
            <w:tcW w:w="3671"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两侧（东南侧）</w:t>
            </w:r>
          </w:p>
        </w:tc>
      </w:tr>
    </w:tbl>
    <w:p>
      <w:pPr>
        <w:keepNext w:val="0"/>
        <w:keepLines w:val="0"/>
        <w:pageBreakBefore w:val="0"/>
        <w:widowControl/>
        <w:kinsoku w:val="0"/>
        <w:wordWrap/>
        <w:overflowPunct/>
        <w:topLinePunct w:val="0"/>
        <w:autoSpaceDE w:val="0"/>
        <w:autoSpaceDN w:val="0"/>
        <w:bidi w:val="0"/>
        <w:adjustRightInd w:val="0"/>
        <w:snapToGrid w:val="0"/>
        <w:spacing w:before="120" w:line="360" w:lineRule="auto"/>
        <w:ind w:left="612"/>
        <w:textAlignment w:val="baseline"/>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）监测因子</w:t>
      </w:r>
    </w:p>
    <w:p>
      <w:pPr>
        <w:pStyle w:val="27"/>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snapToGrid/>
          <w:kern w:val="2"/>
          <w:sz w:val="24"/>
          <w:szCs w:val="24"/>
        </w:rPr>
      </w:pPr>
      <w:r>
        <w:rPr>
          <w:rFonts w:hint="eastAsia"/>
          <w:snapToGrid/>
          <w:sz w:val="24"/>
          <w:szCs w:val="24"/>
        </w:rPr>
        <w:t>①</w:t>
      </w:r>
      <w:r>
        <w:rPr>
          <w:rFonts w:hint="default"/>
          <w:snapToGrid/>
          <w:kern w:val="2"/>
          <w:sz w:val="24"/>
          <w:szCs w:val="24"/>
          <w:lang w:val="en-US" w:eastAsia="zh-CN"/>
        </w:rPr>
        <w:t>K</w:t>
      </w:r>
      <w:r>
        <w:rPr>
          <w:rFonts w:hint="default"/>
          <w:snapToGrid/>
          <w:kern w:val="2"/>
          <w:sz w:val="24"/>
          <w:szCs w:val="24"/>
          <w:vertAlign w:val="superscript"/>
          <w:lang w:val="en-US" w:eastAsia="zh-CN"/>
        </w:rPr>
        <w:t>+</w:t>
      </w:r>
      <w:r>
        <w:rPr>
          <w:rFonts w:hint="eastAsia"/>
          <w:snapToGrid/>
          <w:kern w:val="2"/>
          <w:sz w:val="24"/>
          <w:szCs w:val="24"/>
          <w:lang w:val="en-US" w:eastAsia="zh-CN"/>
        </w:rPr>
        <w:t>、</w:t>
      </w:r>
      <w:r>
        <w:rPr>
          <w:rFonts w:hint="default"/>
          <w:snapToGrid/>
          <w:kern w:val="2"/>
          <w:sz w:val="24"/>
          <w:szCs w:val="24"/>
          <w:lang w:val="en-US" w:eastAsia="zh-CN"/>
        </w:rPr>
        <w:t xml:space="preserve">Na </w:t>
      </w:r>
      <w:r>
        <w:rPr>
          <w:rFonts w:hint="default"/>
          <w:snapToGrid/>
          <w:kern w:val="2"/>
          <w:sz w:val="24"/>
          <w:szCs w:val="24"/>
          <w:vertAlign w:val="superscript"/>
          <w:lang w:val="en-US" w:eastAsia="zh-CN"/>
        </w:rPr>
        <w:t>+</w:t>
      </w:r>
      <w:r>
        <w:rPr>
          <w:rFonts w:hint="eastAsia"/>
          <w:snapToGrid/>
          <w:kern w:val="2"/>
          <w:sz w:val="24"/>
          <w:szCs w:val="24"/>
          <w:lang w:val="en-US" w:eastAsia="zh-CN"/>
        </w:rPr>
        <w:t>、</w:t>
      </w:r>
      <w:r>
        <w:rPr>
          <w:rFonts w:hint="default"/>
          <w:snapToGrid/>
          <w:kern w:val="2"/>
          <w:sz w:val="24"/>
          <w:szCs w:val="24"/>
          <w:lang w:val="en-US" w:eastAsia="zh-CN"/>
        </w:rPr>
        <w:t xml:space="preserve">Ca </w:t>
      </w:r>
      <w:r>
        <w:rPr>
          <w:rFonts w:hint="default"/>
          <w:snapToGrid/>
          <w:kern w:val="2"/>
          <w:sz w:val="24"/>
          <w:szCs w:val="24"/>
          <w:vertAlign w:val="superscript"/>
          <w:lang w:val="en-US" w:eastAsia="zh-CN"/>
        </w:rPr>
        <w:t>2+</w:t>
      </w:r>
      <w:r>
        <w:rPr>
          <w:rFonts w:hint="eastAsia"/>
          <w:snapToGrid/>
          <w:kern w:val="2"/>
          <w:sz w:val="24"/>
          <w:szCs w:val="24"/>
          <w:lang w:val="en-US" w:eastAsia="zh-CN"/>
        </w:rPr>
        <w:t>、</w:t>
      </w:r>
      <w:r>
        <w:rPr>
          <w:rFonts w:hint="default"/>
          <w:snapToGrid/>
          <w:kern w:val="2"/>
          <w:sz w:val="24"/>
          <w:szCs w:val="24"/>
          <w:lang w:val="en-US" w:eastAsia="zh-CN"/>
        </w:rPr>
        <w:t xml:space="preserve">Mg </w:t>
      </w:r>
      <w:r>
        <w:rPr>
          <w:rFonts w:hint="default"/>
          <w:snapToGrid/>
          <w:kern w:val="2"/>
          <w:sz w:val="24"/>
          <w:szCs w:val="24"/>
          <w:vertAlign w:val="superscript"/>
          <w:lang w:val="en-US" w:eastAsia="zh-CN"/>
        </w:rPr>
        <w:t>2+</w:t>
      </w:r>
      <w:r>
        <w:rPr>
          <w:rFonts w:hint="eastAsia"/>
          <w:snapToGrid/>
          <w:kern w:val="2"/>
          <w:sz w:val="24"/>
          <w:szCs w:val="24"/>
          <w:lang w:val="en-US" w:eastAsia="zh-CN"/>
        </w:rPr>
        <w:t>、</w:t>
      </w:r>
      <w:r>
        <w:rPr>
          <w:rFonts w:hint="default"/>
          <w:snapToGrid/>
          <w:kern w:val="2"/>
          <w:sz w:val="24"/>
          <w:szCs w:val="24"/>
          <w:lang w:val="en-US" w:eastAsia="zh-CN"/>
        </w:rPr>
        <w:t>CO</w:t>
      </w:r>
      <w:r>
        <w:rPr>
          <w:rFonts w:hint="default"/>
          <w:snapToGrid/>
          <w:kern w:val="2"/>
          <w:sz w:val="24"/>
          <w:szCs w:val="24"/>
          <w:vertAlign w:val="subscript"/>
          <w:lang w:val="en-US" w:eastAsia="zh-CN"/>
        </w:rPr>
        <w:t>3</w:t>
      </w:r>
      <w:r>
        <w:rPr>
          <w:rFonts w:hint="default"/>
          <w:snapToGrid/>
          <w:kern w:val="2"/>
          <w:sz w:val="24"/>
          <w:szCs w:val="24"/>
          <w:vertAlign w:val="superscript"/>
          <w:lang w:val="en-US" w:eastAsia="zh-CN"/>
        </w:rPr>
        <w:t>2-</w:t>
      </w:r>
      <w:r>
        <w:rPr>
          <w:rFonts w:hint="eastAsia"/>
          <w:snapToGrid/>
          <w:kern w:val="2"/>
          <w:sz w:val="24"/>
          <w:szCs w:val="24"/>
          <w:lang w:val="en-US" w:eastAsia="zh-CN"/>
        </w:rPr>
        <w:t>、</w:t>
      </w:r>
      <w:r>
        <w:rPr>
          <w:rFonts w:hint="default"/>
          <w:snapToGrid/>
          <w:kern w:val="2"/>
          <w:sz w:val="24"/>
          <w:szCs w:val="24"/>
          <w:lang w:val="en-US" w:eastAsia="zh-CN"/>
        </w:rPr>
        <w:t>HCO</w:t>
      </w:r>
      <w:r>
        <w:rPr>
          <w:rFonts w:hint="default"/>
          <w:snapToGrid/>
          <w:kern w:val="2"/>
          <w:sz w:val="24"/>
          <w:szCs w:val="24"/>
          <w:vertAlign w:val="subscript"/>
          <w:lang w:val="en-US" w:eastAsia="zh-CN"/>
        </w:rPr>
        <w:t>3</w:t>
      </w:r>
      <w:r>
        <w:rPr>
          <w:rFonts w:hint="eastAsia"/>
          <w:snapToGrid/>
          <w:kern w:val="2"/>
          <w:sz w:val="24"/>
          <w:szCs w:val="24"/>
          <w:vertAlign w:val="superscript"/>
          <w:lang w:val="en-US" w:eastAsia="zh-CN"/>
        </w:rPr>
        <w:t>-</w:t>
      </w:r>
      <w:r>
        <w:rPr>
          <w:rFonts w:hint="eastAsia"/>
          <w:snapToGrid/>
          <w:kern w:val="2"/>
          <w:sz w:val="24"/>
          <w:szCs w:val="24"/>
          <w:lang w:val="en-US" w:eastAsia="zh-CN"/>
        </w:rPr>
        <w:t>、</w:t>
      </w:r>
      <w:r>
        <w:rPr>
          <w:rFonts w:hint="default"/>
          <w:snapToGrid/>
          <w:kern w:val="2"/>
          <w:sz w:val="24"/>
          <w:szCs w:val="24"/>
          <w:lang w:val="en-US" w:eastAsia="zh-CN"/>
        </w:rPr>
        <w:t>Cl -</w:t>
      </w:r>
      <w:r>
        <w:rPr>
          <w:rFonts w:hint="eastAsia"/>
          <w:snapToGrid/>
          <w:kern w:val="2"/>
          <w:sz w:val="24"/>
          <w:szCs w:val="24"/>
          <w:lang w:val="en-US" w:eastAsia="zh-CN"/>
        </w:rPr>
        <w:t>、</w:t>
      </w:r>
      <w:r>
        <w:rPr>
          <w:rFonts w:hint="default"/>
          <w:snapToGrid/>
          <w:kern w:val="2"/>
          <w:sz w:val="24"/>
          <w:szCs w:val="24"/>
          <w:lang w:val="en-US" w:eastAsia="zh-CN"/>
        </w:rPr>
        <w:t>SO</w:t>
      </w:r>
      <w:r>
        <w:rPr>
          <w:rFonts w:hint="default"/>
          <w:snapToGrid/>
          <w:kern w:val="2"/>
          <w:sz w:val="24"/>
          <w:szCs w:val="24"/>
          <w:vertAlign w:val="subscript"/>
          <w:lang w:val="en-US" w:eastAsia="zh-CN"/>
        </w:rPr>
        <w:t>4</w:t>
      </w:r>
      <w:r>
        <w:rPr>
          <w:rFonts w:hint="default"/>
          <w:snapToGrid/>
          <w:kern w:val="2"/>
          <w:sz w:val="24"/>
          <w:szCs w:val="24"/>
          <w:vertAlign w:val="superscript"/>
          <w:lang w:val="en-US" w:eastAsia="zh-CN"/>
        </w:rPr>
        <w:t>2-</w:t>
      </w:r>
      <w:r>
        <w:rPr>
          <w:rFonts w:hint="eastAsia"/>
          <w:snapToGrid/>
          <w:kern w:val="2"/>
          <w:sz w:val="24"/>
          <w:szCs w:val="24"/>
          <w:lang w:val="en-US" w:eastAsia="zh-CN"/>
        </w:rPr>
        <w:t>；</w:t>
      </w:r>
      <w:r>
        <w:rPr>
          <w:rFonts w:hint="default"/>
          <w:snapToGrid/>
          <w:kern w:val="2"/>
          <w:sz w:val="24"/>
          <w:szCs w:val="24"/>
          <w:lang w:val="en-US" w:eastAsia="zh-CN"/>
        </w:rPr>
        <w:t>pH</w:t>
      </w:r>
      <w:r>
        <w:rPr>
          <w:rFonts w:hint="eastAsia"/>
          <w:snapToGrid/>
          <w:kern w:val="2"/>
          <w:sz w:val="24"/>
          <w:szCs w:val="24"/>
          <w:lang w:val="en-US" w:eastAsia="zh-CN"/>
        </w:rPr>
        <w:t>、氨氮、硝酸盐（以</w:t>
      </w:r>
      <w:r>
        <w:rPr>
          <w:rFonts w:hint="default"/>
          <w:snapToGrid/>
          <w:kern w:val="2"/>
          <w:sz w:val="24"/>
          <w:szCs w:val="24"/>
          <w:lang w:val="en-US" w:eastAsia="zh-CN"/>
        </w:rPr>
        <w:t>N</w:t>
      </w:r>
      <w:r>
        <w:rPr>
          <w:rFonts w:hint="eastAsia"/>
          <w:snapToGrid/>
          <w:kern w:val="2"/>
          <w:sz w:val="24"/>
          <w:szCs w:val="24"/>
          <w:lang w:val="en-US" w:eastAsia="zh-CN"/>
        </w:rPr>
        <w:t>计）、亚硝酸盐（以</w:t>
      </w:r>
      <w:r>
        <w:rPr>
          <w:rFonts w:hint="default"/>
          <w:snapToGrid/>
          <w:kern w:val="2"/>
          <w:sz w:val="24"/>
          <w:szCs w:val="24"/>
          <w:lang w:val="en-US" w:eastAsia="zh-CN"/>
        </w:rPr>
        <w:t>N</w:t>
      </w:r>
      <w:r>
        <w:rPr>
          <w:rFonts w:hint="eastAsia"/>
          <w:snapToGrid/>
          <w:kern w:val="2"/>
          <w:sz w:val="24"/>
          <w:szCs w:val="24"/>
          <w:lang w:val="en-US" w:eastAsia="zh-CN"/>
        </w:rPr>
        <w:t>计）、挥发性酚类、氰化物、砷、汞、铬（六价）、总硬度（以</w:t>
      </w:r>
      <w:r>
        <w:rPr>
          <w:rFonts w:hint="default"/>
          <w:snapToGrid/>
          <w:kern w:val="2"/>
          <w:sz w:val="24"/>
          <w:szCs w:val="24"/>
          <w:lang w:val="en-US" w:eastAsia="zh-CN"/>
        </w:rPr>
        <w:t>CaCO</w:t>
      </w:r>
      <w:r>
        <w:rPr>
          <w:rFonts w:hint="default"/>
          <w:snapToGrid/>
          <w:kern w:val="2"/>
          <w:sz w:val="24"/>
          <w:szCs w:val="24"/>
          <w:vertAlign w:val="subscript"/>
          <w:lang w:val="en-US" w:eastAsia="zh-CN"/>
        </w:rPr>
        <w:t>3</w:t>
      </w:r>
      <w:r>
        <w:rPr>
          <w:rFonts w:hint="eastAsia"/>
          <w:snapToGrid/>
          <w:kern w:val="2"/>
          <w:sz w:val="24"/>
          <w:szCs w:val="24"/>
          <w:lang w:val="en-US" w:eastAsia="zh-CN"/>
        </w:rPr>
        <w:t>计）、铅、氟、镉、铁、锰、溶解性总固体、硫酸盐、氯化物、总大肠菌群</w:t>
      </w:r>
      <w:r>
        <w:rPr>
          <w:rFonts w:hAnsi="Calibri"/>
          <w:snapToGrid/>
          <w:kern w:val="2"/>
          <w:sz w:val="24"/>
          <w:szCs w:val="24"/>
        </w:rPr>
        <w:t>。</w:t>
      </w:r>
    </w:p>
    <w:p>
      <w:pPr>
        <w:keepNext w:val="0"/>
        <w:keepLines w:val="0"/>
        <w:pageBreakBefore w:val="0"/>
        <w:widowControl/>
        <w:wordWrap/>
        <w:overflowPunct/>
        <w:topLinePunct w:val="0"/>
        <w:bidi w:val="0"/>
        <w:spacing w:line="360" w:lineRule="auto"/>
        <w:ind w:left="0" w:firstLine="480" w:firstLineChars="200"/>
        <w:rPr>
          <w:rFonts w:ascii="宋体" w:hAnsi="宋体" w:eastAsia="宋体" w:cs="宋体"/>
          <w:sz w:val="24"/>
          <w:szCs w:val="24"/>
        </w:rPr>
      </w:pPr>
      <w:r>
        <w:rPr>
          <w:rFonts w:hint="eastAsia"/>
          <w:snapToGrid/>
          <w:sz w:val="24"/>
          <w:szCs w:val="24"/>
        </w:rPr>
        <w:t>②</w:t>
      </w:r>
      <w:r>
        <w:rPr>
          <w:snapToGrid/>
          <w:color w:val="000000"/>
          <w:sz w:val="24"/>
          <w:szCs w:val="24"/>
        </w:rPr>
        <w:t>监测同时测</w:t>
      </w:r>
      <w:r>
        <w:rPr>
          <w:rFonts w:hint="eastAsia"/>
          <w:snapToGrid/>
          <w:color w:val="000000"/>
          <w:sz w:val="24"/>
          <w:szCs w:val="24"/>
          <w:lang w:eastAsia="zh-CN"/>
        </w:rPr>
        <w:t>井深、埋深、水位标高以及</w:t>
      </w:r>
      <w:r>
        <w:rPr>
          <w:snapToGrid/>
          <w:color w:val="000000"/>
          <w:sz w:val="24"/>
          <w:szCs w:val="24"/>
        </w:rPr>
        <w:t>水温等参数</w:t>
      </w:r>
      <w:r>
        <w:rPr>
          <w:rFonts w:ascii="宋体" w:hAnsi="宋体" w:eastAsia="宋体" w:cs="宋体"/>
          <w:spacing w:val="-1"/>
          <w:sz w:val="24"/>
          <w:szCs w:val="24"/>
        </w:rPr>
        <w:t>。</w:t>
      </w:r>
    </w:p>
    <w:p>
      <w:pPr>
        <w:spacing w:before="214" w:line="220"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）监测分析方法</w:t>
      </w:r>
    </w:p>
    <w:p>
      <w:pPr>
        <w:spacing w:before="213" w:line="219" w:lineRule="auto"/>
        <w:ind w:left="602"/>
        <w:rPr>
          <w:rFonts w:ascii="宋体" w:hAnsi="宋体" w:eastAsia="宋体" w:cs="宋体"/>
          <w:sz w:val="24"/>
          <w:szCs w:val="24"/>
        </w:rPr>
      </w:pPr>
      <w:r>
        <w:rPr>
          <w:rFonts w:ascii="宋体" w:hAnsi="宋体" w:eastAsia="宋体" w:cs="宋体"/>
          <w:spacing w:val="-3"/>
          <w:sz w:val="24"/>
          <w:szCs w:val="24"/>
        </w:rPr>
        <w:t>地下水环境监测分析方法见表</w:t>
      </w:r>
      <w:r>
        <w:rPr>
          <w:rFonts w:ascii="Times New Roman" w:hAnsi="Times New Roman" w:eastAsia="Times New Roman" w:cs="Times New Roman"/>
          <w:spacing w:val="-3"/>
          <w:sz w:val="24"/>
          <w:szCs w:val="24"/>
        </w:rPr>
        <w:t>4-1</w:t>
      </w:r>
      <w:r>
        <w:rPr>
          <w:rFonts w:hint="eastAsia" w:ascii="Times New Roman" w:hAnsi="Times New Roman" w:eastAsia="宋体" w:cs="Times New Roman"/>
          <w:spacing w:val="-3"/>
          <w:sz w:val="24"/>
          <w:szCs w:val="24"/>
          <w:lang w:val="en-US" w:eastAsia="zh-CN"/>
        </w:rPr>
        <w:t>4</w:t>
      </w:r>
      <w:r>
        <w:rPr>
          <w:rFonts w:ascii="宋体" w:hAnsi="宋体" w:eastAsia="宋体" w:cs="宋体"/>
          <w:spacing w:val="-3"/>
          <w:sz w:val="24"/>
          <w:szCs w:val="24"/>
        </w:rPr>
        <w:t>。</w:t>
      </w:r>
    </w:p>
    <w:p>
      <w:pPr>
        <w:pStyle w:val="13"/>
        <w:keepNext w:val="0"/>
        <w:keepLines w:val="0"/>
        <w:pageBreakBefore w:val="0"/>
        <w:widowControl/>
        <w:kinsoku/>
        <w:wordWrap/>
        <w:overflowPunct/>
        <w:topLinePunct w:val="0"/>
        <w:autoSpaceDE/>
        <w:autoSpaceDN/>
        <w:bidi w:val="0"/>
        <w:adjustRightInd/>
        <w:snapToGrid/>
        <w:spacing w:before="0" w:beforeLines="50" w:after="0" w:line="240" w:lineRule="auto"/>
        <w:ind w:left="0" w:leftChars="0" w:firstLine="0" w:firstLineChars="0"/>
        <w:jc w:val="center"/>
        <w:textAlignment w:val="auto"/>
        <w:rPr>
          <w:rFonts w:ascii="宋体" w:hAnsi="宋体" w:eastAsia="宋体" w:cs="宋体"/>
          <w:spacing w:val="-1"/>
          <w:sz w:val="24"/>
          <w:szCs w:val="24"/>
          <w14:textOutline w14:w="4358" w14:cap="sq" w14:cmpd="sng">
            <w14:solidFill>
              <w14:srgbClr w14:val="000000"/>
            </w14:solidFill>
            <w14:prstDash w14:val="solid"/>
            <w14:bevel/>
          </w14:textOutline>
        </w:rPr>
      </w:pPr>
    </w:p>
    <w:p>
      <w:pPr>
        <w:pStyle w:val="13"/>
        <w:keepNext w:val="0"/>
        <w:keepLines w:val="0"/>
        <w:pageBreakBefore w:val="0"/>
        <w:widowControl/>
        <w:kinsoku/>
        <w:wordWrap/>
        <w:overflowPunct/>
        <w:topLinePunct w:val="0"/>
        <w:autoSpaceDE/>
        <w:autoSpaceDN/>
        <w:bidi w:val="0"/>
        <w:adjustRightInd/>
        <w:snapToGrid/>
        <w:spacing w:before="0" w:beforeLines="50" w:after="0" w:line="240" w:lineRule="auto"/>
        <w:ind w:left="0" w:leftChars="0" w:firstLine="0" w:firstLineChars="0"/>
        <w:jc w:val="center"/>
        <w:textAlignment w:val="auto"/>
        <w:rPr>
          <w:rFonts w:ascii="宋体" w:hAnsi="宋体" w:eastAsia="宋体" w:cs="宋体"/>
          <w:spacing w:val="-1"/>
          <w:sz w:val="24"/>
          <w:szCs w:val="24"/>
          <w14:textOutline w14:w="4358" w14:cap="sq" w14:cmpd="sng">
            <w14:solidFill>
              <w14:srgbClr w14:val="000000"/>
            </w14:solidFill>
            <w14:prstDash w14:val="solid"/>
            <w14:bevel/>
          </w14:textOutline>
        </w:rPr>
      </w:pPr>
    </w:p>
    <w:p>
      <w:pPr>
        <w:pStyle w:val="13"/>
        <w:keepNext w:val="0"/>
        <w:keepLines w:val="0"/>
        <w:pageBreakBefore w:val="0"/>
        <w:widowControl/>
        <w:kinsoku/>
        <w:wordWrap/>
        <w:overflowPunct/>
        <w:topLinePunct w:val="0"/>
        <w:autoSpaceDE/>
        <w:autoSpaceDN/>
        <w:bidi w:val="0"/>
        <w:adjustRightInd/>
        <w:snapToGrid/>
        <w:spacing w:before="0" w:beforeLines="50" w:after="0" w:line="240" w:lineRule="auto"/>
        <w:ind w:left="0" w:leftChars="0" w:firstLine="0" w:firstLineChars="0"/>
        <w:jc w:val="center"/>
        <w:textAlignment w:val="auto"/>
        <w:rPr>
          <w:b/>
          <w:bCs/>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4-1</w:t>
      </w:r>
      <w:r>
        <w:rPr>
          <w:rFonts w:hint="eastAsia" w:ascii="Times New Roman" w:hAnsi="Times New Roman" w:eastAsia="宋体" w:cs="Times New Roman"/>
          <w:b/>
          <w:bCs/>
          <w:spacing w:val="-1"/>
          <w:sz w:val="24"/>
          <w:szCs w:val="24"/>
          <w:lang w:val="en-US" w:eastAsia="zh-CN"/>
        </w:rPr>
        <w:t>4</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地下水环境监测方法一览表</w:t>
      </w:r>
    </w:p>
    <w:tbl>
      <w:tblPr>
        <w:tblStyle w:val="20"/>
        <w:tblW w:w="906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3100"/>
        <w:gridCol w:w="2542"/>
        <w:gridCol w:w="1163"/>
        <w:gridCol w:w="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检测因子</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检测方法及编号</w:t>
            </w:r>
          </w:p>
        </w:tc>
        <w:tc>
          <w:tcPr>
            <w:tcW w:w="2542"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检测仪器及型号/编号</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检出限</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最低检出浓度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pH值</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bidi="ar"/>
              </w:rPr>
              <w:t>《水质 pH值的测定 电极法》HJ 1147-2020</w:t>
            </w:r>
          </w:p>
        </w:tc>
        <w:tc>
          <w:tcPr>
            <w:tcW w:w="2542" w:type="dxa"/>
            <w:tcBorders>
              <w:tl2br w:val="nil"/>
              <w:tr2bl w:val="nil"/>
            </w:tcBorders>
            <w:vAlign w:val="center"/>
          </w:tcPr>
          <w:p>
            <w:pPr>
              <w:snapToGrid w:val="0"/>
              <w:spacing w:line="240" w:lineRule="auto"/>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便携式pH计</w:t>
            </w:r>
          </w:p>
          <w:p>
            <w:pPr>
              <w:snapToGrid w:val="0"/>
              <w:spacing w:line="240" w:lineRule="auto"/>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PHB-4</w:t>
            </w:r>
          </w:p>
          <w:p>
            <w:pPr>
              <w:snapToGrid w:val="0"/>
              <w:spacing w:line="240" w:lineRule="auto"/>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YFYQ-023</w:t>
            </w:r>
            <w:r>
              <w:rPr>
                <w:rFonts w:hint="default" w:ascii="Times New Roman" w:hAnsi="Times New Roman" w:cs="Times New Roman"/>
                <w:color w:val="auto"/>
                <w:sz w:val="21"/>
                <w:szCs w:val="21"/>
                <w:lang w:val="en-US" w:eastAsia="zh-CN" w:bidi="ar"/>
              </w:rPr>
              <w:t>-10</w:t>
            </w:r>
            <w:r>
              <w:rPr>
                <w:rFonts w:hint="default" w:ascii="Times New Roman" w:hAnsi="Times New Roman" w:eastAsia="宋体" w:cs="Times New Roman"/>
                <w:color w:val="auto"/>
                <w:sz w:val="21"/>
                <w:szCs w:val="21"/>
                <w:lang w:bidi="ar"/>
              </w:rPr>
              <w:t>-202</w:t>
            </w:r>
            <w:r>
              <w:rPr>
                <w:rFonts w:hint="default" w:ascii="Times New Roman" w:hAnsi="Times New Roman" w:cs="Times New Roman"/>
                <w:color w:val="auto"/>
                <w:sz w:val="21"/>
                <w:szCs w:val="21"/>
                <w:lang w:val="en-US" w:eastAsia="zh-CN" w:bidi="ar"/>
              </w:rPr>
              <w:t>3</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总硬度</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《生活饮用水标准检验方法 第 4 部分：感官性状和物理指标（10.1 总硬度乙二胺四乙酸二钠滴定法）》</w:t>
            </w:r>
          </w:p>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GB/T 5750.4-2023</w:t>
            </w:r>
          </w:p>
        </w:tc>
        <w:tc>
          <w:tcPr>
            <w:tcW w:w="2542" w:type="dxa"/>
            <w:tcBorders>
              <w:tl2br w:val="nil"/>
              <w:tr2bl w:val="nil"/>
            </w:tcBorders>
            <w:vAlign w:val="center"/>
          </w:tcPr>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color w:val="000000"/>
                <w:sz w:val="21"/>
                <w:szCs w:val="21"/>
              </w:rPr>
              <w:t>酸式滴定管</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溶解性</w:t>
            </w:r>
          </w:p>
          <w:p>
            <w:pPr>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总固体</w:t>
            </w:r>
          </w:p>
        </w:tc>
        <w:tc>
          <w:tcPr>
            <w:tcW w:w="3100" w:type="dxa"/>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《生活饮用水标准检验方法 第 4 部分：感官性状和物理指标 （11.1 溶解性总固体 称量法）》</w:t>
            </w:r>
          </w:p>
          <w:p>
            <w:pPr>
              <w:snapToGrid w:val="0"/>
              <w:jc w:val="center"/>
              <w:rPr>
                <w:rFonts w:hint="default" w:ascii="Times New Roman" w:hAnsi="Times New Roman" w:cs="Times New Roman"/>
                <w:color w:val="000000"/>
                <w:sz w:val="21"/>
                <w:szCs w:val="21"/>
              </w:rPr>
            </w:pPr>
            <w:r>
              <w:rPr>
                <w:rFonts w:hint="default" w:ascii="Times New Roman" w:hAnsi="Times New Roman" w:eastAsia="宋体" w:cs="Times New Roman"/>
                <w:color w:val="auto"/>
                <w:sz w:val="21"/>
                <w:szCs w:val="21"/>
                <w:lang w:val="en-US" w:eastAsia="zh-CN" w:bidi="ar"/>
              </w:rPr>
              <w:t>GB/T 5750.4-2023</w:t>
            </w:r>
          </w:p>
        </w:tc>
        <w:tc>
          <w:tcPr>
            <w:tcW w:w="2542" w:type="dxa"/>
            <w:tcBorders>
              <w:tl2br w:val="nil"/>
              <w:tr2bl w:val="nil"/>
            </w:tcBorders>
            <w:vAlign w:val="center"/>
          </w:tcPr>
          <w:p>
            <w:pPr>
              <w:snapToGrid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电子分析天平</w:t>
            </w:r>
          </w:p>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FA224</w:t>
            </w:r>
          </w:p>
          <w:p>
            <w:pPr>
              <w:snapToGrid w:val="0"/>
              <w:jc w:val="center"/>
              <w:textAlignment w:val="center"/>
              <w:rPr>
                <w:rFonts w:hint="default" w:ascii="Times New Roman" w:hAnsi="Times New Roman" w:cs="Times New Roman"/>
                <w:color w:val="000000"/>
                <w:sz w:val="21"/>
                <w:szCs w:val="21"/>
              </w:rPr>
            </w:pPr>
            <w:r>
              <w:rPr>
                <w:rFonts w:hint="default" w:ascii="Times New Roman" w:hAnsi="Times New Roman" w:cs="Times New Roman"/>
                <w:sz w:val="21"/>
                <w:szCs w:val="21"/>
              </w:rPr>
              <w:t>YFYQ-012-2020</w:t>
            </w:r>
          </w:p>
        </w:tc>
        <w:tc>
          <w:tcPr>
            <w:tcW w:w="1163" w:type="dxa"/>
            <w:tcBorders>
              <w:tl2br w:val="nil"/>
              <w:tr2bl w:val="nil"/>
            </w:tcBorders>
            <w:vAlign w:val="center"/>
          </w:tcPr>
          <w:p>
            <w:pPr>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氨氮</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z w:val="21"/>
                <w:szCs w:val="21"/>
              </w:rPr>
              <w:t>《水质 氨氮的测定 纳氏试剂分光光度法》HJ 535-2009</w:t>
            </w:r>
          </w:p>
        </w:tc>
        <w:tc>
          <w:tcPr>
            <w:tcW w:w="2542" w:type="dxa"/>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可见分光光度计</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721</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sz w:val="21"/>
                <w:szCs w:val="21"/>
              </w:rPr>
              <w:t>YFYQ-0</w:t>
            </w:r>
            <w:r>
              <w:rPr>
                <w:rFonts w:hint="default" w:ascii="Times New Roman" w:hAnsi="Times New Roman" w:cs="Times New Roman"/>
                <w:sz w:val="21"/>
                <w:szCs w:val="21"/>
                <w:lang w:val="en-US" w:eastAsia="zh-CN"/>
              </w:rPr>
              <w:t>95</w:t>
            </w:r>
            <w:r>
              <w:rPr>
                <w:rFonts w:hint="default" w:ascii="Times New Roman" w:hAnsi="Times New Roman" w:cs="Times New Roman"/>
                <w:sz w:val="21"/>
                <w:szCs w:val="21"/>
              </w:rPr>
              <w:t>-202</w:t>
            </w:r>
            <w:r>
              <w:rPr>
                <w:rFonts w:hint="default" w:ascii="Times New Roman" w:hAnsi="Times New Roman" w:cs="Times New Roman"/>
                <w:sz w:val="21"/>
                <w:szCs w:val="21"/>
                <w:lang w:val="en-US" w:eastAsia="zh-CN"/>
              </w:rPr>
              <w:t>3</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0.025</w:t>
            </w:r>
          </w:p>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mg/L</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挥发酚</w:t>
            </w:r>
          </w:p>
        </w:tc>
        <w:tc>
          <w:tcPr>
            <w:tcW w:w="3100" w:type="dxa"/>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《水质 挥发酚的测定 4-氨基安替比林分光光度法》 HJ 503-2009</w:t>
            </w:r>
          </w:p>
        </w:tc>
        <w:tc>
          <w:tcPr>
            <w:tcW w:w="2542" w:type="dxa"/>
            <w:tcBorders>
              <w:tl2br w:val="nil"/>
              <w:tr2bl w:val="nil"/>
            </w:tcBorders>
            <w:vAlign w:val="center"/>
          </w:tcPr>
          <w:p>
            <w:pPr>
              <w:snapToGrid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紫外可见分光光度计</w:t>
            </w:r>
          </w:p>
          <w:p>
            <w:pPr>
              <w:snapToGrid w:val="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sz w:val="21"/>
                <w:szCs w:val="21"/>
              </w:rPr>
              <w:t>T6新世纪YFYQ-009-2020</w:t>
            </w:r>
          </w:p>
        </w:tc>
        <w:tc>
          <w:tcPr>
            <w:tcW w:w="1163" w:type="dxa"/>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0.0003</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mg/L</w:t>
            </w:r>
          </w:p>
        </w:tc>
        <w:tc>
          <w:tcPr>
            <w:tcW w:w="975"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六价铬</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《水质 六价铬的测定 二苯碳酰二肼分光光度法》</w:t>
            </w:r>
          </w:p>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z w:val="21"/>
                <w:szCs w:val="21"/>
              </w:rPr>
              <w:t>GB/T 7467-1987</w:t>
            </w:r>
          </w:p>
        </w:tc>
        <w:tc>
          <w:tcPr>
            <w:tcW w:w="2542" w:type="dxa"/>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紫外可见分光光度计</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color w:val="000000"/>
                <w:sz w:val="21"/>
                <w:szCs w:val="21"/>
              </w:rPr>
              <w:t>T6新世纪YFYQ-009-2020</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0.004</w:t>
            </w:r>
          </w:p>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氟化物</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《水质 氟化物的测定 离子选择电极法》</w:t>
            </w:r>
          </w:p>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z w:val="21"/>
                <w:szCs w:val="21"/>
              </w:rPr>
              <w:t>GB/T 7484-1987</w:t>
            </w:r>
          </w:p>
        </w:tc>
        <w:tc>
          <w:tcPr>
            <w:tcW w:w="2542" w:type="dxa"/>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pH计</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color w:val="000000"/>
                <w:sz w:val="21"/>
                <w:szCs w:val="21"/>
              </w:rPr>
              <w:t>PHS-25型YFYQ-022-2020</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w:t>
            </w:r>
          </w:p>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亚硝酸盐</w:t>
            </w:r>
            <w:r>
              <w:rPr>
                <w:rFonts w:hint="default" w:ascii="Times New Roman" w:hAnsi="Times New Roman" w:cs="Times New Roman"/>
                <w:color w:val="000000"/>
                <w:sz w:val="21"/>
                <w:szCs w:val="21"/>
                <w:lang w:val="en-US" w:eastAsia="zh-CN"/>
              </w:rPr>
              <w:t>氮</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《水质 亚硝酸盐氮的测定 分光光度法》</w:t>
            </w:r>
          </w:p>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z w:val="21"/>
                <w:szCs w:val="21"/>
                <w:lang w:bidi="ar"/>
              </w:rPr>
              <w:t>GB/T 7493-1987</w:t>
            </w:r>
          </w:p>
        </w:tc>
        <w:tc>
          <w:tcPr>
            <w:tcW w:w="2542" w:type="dxa"/>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可见分光光度计</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721</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sz w:val="21"/>
                <w:szCs w:val="21"/>
              </w:rPr>
              <w:t>YFYQ-0</w:t>
            </w:r>
            <w:r>
              <w:rPr>
                <w:rFonts w:hint="default" w:ascii="Times New Roman" w:hAnsi="Times New Roman" w:cs="Times New Roman"/>
                <w:sz w:val="21"/>
                <w:szCs w:val="21"/>
                <w:lang w:val="en-US" w:eastAsia="zh-CN"/>
              </w:rPr>
              <w:t>95</w:t>
            </w:r>
            <w:r>
              <w:rPr>
                <w:rFonts w:hint="default" w:ascii="Times New Roman" w:hAnsi="Times New Roman" w:cs="Times New Roman"/>
                <w:sz w:val="21"/>
                <w:szCs w:val="21"/>
              </w:rPr>
              <w:t>-202</w:t>
            </w:r>
            <w:r>
              <w:rPr>
                <w:rFonts w:hint="default" w:ascii="Times New Roman" w:hAnsi="Times New Roman" w:cs="Times New Roman"/>
                <w:sz w:val="21"/>
                <w:szCs w:val="21"/>
                <w:lang w:val="en-US" w:eastAsia="zh-CN"/>
              </w:rPr>
              <w:t>3</w:t>
            </w:r>
          </w:p>
        </w:tc>
        <w:tc>
          <w:tcPr>
            <w:tcW w:w="1163" w:type="dxa"/>
            <w:tcBorders>
              <w:tl2br w:val="nil"/>
              <w:tr2bl w:val="nil"/>
            </w:tcBorders>
            <w:vAlign w:val="center"/>
          </w:tcPr>
          <w:p>
            <w:pPr>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0.003</w:t>
            </w:r>
          </w:p>
          <w:p>
            <w:pPr>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硝酸盐</w:t>
            </w:r>
            <w:r>
              <w:rPr>
                <w:rFonts w:hint="default" w:ascii="Times New Roman" w:hAnsi="Times New Roman" w:cs="Times New Roman"/>
                <w:color w:val="000000"/>
                <w:sz w:val="21"/>
                <w:szCs w:val="21"/>
                <w:lang w:val="en-US" w:eastAsia="zh-CN"/>
              </w:rPr>
              <w:t>氮</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《水质 硝酸盐氮的测定 酚二磺酸分光光度法》</w:t>
            </w:r>
          </w:p>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z w:val="21"/>
                <w:szCs w:val="21"/>
              </w:rPr>
              <w:t>GB/T 7480-1987</w:t>
            </w:r>
          </w:p>
        </w:tc>
        <w:tc>
          <w:tcPr>
            <w:tcW w:w="2542" w:type="dxa"/>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可见分光光度计</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721</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sz w:val="21"/>
                <w:szCs w:val="21"/>
              </w:rPr>
              <w:t>YFYQ-0</w:t>
            </w:r>
            <w:r>
              <w:rPr>
                <w:rFonts w:hint="default" w:ascii="Times New Roman" w:hAnsi="Times New Roman" w:cs="Times New Roman"/>
                <w:sz w:val="21"/>
                <w:szCs w:val="21"/>
                <w:lang w:val="en-US" w:eastAsia="zh-CN"/>
              </w:rPr>
              <w:t>95</w:t>
            </w:r>
            <w:r>
              <w:rPr>
                <w:rFonts w:hint="default" w:ascii="Times New Roman" w:hAnsi="Times New Roman" w:cs="Times New Roman"/>
                <w:sz w:val="21"/>
                <w:szCs w:val="21"/>
              </w:rPr>
              <w:t>-202</w:t>
            </w:r>
            <w:r>
              <w:rPr>
                <w:rFonts w:hint="default" w:ascii="Times New Roman" w:hAnsi="Times New Roman" w:cs="Times New Roman"/>
                <w:sz w:val="21"/>
                <w:szCs w:val="21"/>
                <w:lang w:val="en-US" w:eastAsia="zh-CN"/>
              </w:rPr>
              <w:t>3</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w:t>
            </w:r>
          </w:p>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氰化物</w:t>
            </w:r>
          </w:p>
        </w:tc>
        <w:tc>
          <w:tcPr>
            <w:tcW w:w="31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《生活饮用水标准检验方法 第 5 部分：无机非金属指标</w:t>
            </w:r>
          </w:p>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（7.1 氰化物 异烟酸-吡唑啉酮分光光度法）》</w:t>
            </w:r>
          </w:p>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GB/T 5750.5-2023</w:t>
            </w:r>
          </w:p>
        </w:tc>
        <w:tc>
          <w:tcPr>
            <w:tcW w:w="254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ind w:left="-105" w:leftChars="-50" w:right="-105" w:rightChars="-5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紫外可见分光光度计</w:t>
            </w:r>
          </w:p>
          <w:p>
            <w:pPr>
              <w:keepNext w:val="0"/>
              <w:keepLines w:val="0"/>
              <w:pageBreakBefore w:val="0"/>
              <w:widowControl/>
              <w:kinsoku/>
              <w:wordWrap/>
              <w:overflowPunct/>
              <w:topLinePunct w:val="0"/>
              <w:autoSpaceDE/>
              <w:autoSpaceDN/>
              <w:bidi w:val="0"/>
              <w:adjustRightInd/>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rPr>
              <w:t>T6新世纪YFYQ-009-2020</w:t>
            </w:r>
          </w:p>
        </w:tc>
        <w:tc>
          <w:tcPr>
            <w:tcW w:w="116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0.002</w:t>
            </w:r>
          </w:p>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硫酸盐</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《水质 硫酸盐的测定 铬酸钡分光光度法》</w:t>
            </w:r>
          </w:p>
          <w:p>
            <w:pPr>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HJ/T 342-2007</w:t>
            </w:r>
          </w:p>
        </w:tc>
        <w:tc>
          <w:tcPr>
            <w:tcW w:w="2542" w:type="dxa"/>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可见分光光度计</w:t>
            </w:r>
          </w:p>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721</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sz w:val="21"/>
                <w:szCs w:val="21"/>
              </w:rPr>
              <w:t>YFYQ-0</w:t>
            </w:r>
            <w:r>
              <w:rPr>
                <w:rFonts w:hint="default" w:ascii="Times New Roman" w:hAnsi="Times New Roman" w:cs="Times New Roman"/>
                <w:sz w:val="21"/>
                <w:szCs w:val="21"/>
                <w:lang w:val="en-US" w:eastAsia="zh-CN"/>
              </w:rPr>
              <w:t>95</w:t>
            </w:r>
            <w:r>
              <w:rPr>
                <w:rFonts w:hint="default" w:ascii="Times New Roman" w:hAnsi="Times New Roman" w:cs="Times New Roman"/>
                <w:sz w:val="21"/>
                <w:szCs w:val="21"/>
              </w:rPr>
              <w:t>-202</w:t>
            </w:r>
            <w:r>
              <w:rPr>
                <w:rFonts w:hint="default" w:ascii="Times New Roman" w:hAnsi="Times New Roman" w:cs="Times New Roman"/>
                <w:sz w:val="21"/>
                <w:szCs w:val="21"/>
                <w:lang w:val="en-US" w:eastAsia="zh-CN"/>
              </w:rPr>
              <w:t>3</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8</w:t>
            </w:r>
          </w:p>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rPr>
              <w:t>铅</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《生活饮用水标准检验方法 第 6 部分：金属和类金属指标（14.1 铅 无火焰原子吸收分光光度法）》</w:t>
            </w:r>
          </w:p>
          <w:p>
            <w:pPr>
              <w:snapToGrid w:val="0"/>
              <w:ind w:left="-105" w:leftChars="-50" w:right="-105" w:rightChars="-50"/>
              <w:jc w:val="center"/>
              <w:rPr>
                <w:rFonts w:hint="default" w:ascii="Times New Roman" w:hAnsi="Times New Roman" w:cs="Times New Roman"/>
                <w:color w:val="000000"/>
                <w:sz w:val="21"/>
                <w:szCs w:val="21"/>
                <w:lang w:val="en-US" w:eastAsia="zh-CN" w:bidi="ar"/>
              </w:rPr>
            </w:pPr>
            <w:r>
              <w:rPr>
                <w:rFonts w:hint="default" w:ascii="Times New Roman" w:hAnsi="Times New Roman" w:eastAsia="宋体" w:cs="Times New Roman"/>
                <w:color w:val="auto"/>
                <w:kern w:val="0"/>
                <w:sz w:val="21"/>
                <w:szCs w:val="21"/>
                <w:lang w:val="en-US" w:eastAsia="zh-CN" w:bidi="ar"/>
              </w:rPr>
              <w:t>GB/T 5750.6-2023</w:t>
            </w:r>
          </w:p>
        </w:tc>
        <w:tc>
          <w:tcPr>
            <w:tcW w:w="2542" w:type="dxa"/>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原子吸收分光光度计TAS-990AFG</w:t>
            </w:r>
          </w:p>
          <w:p>
            <w:pPr>
              <w:snapToGrid w:val="0"/>
              <w:ind w:left="-105" w:leftChars="-50" w:right="-105" w:rightChars="-50"/>
              <w:jc w:val="center"/>
              <w:textAlignment w:val="center"/>
              <w:rPr>
                <w:rFonts w:hint="default" w:ascii="Times New Roman" w:hAnsi="Times New Roman" w:cs="Times New Roman"/>
                <w:color w:val="000000"/>
                <w:sz w:val="21"/>
                <w:szCs w:val="21"/>
                <w:lang w:val="en-US" w:eastAsia="zh-CN" w:bidi="ar"/>
              </w:rPr>
            </w:pPr>
            <w:r>
              <w:rPr>
                <w:rFonts w:hint="default" w:ascii="Times New Roman" w:hAnsi="Times New Roman" w:cs="Times New Roman"/>
                <w:color w:val="000000"/>
                <w:sz w:val="21"/>
                <w:szCs w:val="21"/>
                <w:lang w:bidi="ar"/>
              </w:rPr>
              <w:t>YFYQ-001-2020</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2.5</w:t>
            </w:r>
          </w:p>
          <w:p>
            <w:pPr>
              <w:snapToGrid w:val="0"/>
              <w:ind w:left="-105" w:leftChars="-50" w:right="-105" w:rightChars="-50"/>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氯化物</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《水质 氯化物的测定 硝酸银滴定法》</w:t>
            </w:r>
          </w:p>
          <w:p>
            <w:pPr>
              <w:snapToGrid w:val="0"/>
              <w:ind w:left="-105" w:leftChars="-50" w:right="-105" w:rightChars="-50"/>
              <w:jc w:val="center"/>
              <w:rPr>
                <w:rFonts w:hint="default" w:ascii="Times New Roman" w:hAnsi="Times New Roman" w:cs="Times New Roman"/>
                <w:color w:val="000000"/>
                <w:sz w:val="21"/>
                <w:szCs w:val="21"/>
                <w:lang w:bidi="ar"/>
              </w:rPr>
            </w:pPr>
            <w:r>
              <w:rPr>
                <w:rFonts w:hint="default" w:ascii="Times New Roman" w:hAnsi="Times New Roman" w:cs="Times New Roman"/>
                <w:sz w:val="21"/>
                <w:szCs w:val="21"/>
              </w:rPr>
              <w:t>GB/T 11896-1989</w:t>
            </w:r>
          </w:p>
        </w:tc>
        <w:tc>
          <w:tcPr>
            <w:tcW w:w="2542" w:type="dxa"/>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sz w:val="21"/>
                <w:szCs w:val="21"/>
              </w:rPr>
              <w:t>酸式滴定管</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10</w:t>
            </w:r>
          </w:p>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铁</w:t>
            </w:r>
          </w:p>
        </w:tc>
        <w:tc>
          <w:tcPr>
            <w:tcW w:w="3100" w:type="dxa"/>
            <w:vMerge w:val="restart"/>
            <w:tcBorders>
              <w:tl2br w:val="nil"/>
              <w:tr2bl w:val="nil"/>
            </w:tcBorders>
            <w:vAlign w:val="center"/>
          </w:tcPr>
          <w:p>
            <w:pPr>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 xml:space="preserve">《水质 铁、锰的测定 火焰原子吸收分光光度法》 </w:t>
            </w:r>
          </w:p>
          <w:p>
            <w:pPr>
              <w:ind w:left="-105" w:leftChars="-50" w:right="-105" w:rightChars="-5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z w:val="21"/>
                <w:szCs w:val="21"/>
                <w:lang w:bidi="ar"/>
              </w:rPr>
              <w:t>GB/T 11911-1989</w:t>
            </w:r>
          </w:p>
        </w:tc>
        <w:tc>
          <w:tcPr>
            <w:tcW w:w="2542" w:type="dxa"/>
            <w:vMerge w:val="restart"/>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原子吸收分光光度计TAS-990AFG</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color w:val="000000"/>
                <w:sz w:val="21"/>
                <w:szCs w:val="21"/>
                <w:lang w:bidi="ar"/>
              </w:rPr>
              <w:t>YFYQ-001-2020</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0.03</w:t>
            </w:r>
          </w:p>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mg/L</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bidi="ar"/>
              </w:rPr>
              <w:t>锰</w:t>
            </w:r>
          </w:p>
        </w:tc>
        <w:tc>
          <w:tcPr>
            <w:tcW w:w="3100" w:type="dxa"/>
            <w:vMerge w:val="continue"/>
            <w:tcBorders>
              <w:tl2br w:val="nil"/>
              <w:tr2bl w:val="nil"/>
            </w:tcBorders>
            <w:vAlign w:val="center"/>
          </w:tcPr>
          <w:p>
            <w:pPr>
              <w:ind w:left="-105" w:leftChars="-50" w:right="-105" w:rightChars="-50"/>
              <w:jc w:val="center"/>
              <w:textAlignment w:val="center"/>
              <w:rPr>
                <w:rFonts w:hint="default" w:ascii="Times New Roman" w:hAnsi="Times New Roman" w:eastAsia="宋体" w:cs="Times New Roman"/>
                <w:color w:val="auto"/>
                <w:sz w:val="21"/>
                <w:szCs w:val="21"/>
                <w:lang w:val="en-US" w:eastAsia="zh-CN"/>
              </w:rPr>
            </w:pPr>
          </w:p>
        </w:tc>
        <w:tc>
          <w:tcPr>
            <w:tcW w:w="2542" w:type="dxa"/>
            <w:vMerge w:val="continue"/>
            <w:tcBorders>
              <w:tl2br w:val="nil"/>
              <w:tr2bl w:val="nil"/>
            </w:tcBorders>
            <w:vAlign w:val="center"/>
          </w:tcPr>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w:t>
            </w:r>
          </w:p>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mg/L</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砷</w:t>
            </w:r>
          </w:p>
        </w:tc>
        <w:tc>
          <w:tcPr>
            <w:tcW w:w="3100" w:type="dxa"/>
            <w:vMerge w:val="restart"/>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《水质 汞、砷、硒、铋、锑的测定 原子荧光法》</w:t>
            </w:r>
          </w:p>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HJ 694-2014</w:t>
            </w:r>
          </w:p>
        </w:tc>
        <w:tc>
          <w:tcPr>
            <w:tcW w:w="2542" w:type="dxa"/>
            <w:vMerge w:val="restart"/>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原子荧光光度计AFS-8220</w:t>
            </w:r>
          </w:p>
          <w:p>
            <w:pPr>
              <w:snapToGrid w:val="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sz w:val="21"/>
                <w:szCs w:val="21"/>
                <w:lang w:bidi="ar"/>
              </w:rPr>
              <w:t>YFYQ-003-2020</w:t>
            </w:r>
          </w:p>
        </w:tc>
        <w:tc>
          <w:tcPr>
            <w:tcW w:w="1163" w:type="dxa"/>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0.3</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μg/L</w:t>
            </w:r>
          </w:p>
        </w:tc>
        <w:tc>
          <w:tcPr>
            <w:tcW w:w="975"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汞</w:t>
            </w:r>
          </w:p>
        </w:tc>
        <w:tc>
          <w:tcPr>
            <w:tcW w:w="3100" w:type="dxa"/>
            <w:vMerge w:val="continue"/>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p>
        </w:tc>
        <w:tc>
          <w:tcPr>
            <w:tcW w:w="2542" w:type="dxa"/>
            <w:vMerge w:val="continue"/>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bidi="ar"/>
              </w:rPr>
            </w:pPr>
          </w:p>
        </w:tc>
        <w:tc>
          <w:tcPr>
            <w:tcW w:w="1163" w:type="dxa"/>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0.04</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μg/L</w:t>
            </w:r>
          </w:p>
        </w:tc>
        <w:tc>
          <w:tcPr>
            <w:tcW w:w="975"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总大肠</w:t>
            </w:r>
          </w:p>
          <w:p>
            <w:pPr>
              <w:snapToGrid w:val="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rPr>
              <w:t>菌群</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lang w:val="en-US" w:eastAsia="zh-CN" w:bidi="ar"/>
              </w:rPr>
              <w:t>《生活饮用水标准检验方法 第 12 部分：微生物指标（5.1 总大肠菌群 多管发酵法）》 GB/T 5750.12-2023</w:t>
            </w:r>
          </w:p>
        </w:tc>
        <w:tc>
          <w:tcPr>
            <w:tcW w:w="2542" w:type="dxa"/>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生化培养箱</w:t>
            </w:r>
          </w:p>
          <w:p>
            <w:pPr>
              <w:snapToGrid w:val="0"/>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SPX-70B</w:t>
            </w:r>
          </w:p>
          <w:p>
            <w:pPr>
              <w:snapToGrid w:val="0"/>
              <w:ind w:left="-105" w:leftChars="-50" w:right="-105" w:rightChars="-5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000000"/>
                <w:sz w:val="21"/>
                <w:szCs w:val="21"/>
                <w:lang w:bidi="ar"/>
              </w:rPr>
              <w:t>YFYQ-014-2020</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2MPN</w:t>
            </w:r>
          </w:p>
          <w:p>
            <w:pPr>
              <w:snapToGrid w:val="0"/>
              <w:ind w:left="-105" w:leftChars="-50" w:right="-105" w:rightChars="-5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000000"/>
                <w:sz w:val="21"/>
                <w:szCs w:val="21"/>
              </w:rPr>
              <w:t>/100mL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rPr>
              <w:t>镉</w:t>
            </w:r>
          </w:p>
        </w:tc>
        <w:tc>
          <w:tcPr>
            <w:tcW w:w="3100"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《生活饮用水标准检验方法 第 6 部分：金属和类金属指标（12.1 镉 无火焰原子吸收分光光度法）》 </w:t>
            </w:r>
          </w:p>
          <w:p>
            <w:pPr>
              <w:snapToGrid w:val="0"/>
              <w:ind w:left="-105" w:leftChars="-50" w:right="-105" w:rightChars="-5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lang w:val="en-US" w:eastAsia="zh-CN" w:bidi="ar"/>
              </w:rPr>
              <w:t>GB/T 5750.6-2023</w:t>
            </w:r>
          </w:p>
        </w:tc>
        <w:tc>
          <w:tcPr>
            <w:tcW w:w="2542" w:type="dxa"/>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原子吸收分光光度计TAS-990AFG</w:t>
            </w:r>
          </w:p>
          <w:p>
            <w:pPr>
              <w:snapToGrid w:val="0"/>
              <w:ind w:left="-105" w:leftChars="-50" w:right="-105" w:rightChars="-5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000000"/>
                <w:sz w:val="21"/>
                <w:szCs w:val="21"/>
                <w:lang w:bidi="ar"/>
              </w:rPr>
              <w:t>YFYQ-001-2020</w:t>
            </w:r>
          </w:p>
        </w:tc>
        <w:tc>
          <w:tcPr>
            <w:tcW w:w="1163" w:type="dxa"/>
            <w:tcBorders>
              <w:tl2br w:val="nil"/>
              <w:tr2bl w:val="nil"/>
            </w:tcBorders>
            <w:vAlign w:val="center"/>
          </w:tcPr>
          <w:p>
            <w:pPr>
              <w:snapToGrid w:val="0"/>
              <w:ind w:left="-105" w:leftChars="-50" w:right="-105" w:rightChars="-5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000000"/>
                <w:sz w:val="21"/>
                <w:szCs w:val="21"/>
              </w:rPr>
              <w:t>/</w:t>
            </w:r>
          </w:p>
        </w:tc>
        <w:tc>
          <w:tcPr>
            <w:tcW w:w="975" w:type="dxa"/>
            <w:tcBorders>
              <w:tl2br w:val="nil"/>
              <w:tr2bl w:val="nil"/>
            </w:tcBorders>
            <w:vAlign w:val="center"/>
          </w:tcPr>
          <w:p>
            <w:pPr>
              <w:snapToGrid w:val="0"/>
              <w:ind w:left="-105" w:leftChars="-50" w:right="-105" w:rightChars="-5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0.5</w:t>
            </w:r>
          </w:p>
          <w:p>
            <w:pPr>
              <w:snapToGrid w:val="0"/>
              <w:ind w:left="-105" w:leftChars="-50" w:right="-105" w:rightChars="-5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000000"/>
                <w:sz w:val="21"/>
                <w:szCs w:val="21"/>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K</w:t>
            </w:r>
            <w:r>
              <w:rPr>
                <w:rFonts w:hint="default" w:ascii="Times New Roman" w:hAnsi="Times New Roman" w:cs="Times New Roman"/>
                <w:color w:val="000000"/>
                <w:sz w:val="21"/>
                <w:szCs w:val="21"/>
                <w:vertAlign w:val="superscript"/>
              </w:rPr>
              <w:t>+</w:t>
            </w:r>
          </w:p>
        </w:tc>
        <w:tc>
          <w:tcPr>
            <w:tcW w:w="3100" w:type="dxa"/>
            <w:vMerge w:val="restart"/>
            <w:tcBorders>
              <w:tl2br w:val="nil"/>
              <w:tr2bl w:val="nil"/>
            </w:tcBorders>
            <w:vAlign w:val="center"/>
          </w:tcPr>
          <w:p>
            <w:pPr>
              <w:snapToGrid w:val="0"/>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《水质 钾和钠的测定 火焰原子吸收分光光度法》</w:t>
            </w:r>
          </w:p>
          <w:p>
            <w:pPr>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bidi="ar"/>
              </w:rPr>
              <w:t>GB/T 11904-1989</w:t>
            </w:r>
          </w:p>
        </w:tc>
        <w:tc>
          <w:tcPr>
            <w:tcW w:w="2542" w:type="dxa"/>
            <w:vMerge w:val="restart"/>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原子吸收分光光度计TAS-990AFG</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color w:val="000000"/>
                <w:sz w:val="21"/>
                <w:szCs w:val="21"/>
                <w:lang w:bidi="ar"/>
              </w:rPr>
              <w:t>YFYQ-001-2020</w:t>
            </w:r>
          </w:p>
        </w:tc>
        <w:tc>
          <w:tcPr>
            <w:tcW w:w="1163"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jc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0.05</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lang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Na</w:t>
            </w:r>
            <w:r>
              <w:rPr>
                <w:rFonts w:hint="default" w:ascii="Times New Roman" w:hAnsi="Times New Roman" w:cs="Times New Roman"/>
                <w:color w:val="000000"/>
                <w:sz w:val="21"/>
                <w:szCs w:val="21"/>
                <w:vertAlign w:val="superscript"/>
              </w:rPr>
              <w:t>+</w:t>
            </w:r>
          </w:p>
        </w:tc>
        <w:tc>
          <w:tcPr>
            <w:tcW w:w="3100" w:type="dxa"/>
            <w:vMerge w:val="continue"/>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p>
        </w:tc>
        <w:tc>
          <w:tcPr>
            <w:tcW w:w="2542" w:type="dxa"/>
            <w:vMerge w:val="continue"/>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bidi="ar"/>
              </w:rPr>
            </w:pPr>
          </w:p>
        </w:tc>
        <w:tc>
          <w:tcPr>
            <w:tcW w:w="1163"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0.01</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Ca</w:t>
            </w:r>
            <w:r>
              <w:rPr>
                <w:rFonts w:hint="default" w:ascii="Times New Roman" w:hAnsi="Times New Roman" w:cs="Times New Roman"/>
                <w:color w:val="000000"/>
                <w:sz w:val="21"/>
                <w:szCs w:val="21"/>
                <w:vertAlign w:val="superscript"/>
              </w:rPr>
              <w:t>2+</w:t>
            </w:r>
          </w:p>
        </w:tc>
        <w:tc>
          <w:tcPr>
            <w:tcW w:w="3100" w:type="dxa"/>
            <w:vMerge w:val="restart"/>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《水质 钙和镁的测定 原子吸收分光光度法 》</w:t>
            </w:r>
          </w:p>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GB/T 11905-1989</w:t>
            </w:r>
          </w:p>
        </w:tc>
        <w:tc>
          <w:tcPr>
            <w:tcW w:w="2542" w:type="dxa"/>
            <w:vMerge w:val="restart"/>
            <w:tcBorders>
              <w:tl2br w:val="nil"/>
              <w:tr2bl w:val="nil"/>
            </w:tcBorders>
            <w:vAlign w:val="center"/>
          </w:tcPr>
          <w:p>
            <w:pPr>
              <w:snapToGrid w:val="0"/>
              <w:ind w:left="-105" w:leftChars="-50" w:right="-105" w:rightChars="-50"/>
              <w:jc w:val="center"/>
              <w:textAlignment w:val="center"/>
              <w:rPr>
                <w:rFonts w:hint="default" w:ascii="Times New Roman" w:hAnsi="Times New Roman" w:cs="Times New Roman"/>
                <w:color w:val="000000"/>
                <w:sz w:val="21"/>
                <w:szCs w:val="21"/>
                <w:lang w:bidi="ar"/>
              </w:rPr>
            </w:pPr>
            <w:r>
              <w:rPr>
                <w:rFonts w:hint="default" w:ascii="Times New Roman" w:hAnsi="Times New Roman" w:cs="Times New Roman"/>
                <w:color w:val="000000"/>
                <w:sz w:val="21"/>
                <w:szCs w:val="21"/>
                <w:lang w:bidi="ar"/>
              </w:rPr>
              <w:t>原子吸收分光光度计TAS-990AFG</w:t>
            </w:r>
          </w:p>
          <w:p>
            <w:pPr>
              <w:snapToGrid w:val="0"/>
              <w:ind w:left="-105" w:leftChars="-50" w:right="-105" w:rightChars="-5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color w:val="000000"/>
                <w:sz w:val="21"/>
                <w:szCs w:val="21"/>
                <w:lang w:bidi="ar"/>
              </w:rPr>
              <w:t>YFYQ-001-2020</w:t>
            </w:r>
          </w:p>
        </w:tc>
        <w:tc>
          <w:tcPr>
            <w:tcW w:w="1163"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0.02</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Mg</w:t>
            </w:r>
            <w:r>
              <w:rPr>
                <w:rFonts w:hint="default" w:ascii="Times New Roman" w:hAnsi="Times New Roman" w:cs="Times New Roman"/>
                <w:color w:val="000000"/>
                <w:sz w:val="21"/>
                <w:szCs w:val="21"/>
                <w:vertAlign w:val="superscript"/>
              </w:rPr>
              <w:t>2+</w:t>
            </w:r>
          </w:p>
        </w:tc>
        <w:tc>
          <w:tcPr>
            <w:tcW w:w="3100" w:type="dxa"/>
            <w:vMerge w:val="continue"/>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p>
        </w:tc>
        <w:tc>
          <w:tcPr>
            <w:tcW w:w="2542" w:type="dxa"/>
            <w:vMerge w:val="continue"/>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bidi="ar"/>
              </w:rPr>
            </w:pPr>
          </w:p>
        </w:tc>
        <w:tc>
          <w:tcPr>
            <w:tcW w:w="1163"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0.002</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CO</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vertAlign w:val="superscript"/>
              </w:rPr>
              <w:t>2-</w:t>
            </w:r>
          </w:p>
        </w:tc>
        <w:tc>
          <w:tcPr>
            <w:tcW w:w="3100" w:type="dxa"/>
            <w:vMerge w:val="restart"/>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z w:val="21"/>
                <w:szCs w:val="21"/>
                <w:lang w:bidi="ar"/>
              </w:rPr>
              <w:t>碱度</w:t>
            </w:r>
            <w:r>
              <w:rPr>
                <w:rStyle w:val="30"/>
                <w:rFonts w:hint="default" w:ascii="Times New Roman" w:hAnsi="Times New Roman" w:cs="Times New Roman"/>
                <w:lang w:bidi="ar"/>
              </w:rPr>
              <w:t xml:space="preserve"> </w:t>
            </w:r>
            <w:r>
              <w:rPr>
                <w:rStyle w:val="31"/>
                <w:rFonts w:hint="default" w:ascii="Times New Roman" w:hAnsi="Times New Roman" w:cs="Times New Roman"/>
                <w:lang w:bidi="ar"/>
              </w:rPr>
              <w:t>酸碱指示剂滴定法（</w:t>
            </w:r>
            <w:r>
              <w:rPr>
                <w:rStyle w:val="30"/>
                <w:rFonts w:hint="default" w:ascii="Times New Roman" w:hAnsi="Times New Roman" w:cs="Times New Roman"/>
                <w:lang w:bidi="ar"/>
              </w:rPr>
              <w:t>B</w:t>
            </w:r>
            <w:r>
              <w:rPr>
                <w:rStyle w:val="31"/>
                <w:rFonts w:hint="default" w:ascii="Times New Roman" w:hAnsi="Times New Roman" w:cs="Times New Roman"/>
                <w:lang w:bidi="ar"/>
              </w:rPr>
              <w:t>）《水和废水监测分析方法》 （第四版</w:t>
            </w:r>
            <w:r>
              <w:rPr>
                <w:rStyle w:val="30"/>
                <w:rFonts w:hint="default" w:ascii="Times New Roman" w:hAnsi="Times New Roman" w:cs="Times New Roman"/>
                <w:lang w:bidi="ar"/>
              </w:rPr>
              <w:t xml:space="preserve"> </w:t>
            </w:r>
            <w:r>
              <w:rPr>
                <w:rStyle w:val="31"/>
                <w:rFonts w:hint="default" w:ascii="Times New Roman" w:hAnsi="Times New Roman" w:cs="Times New Roman"/>
                <w:lang w:bidi="ar"/>
              </w:rPr>
              <w:t>增补版）</w:t>
            </w:r>
            <w:r>
              <w:rPr>
                <w:rStyle w:val="30"/>
                <w:rFonts w:hint="default" w:ascii="Times New Roman" w:hAnsi="Times New Roman" w:cs="Times New Roman"/>
                <w:lang w:bidi="ar"/>
              </w:rPr>
              <w:t xml:space="preserve"> </w:t>
            </w:r>
            <w:r>
              <w:rPr>
                <w:rStyle w:val="31"/>
                <w:rFonts w:hint="default" w:ascii="Times New Roman" w:hAnsi="Times New Roman" w:cs="Times New Roman"/>
                <w:lang w:bidi="ar"/>
              </w:rPr>
              <w:t>国家环境保护总局</w:t>
            </w:r>
            <w:r>
              <w:rPr>
                <w:rStyle w:val="30"/>
                <w:rFonts w:hint="default" w:ascii="Times New Roman" w:hAnsi="Times New Roman" w:cs="Times New Roman"/>
                <w:lang w:bidi="ar"/>
              </w:rPr>
              <w:t xml:space="preserve"> </w:t>
            </w:r>
            <w:r>
              <w:rPr>
                <w:rStyle w:val="31"/>
                <w:rFonts w:hint="default" w:ascii="Times New Roman" w:hAnsi="Times New Roman" w:cs="Times New Roman"/>
                <w:lang w:bidi="ar"/>
              </w:rPr>
              <w:t>（</w:t>
            </w:r>
            <w:r>
              <w:rPr>
                <w:rStyle w:val="30"/>
                <w:rFonts w:hint="default" w:ascii="Times New Roman" w:hAnsi="Times New Roman" w:cs="Times New Roman"/>
                <w:lang w:bidi="ar"/>
              </w:rPr>
              <w:t>2002</w:t>
            </w:r>
            <w:r>
              <w:rPr>
                <w:rStyle w:val="31"/>
                <w:rFonts w:hint="default" w:ascii="Times New Roman" w:hAnsi="Times New Roman" w:cs="Times New Roman"/>
                <w:lang w:bidi="ar"/>
              </w:rPr>
              <w:t>年）第三篇第一章十二（一）</w:t>
            </w:r>
          </w:p>
        </w:tc>
        <w:tc>
          <w:tcPr>
            <w:tcW w:w="2542" w:type="dxa"/>
            <w:vMerge w:val="restart"/>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sz w:val="21"/>
                <w:szCs w:val="21"/>
              </w:rPr>
              <w:t>酸式滴定管</w:t>
            </w:r>
          </w:p>
        </w:tc>
        <w:tc>
          <w:tcPr>
            <w:tcW w:w="1163"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HCO</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vertAlign w:val="superscript"/>
              </w:rPr>
              <w:t>-</w:t>
            </w:r>
          </w:p>
        </w:tc>
        <w:tc>
          <w:tcPr>
            <w:tcW w:w="3100" w:type="dxa"/>
            <w:vMerge w:val="continue"/>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p>
        </w:tc>
        <w:tc>
          <w:tcPr>
            <w:tcW w:w="2542" w:type="dxa"/>
            <w:vMerge w:val="continue"/>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bidi="ar"/>
              </w:rPr>
            </w:pPr>
          </w:p>
        </w:tc>
        <w:tc>
          <w:tcPr>
            <w:tcW w:w="1163"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c>
          <w:tcPr>
            <w:tcW w:w="975"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Cl</w:t>
            </w:r>
            <w:r>
              <w:rPr>
                <w:rFonts w:hint="default" w:ascii="Times New Roman" w:hAnsi="Times New Roman" w:cs="Times New Roman"/>
                <w:color w:val="000000"/>
                <w:sz w:val="21"/>
                <w:szCs w:val="21"/>
                <w:vertAlign w:val="superscript"/>
              </w:rPr>
              <w:t>-</w:t>
            </w:r>
          </w:p>
        </w:tc>
        <w:tc>
          <w:tcPr>
            <w:tcW w:w="3100" w:type="dxa"/>
            <w:vMerge w:val="restar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《水质 无机阴离子（F</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、Cl</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、Br</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3</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、PO</w:t>
            </w:r>
            <w:r>
              <w:rPr>
                <w:rFonts w:hint="default" w:ascii="Times New Roman" w:hAnsi="Times New Roman" w:cs="Times New Roman"/>
                <w:sz w:val="21"/>
                <w:szCs w:val="21"/>
                <w:vertAlign w:val="subscript"/>
              </w:rPr>
              <w:t>4</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3</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）的测定 离子色谱法 》HJ 84-2016</w:t>
            </w:r>
          </w:p>
        </w:tc>
        <w:tc>
          <w:tcPr>
            <w:tcW w:w="2542" w:type="dxa"/>
            <w:vMerge w:val="restart"/>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 离子色谱仪</w:t>
            </w:r>
          </w:p>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CIC-D100</w:t>
            </w:r>
          </w:p>
          <w:p>
            <w:pPr>
              <w:snapToGrid w:val="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cs="Times New Roman"/>
                <w:sz w:val="21"/>
                <w:szCs w:val="21"/>
              </w:rPr>
              <w:t>YFYQ-007-2020</w:t>
            </w:r>
          </w:p>
        </w:tc>
        <w:tc>
          <w:tcPr>
            <w:tcW w:w="1163" w:type="dxa"/>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0.007</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mg/L</w:t>
            </w:r>
          </w:p>
        </w:tc>
        <w:tc>
          <w:tcPr>
            <w:tcW w:w="975"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86" w:type="dxa"/>
            <w:tcBorders>
              <w:tl2br w:val="nil"/>
              <w:tr2bl w:val="nil"/>
            </w:tcBorders>
            <w:vAlign w:val="center"/>
          </w:tcPr>
          <w:p>
            <w:pPr>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SO</w:t>
            </w:r>
            <w:r>
              <w:rPr>
                <w:rFonts w:hint="default" w:ascii="Times New Roman" w:hAnsi="Times New Roman" w:cs="Times New Roman"/>
                <w:color w:val="000000"/>
                <w:sz w:val="21"/>
                <w:szCs w:val="21"/>
                <w:vertAlign w:val="subscript"/>
              </w:rPr>
              <w:t>4</w:t>
            </w:r>
            <w:r>
              <w:rPr>
                <w:rFonts w:hint="default" w:ascii="Times New Roman" w:hAnsi="Times New Roman" w:cs="Times New Roman"/>
                <w:color w:val="000000"/>
                <w:sz w:val="21"/>
                <w:szCs w:val="21"/>
                <w:vertAlign w:val="superscript"/>
              </w:rPr>
              <w:t>2-</w:t>
            </w:r>
          </w:p>
        </w:tc>
        <w:tc>
          <w:tcPr>
            <w:tcW w:w="3100" w:type="dxa"/>
            <w:vMerge w:val="continue"/>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p>
        </w:tc>
        <w:tc>
          <w:tcPr>
            <w:tcW w:w="2542" w:type="dxa"/>
            <w:vMerge w:val="continue"/>
            <w:tcBorders>
              <w:tl2br w:val="nil"/>
              <w:tr2bl w:val="nil"/>
            </w:tcBorders>
            <w:vAlign w:val="center"/>
          </w:tcPr>
          <w:p>
            <w:pPr>
              <w:snapToGrid w:val="0"/>
              <w:jc w:val="center"/>
              <w:textAlignment w:val="center"/>
              <w:rPr>
                <w:rFonts w:hint="default" w:ascii="Times New Roman" w:hAnsi="Times New Roman" w:eastAsia="宋体" w:cs="Times New Roman"/>
                <w:color w:val="auto"/>
                <w:sz w:val="21"/>
                <w:szCs w:val="21"/>
                <w:lang w:bidi="ar"/>
              </w:rPr>
            </w:pPr>
          </w:p>
        </w:tc>
        <w:tc>
          <w:tcPr>
            <w:tcW w:w="1163" w:type="dxa"/>
            <w:tcBorders>
              <w:tl2br w:val="nil"/>
              <w:tr2bl w:val="nil"/>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0.018</w:t>
            </w:r>
          </w:p>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mg/L</w:t>
            </w:r>
          </w:p>
        </w:tc>
        <w:tc>
          <w:tcPr>
            <w:tcW w:w="975" w:type="dxa"/>
            <w:tcBorders>
              <w:tl2br w:val="nil"/>
              <w:tr2bl w:val="nil"/>
            </w:tcBorders>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sz w:val="21"/>
                <w:szCs w:val="21"/>
              </w:rPr>
              <w:t>/</w:t>
            </w:r>
          </w:p>
        </w:tc>
      </w:tr>
    </w:tbl>
    <w:p>
      <w:pPr>
        <w:keepNext w:val="0"/>
        <w:keepLines w:val="0"/>
        <w:pageBreakBefore w:val="0"/>
        <w:widowControl/>
        <w:kinsoku w:val="0"/>
        <w:wordWrap/>
        <w:overflowPunct/>
        <w:topLinePunct w:val="0"/>
        <w:autoSpaceDE w:val="0"/>
        <w:autoSpaceDN w:val="0"/>
        <w:bidi w:val="0"/>
        <w:adjustRightInd w:val="0"/>
        <w:snapToGrid w:val="0"/>
        <w:spacing w:before="130" w:line="360" w:lineRule="auto"/>
        <w:ind w:left="612"/>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）评价方法</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根据地下水监测数据的统计结果，采用单项水质指数法，对照评价标准对地下水质量现状进行评价。计算公式如下：</w:t>
      </w:r>
    </w:p>
    <w:p>
      <w:pPr>
        <w:spacing w:before="172" w:line="323" w:lineRule="exact"/>
        <w:ind w:left="2888"/>
        <w:rPr>
          <w:rFonts w:ascii="Times New Roman" w:hAnsi="Times New Roman" w:eastAsia="Times New Roman" w:cs="Times New Roman"/>
          <w:sz w:val="15"/>
          <w:szCs w:val="15"/>
        </w:rPr>
      </w:pPr>
      <w:r>
        <w:rPr>
          <w:rFonts w:ascii="Times New Roman" w:hAnsi="Times New Roman" w:eastAsia="Times New Roman" w:cs="Times New Roman"/>
          <w:spacing w:val="-16"/>
          <w:position w:val="3"/>
          <w:sz w:val="24"/>
          <w:szCs w:val="24"/>
        </w:rPr>
        <w:t>S</w:t>
      </w:r>
      <w:r>
        <w:rPr>
          <w:rFonts w:ascii="Times New Roman" w:hAnsi="Times New Roman" w:eastAsia="Times New Roman" w:cs="Times New Roman"/>
          <w:position w:val="2"/>
          <w:sz w:val="15"/>
          <w:szCs w:val="15"/>
        </w:rPr>
        <w:t>ij</w:t>
      </w:r>
      <w:r>
        <w:rPr>
          <w:rFonts w:ascii="Times New Roman" w:hAnsi="Times New Roman" w:eastAsia="Times New Roman" w:cs="Times New Roman"/>
          <w:spacing w:val="3"/>
          <w:position w:val="3"/>
          <w:sz w:val="24"/>
          <w:szCs w:val="24"/>
        </w:rPr>
        <w:t>=</w:t>
      </w:r>
      <w:r>
        <w:rPr>
          <w:rFonts w:ascii="Times New Roman" w:hAnsi="Times New Roman" w:eastAsia="Times New Roman" w:cs="Times New Roman"/>
          <w:position w:val="3"/>
          <w:sz w:val="24"/>
          <w:szCs w:val="24"/>
        </w:rPr>
        <w:t>C</w:t>
      </w:r>
      <w:r>
        <w:rPr>
          <w:rFonts w:ascii="Times New Roman" w:hAnsi="Times New Roman" w:eastAsia="Times New Roman" w:cs="Times New Roman"/>
          <w:position w:val="2"/>
          <w:sz w:val="15"/>
          <w:szCs w:val="15"/>
        </w:rPr>
        <w:t>ij</w:t>
      </w:r>
      <w:r>
        <w:rPr>
          <w:rFonts w:ascii="Times New Roman" w:hAnsi="Times New Roman" w:eastAsia="Times New Roman" w:cs="Times New Roman"/>
          <w:spacing w:val="3"/>
          <w:position w:val="3"/>
          <w:sz w:val="24"/>
          <w:szCs w:val="24"/>
        </w:rPr>
        <w:t>/</w:t>
      </w:r>
      <w:r>
        <w:rPr>
          <w:rFonts w:ascii="Times New Roman" w:hAnsi="Times New Roman" w:eastAsia="Times New Roman" w:cs="Times New Roman"/>
          <w:position w:val="3"/>
          <w:sz w:val="24"/>
          <w:szCs w:val="24"/>
        </w:rPr>
        <w:t>C</w:t>
      </w:r>
      <w:r>
        <w:rPr>
          <w:rFonts w:ascii="Times New Roman" w:hAnsi="Times New Roman" w:eastAsia="Times New Roman" w:cs="Times New Roman"/>
          <w:position w:val="2"/>
          <w:sz w:val="15"/>
          <w:szCs w:val="15"/>
        </w:rPr>
        <w:t>si</w:t>
      </w:r>
    </w:p>
    <w:p>
      <w:pPr>
        <w:spacing w:before="220" w:line="212" w:lineRule="auto"/>
        <w:ind w:left="607"/>
        <w:rPr>
          <w:rFonts w:ascii="宋体" w:hAnsi="宋体" w:eastAsia="宋体" w:cs="宋体"/>
          <w:sz w:val="24"/>
          <w:szCs w:val="24"/>
        </w:rPr>
      </w:pPr>
      <w:r>
        <w:rPr>
          <w:rFonts w:ascii="宋体" w:hAnsi="宋体" w:eastAsia="宋体" w:cs="宋体"/>
          <w:sz w:val="24"/>
          <w:szCs w:val="24"/>
        </w:rPr>
        <w:t>式中：</w:t>
      </w:r>
      <w:r>
        <w:rPr>
          <w:rFonts w:ascii="Times New Roman" w:hAnsi="Times New Roman" w:eastAsia="Times New Roman" w:cs="Times New Roman"/>
          <w:sz w:val="24"/>
          <w:szCs w:val="24"/>
        </w:rPr>
        <w:t>S</w:t>
      </w:r>
      <w:r>
        <w:rPr>
          <w:rFonts w:ascii="Times New Roman" w:hAnsi="Times New Roman" w:eastAsia="Times New Roman" w:cs="Times New Roman"/>
          <w:position w:val="-1"/>
          <w:sz w:val="15"/>
          <w:szCs w:val="15"/>
        </w:rPr>
        <w:t>ij</w:t>
      </w:r>
      <w:r>
        <w:rPr>
          <w:rFonts w:ascii="宋体" w:hAnsi="宋体" w:eastAsia="宋体" w:cs="宋体"/>
          <w:sz w:val="24"/>
          <w:szCs w:val="24"/>
        </w:rPr>
        <w:t>——污染物</w:t>
      </w:r>
      <w:r>
        <w:rPr>
          <w:rFonts w:ascii="宋体" w:hAnsi="宋体" w:eastAsia="宋体" w:cs="宋体"/>
          <w:spacing w:val="-35"/>
          <w:sz w:val="24"/>
          <w:szCs w:val="24"/>
        </w:rPr>
        <w:t xml:space="preserve"> </w:t>
      </w:r>
      <w:r>
        <w:rPr>
          <w:rFonts w:ascii="Times New Roman" w:hAnsi="Times New Roman" w:eastAsia="Times New Roman" w:cs="Times New Roman"/>
          <w:sz w:val="24"/>
          <w:szCs w:val="24"/>
        </w:rPr>
        <w:t xml:space="preserve">i </w:t>
      </w:r>
      <w:r>
        <w:rPr>
          <w:rFonts w:ascii="宋体" w:hAnsi="宋体" w:eastAsia="宋体" w:cs="宋体"/>
          <w:sz w:val="24"/>
          <w:szCs w:val="24"/>
        </w:rPr>
        <w:t>在第</w:t>
      </w:r>
      <w:r>
        <w:rPr>
          <w:rFonts w:ascii="Times New Roman" w:hAnsi="Times New Roman" w:eastAsia="Times New Roman" w:cs="Times New Roman"/>
          <w:sz w:val="24"/>
          <w:szCs w:val="24"/>
        </w:rPr>
        <w:t>j</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点的标准指数；</w:t>
      </w:r>
    </w:p>
    <w:p>
      <w:pPr>
        <w:spacing w:before="226" w:line="211" w:lineRule="auto"/>
        <w:ind w:left="1322"/>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position w:val="-1"/>
          <w:sz w:val="15"/>
          <w:szCs w:val="15"/>
        </w:rPr>
        <w:t>ij</w:t>
      </w:r>
      <w:r>
        <w:rPr>
          <w:rFonts w:ascii="宋体" w:hAnsi="宋体" w:eastAsia="宋体" w:cs="宋体"/>
          <w:spacing w:val="1"/>
          <w:sz w:val="24"/>
          <w:szCs w:val="24"/>
        </w:rPr>
        <w:t>——污染物</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在第</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点的浓度（</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rFonts w:ascii="宋体" w:hAnsi="宋体" w:eastAsia="宋体" w:cs="宋体"/>
          <w:spacing w:val="2"/>
          <w:sz w:val="24"/>
          <w:szCs w:val="24"/>
        </w:rPr>
        <w:t>）；</w:t>
      </w:r>
    </w:p>
    <w:p>
      <w:pPr>
        <w:spacing w:before="225" w:line="496" w:lineRule="exact"/>
        <w:ind w:left="1322"/>
        <w:rPr>
          <w:rFonts w:ascii="宋体" w:hAnsi="宋体" w:eastAsia="宋体" w:cs="宋体"/>
          <w:sz w:val="24"/>
          <w:szCs w:val="24"/>
        </w:rPr>
      </w:pPr>
      <w:r>
        <w:rPr>
          <w:rFonts w:ascii="Times New Roman" w:hAnsi="Times New Roman" w:eastAsia="Times New Roman" w:cs="Times New Roman"/>
          <w:spacing w:val="-3"/>
          <w:position w:val="20"/>
          <w:sz w:val="24"/>
          <w:szCs w:val="24"/>
        </w:rPr>
        <w:t>C</w:t>
      </w:r>
      <w:r>
        <w:rPr>
          <w:rFonts w:ascii="Times New Roman" w:hAnsi="Times New Roman" w:eastAsia="Times New Roman" w:cs="Times New Roman"/>
          <w:spacing w:val="-3"/>
          <w:position w:val="19"/>
          <w:sz w:val="15"/>
          <w:szCs w:val="15"/>
        </w:rPr>
        <w:t>si</w:t>
      </w:r>
      <w:r>
        <w:rPr>
          <w:rFonts w:ascii="宋体" w:hAnsi="宋体" w:eastAsia="宋体" w:cs="宋体"/>
          <w:spacing w:val="-3"/>
          <w:position w:val="20"/>
          <w:sz w:val="24"/>
          <w:szCs w:val="24"/>
        </w:rPr>
        <w:t>——污染物</w:t>
      </w:r>
      <w:r>
        <w:rPr>
          <w:rFonts w:ascii="宋体" w:hAnsi="宋体" w:eastAsia="宋体" w:cs="宋体"/>
          <w:spacing w:val="-39"/>
          <w:position w:val="20"/>
          <w:sz w:val="24"/>
          <w:szCs w:val="24"/>
        </w:rPr>
        <w:t xml:space="preserve"> </w:t>
      </w:r>
      <w:r>
        <w:rPr>
          <w:rFonts w:ascii="Times New Roman" w:hAnsi="Times New Roman" w:eastAsia="Times New Roman" w:cs="Times New Roman"/>
          <w:spacing w:val="-3"/>
          <w:position w:val="20"/>
          <w:sz w:val="24"/>
          <w:szCs w:val="24"/>
        </w:rPr>
        <w:t>i</w:t>
      </w:r>
      <w:r>
        <w:rPr>
          <w:rFonts w:ascii="Times New Roman" w:hAnsi="Times New Roman" w:eastAsia="Times New Roman" w:cs="Times New Roman"/>
          <w:spacing w:val="29"/>
          <w:w w:val="101"/>
          <w:position w:val="20"/>
          <w:sz w:val="24"/>
          <w:szCs w:val="24"/>
        </w:rPr>
        <w:t xml:space="preserve"> </w:t>
      </w:r>
      <w:r>
        <w:rPr>
          <w:rFonts w:ascii="宋体" w:hAnsi="宋体" w:eastAsia="宋体" w:cs="宋体"/>
          <w:spacing w:val="-3"/>
          <w:position w:val="20"/>
          <w:sz w:val="24"/>
          <w:szCs w:val="24"/>
        </w:rPr>
        <w:t>的标准限值（</w:t>
      </w:r>
      <w:r>
        <w:rPr>
          <w:rFonts w:ascii="Times New Roman" w:hAnsi="Times New Roman" w:eastAsia="Times New Roman" w:cs="Times New Roman"/>
          <w:spacing w:val="-3"/>
          <w:position w:val="20"/>
          <w:sz w:val="24"/>
          <w:szCs w:val="24"/>
        </w:rPr>
        <w:t>mg/L</w:t>
      </w:r>
      <w:r>
        <w:rPr>
          <w:rFonts w:ascii="宋体" w:hAnsi="宋体" w:eastAsia="宋体" w:cs="宋体"/>
          <w:spacing w:val="-3"/>
          <w:position w:val="20"/>
          <w:sz w:val="24"/>
          <w:szCs w:val="24"/>
        </w:rPr>
        <w:t>）</w:t>
      </w:r>
    </w:p>
    <w:p>
      <w:pPr>
        <w:spacing w:before="1" w:line="212" w:lineRule="auto"/>
        <w:ind w:left="593"/>
        <w:rPr>
          <w:rFonts w:ascii="宋体" w:hAnsi="宋体" w:eastAsia="宋体" w:cs="宋体"/>
          <w:sz w:val="24"/>
          <w:szCs w:val="24"/>
        </w:rPr>
      </w:pPr>
      <w:r>
        <w:rPr>
          <w:rFonts w:ascii="Times New Roman" w:hAnsi="Times New Roman" w:eastAsia="Times New Roman" w:cs="Times New Roman"/>
          <w:spacing w:val="-4"/>
          <w:sz w:val="24"/>
          <w:szCs w:val="24"/>
        </w:rPr>
        <w:t>pH</w:t>
      </w:r>
      <w:r>
        <w:rPr>
          <w:rFonts w:ascii="Times New Roman" w:hAnsi="Times New Roman" w:eastAsia="Times New Roman" w:cs="Times New Roman"/>
          <w:spacing w:val="34"/>
          <w:w w:val="101"/>
          <w:sz w:val="24"/>
          <w:szCs w:val="24"/>
        </w:rPr>
        <w:t xml:space="preserve"> </w:t>
      </w:r>
      <w:r>
        <w:rPr>
          <w:rFonts w:ascii="宋体" w:hAnsi="宋体" w:eastAsia="宋体" w:cs="宋体"/>
          <w:spacing w:val="-4"/>
          <w:sz w:val="24"/>
          <w:szCs w:val="24"/>
        </w:rPr>
        <w:t>的标准指数为：</w:t>
      </w:r>
    </w:p>
    <w:p>
      <w:pPr>
        <w:pStyle w:val="8"/>
        <w:spacing w:line="258" w:lineRule="auto"/>
      </w:pPr>
    </w:p>
    <w:p>
      <w:pPr>
        <w:spacing w:before="66" w:line="226" w:lineRule="auto"/>
        <w:ind w:left="2790"/>
        <w:rPr>
          <w:rFonts w:ascii="Times New Roman" w:hAnsi="Times New Roman" w:eastAsia="Times New Roman" w:cs="Times New Roman"/>
          <w:sz w:val="13"/>
          <w:szCs w:val="13"/>
        </w:rPr>
      </w:pPr>
      <w:r>
        <w:pict>
          <v:shape id="_x0000_s1142" o:spid="_x0000_s1142" o:spt="202" type="#_x0000_t202" style="position:absolute;left:0pt;margin-left:131.85pt;margin-top:-13.3pt;height:22.15pt;width:183.2pt;z-index:251662336;mso-width-relative:page;mso-height-relative:page;" filled="f" stroked="f" coordsize="21600,21600">
            <v:path/>
            <v:fill on="f" focussize="0,0"/>
            <v:stroke on="f"/>
            <v:imagedata o:title=""/>
            <o:lock v:ext="edit" aspectratio="f"/>
            <v:textbox inset="0mm,0mm,0mm,0mm">
              <w:txbxContent>
                <w:p>
                  <w:pPr>
                    <w:spacing w:before="19" w:line="212"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5"/>
                      <w:position w:val="-5"/>
                      <w:sz w:val="23"/>
                      <w:szCs w:val="23"/>
                    </w:rPr>
                    <w:t>S</w:t>
                  </w:r>
                  <w:r>
                    <w:rPr>
                      <w:rFonts w:ascii="Times New Roman" w:hAnsi="Times New Roman" w:eastAsia="Times New Roman" w:cs="Times New Roman"/>
                      <w:spacing w:val="7"/>
                      <w:position w:val="-5"/>
                      <w:sz w:val="23"/>
                      <w:szCs w:val="23"/>
                    </w:rPr>
                    <w:t xml:space="preserve">     </w:t>
                  </w:r>
                  <w:r>
                    <w:rPr>
                      <w:rFonts w:ascii="Symbol" w:hAnsi="Symbol" w:eastAsia="Symbol" w:cs="Symbol"/>
                      <w:spacing w:val="5"/>
                      <w:position w:val="-5"/>
                      <w:sz w:val="23"/>
                      <w:szCs w:val="23"/>
                    </w:rPr>
                    <w:t xml:space="preserve">= </w:t>
                  </w:r>
                  <w:r>
                    <w:rPr>
                      <w:rFonts w:ascii="Times New Roman" w:hAnsi="Times New Roman" w:eastAsia="Times New Roman" w:cs="Times New Roman"/>
                      <w:spacing w:val="5"/>
                      <w:position w:val="12"/>
                      <w:sz w:val="23"/>
                      <w:szCs w:val="23"/>
                      <w:u w:val="single" w:color="auto"/>
                    </w:rPr>
                    <w:t xml:space="preserve"> </w:t>
                  </w:r>
                  <w:r>
                    <w:rPr>
                      <w:rFonts w:ascii="Times New Roman" w:hAnsi="Times New Roman" w:eastAsia="Times New Roman" w:cs="Times New Roman"/>
                      <w:position w:val="12"/>
                      <w:sz w:val="23"/>
                      <w:szCs w:val="23"/>
                      <w:u w:val="single" w:color="auto"/>
                    </w:rPr>
                    <w:t>p</w:t>
                  </w:r>
                  <w:r>
                    <w:rPr>
                      <w:rFonts w:ascii="Times New Roman" w:hAnsi="Times New Roman" w:eastAsia="Times New Roman" w:cs="Times New Roman"/>
                      <w:i/>
                      <w:iCs/>
                      <w:position w:val="12"/>
                      <w:sz w:val="23"/>
                      <w:szCs w:val="23"/>
                      <w:u w:val="single" w:color="auto"/>
                    </w:rPr>
                    <w:t>H</w:t>
                  </w:r>
                  <w:r>
                    <w:rPr>
                      <w:rFonts w:ascii="Times New Roman" w:hAnsi="Times New Roman" w:eastAsia="Times New Roman" w:cs="Times New Roman"/>
                      <w:i/>
                      <w:iCs/>
                      <w:position w:val="6"/>
                      <w:sz w:val="13"/>
                      <w:szCs w:val="13"/>
                      <w:u w:val="single" w:color="auto"/>
                    </w:rPr>
                    <w:t>j</w:t>
                  </w:r>
                  <w:r>
                    <w:rPr>
                      <w:rFonts w:ascii="Times New Roman" w:hAnsi="Times New Roman" w:eastAsia="Times New Roman" w:cs="Times New Roman"/>
                      <w:i/>
                      <w:iCs/>
                      <w:spacing w:val="5"/>
                      <w:position w:val="6"/>
                      <w:sz w:val="13"/>
                      <w:szCs w:val="13"/>
                      <w:u w:val="single" w:color="auto"/>
                    </w:rPr>
                    <w:t xml:space="preserve">        </w:t>
                  </w:r>
                  <w:r>
                    <w:rPr>
                      <w:rFonts w:ascii="Times New Roman" w:hAnsi="Times New Roman" w:eastAsia="Times New Roman" w:cs="Times New Roman"/>
                      <w:spacing w:val="5"/>
                      <w:position w:val="12"/>
                      <w:sz w:val="23"/>
                      <w:szCs w:val="23"/>
                      <w:u w:val="single" w:color="auto"/>
                    </w:rPr>
                    <w:t>7.0</w:t>
                  </w:r>
                  <w:r>
                    <w:rPr>
                      <w:rFonts w:ascii="Times New Roman" w:hAnsi="Times New Roman" w:eastAsia="Times New Roman" w:cs="Times New Roman"/>
                      <w:spacing w:val="-5"/>
                      <w:position w:val="12"/>
                      <w:sz w:val="23"/>
                      <w:szCs w:val="23"/>
                      <w:u w:val="single" w:color="auto"/>
                    </w:rPr>
                    <w:t xml:space="preserve"> </w:t>
                  </w:r>
                  <w:r>
                    <w:rPr>
                      <w:rFonts w:ascii="Times New Roman" w:hAnsi="Times New Roman" w:eastAsia="Times New Roman" w:cs="Times New Roman"/>
                      <w:spacing w:val="5"/>
                      <w:position w:val="12"/>
                      <w:sz w:val="23"/>
                      <w:szCs w:val="23"/>
                    </w:rPr>
                    <w:t xml:space="preserve">       </w:t>
                  </w:r>
                  <w:r>
                    <w:rPr>
                      <w:rFonts w:ascii="Times New Roman" w:hAnsi="Times New Roman" w:eastAsia="Times New Roman" w:cs="Times New Roman"/>
                      <w:spacing w:val="4"/>
                      <w:position w:val="12"/>
                      <w:sz w:val="23"/>
                      <w:szCs w:val="23"/>
                    </w:rPr>
                    <w:t xml:space="preserve">      </w:t>
                  </w:r>
                  <w:r>
                    <w:rPr>
                      <w:rFonts w:ascii="Times New Roman" w:hAnsi="Times New Roman" w:eastAsia="Times New Roman" w:cs="Times New Roman"/>
                      <w:spacing w:val="4"/>
                      <w:position w:val="-5"/>
                      <w:sz w:val="23"/>
                      <w:szCs w:val="23"/>
                    </w:rPr>
                    <w:t>(</w:t>
                  </w:r>
                  <w:r>
                    <w:rPr>
                      <w:rFonts w:ascii="Times New Roman" w:hAnsi="Times New Roman" w:eastAsia="Times New Roman" w:cs="Times New Roman"/>
                      <w:position w:val="-5"/>
                      <w:sz w:val="23"/>
                      <w:szCs w:val="23"/>
                    </w:rPr>
                    <w:t>pH</w:t>
                  </w:r>
                  <w:r>
                    <w:rPr>
                      <w:rFonts w:ascii="Times New Roman" w:hAnsi="Times New Roman" w:eastAsia="Times New Roman" w:cs="Times New Roman"/>
                      <w:spacing w:val="4"/>
                      <w:position w:val="-5"/>
                      <w:sz w:val="23"/>
                      <w:szCs w:val="23"/>
                    </w:rPr>
                    <w:t xml:space="preserve">   </w:t>
                  </w:r>
                  <w:r>
                    <w:rPr>
                      <w:rFonts w:ascii="Symbol" w:hAnsi="Symbol" w:eastAsia="Symbol" w:cs="Symbol"/>
                      <w:spacing w:val="4"/>
                      <w:position w:val="-5"/>
                      <w:sz w:val="23"/>
                      <w:szCs w:val="23"/>
                    </w:rPr>
                    <w:t>&gt;</w:t>
                  </w:r>
                  <w:r>
                    <w:rPr>
                      <w:rFonts w:ascii="Symbol" w:hAnsi="Symbol" w:eastAsia="Symbol" w:cs="Symbol"/>
                      <w:spacing w:val="18"/>
                      <w:position w:val="-5"/>
                      <w:sz w:val="23"/>
                      <w:szCs w:val="23"/>
                    </w:rPr>
                    <w:t xml:space="preserve"> </w:t>
                  </w:r>
                  <w:r>
                    <w:rPr>
                      <w:rFonts w:ascii="Times New Roman" w:hAnsi="Times New Roman" w:eastAsia="Times New Roman" w:cs="Times New Roman"/>
                      <w:spacing w:val="4"/>
                      <w:position w:val="-5"/>
                      <w:sz w:val="23"/>
                      <w:szCs w:val="23"/>
                    </w:rPr>
                    <w:t>7.0)</w:t>
                  </w:r>
                </w:p>
              </w:txbxContent>
            </v:textbox>
          </v:shape>
        </w:pict>
      </w:r>
      <w:r>
        <w:rPr>
          <w:rFonts w:ascii="Times New Roman" w:hAnsi="Times New Roman" w:eastAsia="Times New Roman" w:cs="Times New Roman"/>
          <w:position w:val="9"/>
          <w:sz w:val="13"/>
          <w:szCs w:val="13"/>
        </w:rPr>
        <w:t>pHj</w:t>
      </w:r>
      <w:r>
        <w:rPr>
          <w:rFonts w:ascii="Times New Roman" w:hAnsi="Times New Roman" w:eastAsia="Times New Roman" w:cs="Times New Roman"/>
          <w:spacing w:val="3"/>
          <w:position w:val="9"/>
          <w:sz w:val="13"/>
          <w:szCs w:val="13"/>
        </w:rPr>
        <w:t xml:space="preserve">         </w:t>
      </w:r>
      <w:r>
        <w:rPr>
          <w:rFonts w:ascii="Times New Roman" w:hAnsi="Times New Roman" w:eastAsia="Times New Roman" w:cs="Times New Roman"/>
          <w:position w:val="-3"/>
          <w:sz w:val="23"/>
          <w:szCs w:val="23"/>
        </w:rPr>
        <w:t>p</w:t>
      </w:r>
      <w:r>
        <w:rPr>
          <w:rFonts w:ascii="Times New Roman" w:hAnsi="Times New Roman" w:eastAsia="Times New Roman" w:cs="Times New Roman"/>
          <w:i/>
          <w:iCs/>
          <w:position w:val="-3"/>
          <w:sz w:val="23"/>
          <w:szCs w:val="23"/>
        </w:rPr>
        <w:t>H</w:t>
      </w:r>
      <w:r>
        <w:rPr>
          <w:rFonts w:ascii="Times New Roman" w:hAnsi="Times New Roman" w:eastAsia="Times New Roman" w:cs="Times New Roman"/>
          <w:i/>
          <w:iCs/>
          <w:position w:val="-9"/>
          <w:sz w:val="13"/>
          <w:szCs w:val="13"/>
        </w:rPr>
        <w:t>su</w:t>
      </w:r>
      <w:r>
        <w:rPr>
          <w:rFonts w:ascii="Times New Roman" w:hAnsi="Times New Roman" w:eastAsia="Times New Roman" w:cs="Times New Roman"/>
          <w:i/>
          <w:iCs/>
          <w:spacing w:val="3"/>
          <w:position w:val="-9"/>
          <w:sz w:val="13"/>
          <w:szCs w:val="13"/>
        </w:rPr>
        <w:t xml:space="preserve">        </w:t>
      </w:r>
      <w:r>
        <w:rPr>
          <w:rFonts w:ascii="Times New Roman" w:hAnsi="Times New Roman" w:eastAsia="Times New Roman" w:cs="Times New Roman"/>
          <w:spacing w:val="9"/>
          <w:position w:val="-3"/>
          <w:sz w:val="23"/>
          <w:szCs w:val="23"/>
        </w:rPr>
        <w:t xml:space="preserve">7.0                   </w:t>
      </w:r>
      <w:r>
        <w:rPr>
          <w:rFonts w:ascii="Times New Roman" w:hAnsi="Times New Roman" w:eastAsia="Times New Roman" w:cs="Times New Roman"/>
          <w:spacing w:val="9"/>
          <w:position w:val="9"/>
          <w:sz w:val="13"/>
          <w:szCs w:val="13"/>
        </w:rPr>
        <w:t>j</w:t>
      </w:r>
    </w:p>
    <w:p>
      <w:pPr>
        <w:keepNext w:val="0"/>
        <w:keepLines w:val="0"/>
        <w:pageBreakBefore w:val="0"/>
        <w:widowControl/>
        <w:kinsoku w:val="0"/>
        <w:wordWrap/>
        <w:overflowPunct/>
        <w:topLinePunct w:val="0"/>
        <w:autoSpaceDE w:val="0"/>
        <w:autoSpaceDN w:val="0"/>
        <w:bidi w:val="0"/>
        <w:adjustRightInd w:val="0"/>
        <w:snapToGrid w:val="0"/>
        <w:spacing w:before="190" w:line="185" w:lineRule="auto"/>
        <w:ind w:left="3288"/>
        <w:textAlignment w:val="baseline"/>
        <w:rPr>
          <w:rFonts w:ascii="Times New Roman" w:hAnsi="Times New Roman" w:eastAsia="Times New Roman" w:cs="Times New Roman"/>
          <w:sz w:val="23"/>
          <w:szCs w:val="23"/>
        </w:rPr>
      </w:pPr>
      <w:r>
        <w:rPr>
          <w:rFonts w:ascii="Times New Roman" w:hAnsi="Times New Roman" w:eastAsia="Times New Roman" w:cs="Times New Roman"/>
          <w:spacing w:val="4"/>
          <w:position w:val="-5"/>
          <w:sz w:val="23"/>
          <w:szCs w:val="23"/>
        </w:rPr>
        <w:t>S</w:t>
      </w:r>
      <w:r>
        <w:rPr>
          <w:rFonts w:ascii="Times New Roman" w:hAnsi="Times New Roman" w:eastAsia="Times New Roman" w:cs="Times New Roman"/>
          <w:spacing w:val="9"/>
          <w:position w:val="-5"/>
          <w:sz w:val="23"/>
          <w:szCs w:val="23"/>
        </w:rPr>
        <w:t xml:space="preserve">     </w:t>
      </w:r>
      <w:r>
        <w:rPr>
          <w:rFonts w:ascii="Symbol" w:hAnsi="Symbol" w:eastAsia="Symbol" w:cs="Symbol"/>
          <w:spacing w:val="4"/>
          <w:position w:val="-5"/>
          <w:sz w:val="23"/>
          <w:szCs w:val="23"/>
        </w:rPr>
        <w:t xml:space="preserve">= </w:t>
      </w:r>
      <w:r>
        <w:rPr>
          <w:rFonts w:ascii="Times New Roman" w:hAnsi="Times New Roman" w:eastAsia="Times New Roman" w:cs="Times New Roman"/>
          <w:spacing w:val="4"/>
          <w:position w:val="12"/>
          <w:sz w:val="23"/>
          <w:szCs w:val="23"/>
          <w:u w:val="single" w:color="auto"/>
        </w:rPr>
        <w:t xml:space="preserve"> 7.0 -</w:t>
      </w:r>
      <w:r>
        <w:rPr>
          <w:rFonts w:ascii="Times New Roman" w:hAnsi="Times New Roman" w:eastAsia="Times New Roman" w:cs="Times New Roman"/>
          <w:spacing w:val="-6"/>
          <w:position w:val="12"/>
          <w:sz w:val="23"/>
          <w:szCs w:val="23"/>
          <w:u w:val="single" w:color="auto"/>
        </w:rPr>
        <w:t xml:space="preserve"> </w:t>
      </w:r>
      <w:r>
        <w:rPr>
          <w:rFonts w:ascii="Times New Roman" w:hAnsi="Times New Roman" w:eastAsia="Times New Roman" w:cs="Times New Roman"/>
          <w:position w:val="12"/>
          <w:sz w:val="23"/>
          <w:szCs w:val="23"/>
          <w:u w:val="single" w:color="auto"/>
        </w:rPr>
        <w:t>p</w:t>
      </w:r>
      <w:r>
        <w:rPr>
          <w:rFonts w:ascii="Times New Roman" w:hAnsi="Times New Roman" w:eastAsia="Times New Roman" w:cs="Times New Roman"/>
          <w:i/>
          <w:iCs/>
          <w:position w:val="12"/>
          <w:sz w:val="23"/>
          <w:szCs w:val="23"/>
          <w:u w:val="single" w:color="auto"/>
        </w:rPr>
        <w:t>H</w:t>
      </w:r>
      <w:r>
        <w:rPr>
          <w:rFonts w:ascii="Times New Roman" w:hAnsi="Times New Roman" w:eastAsia="Times New Roman" w:cs="Times New Roman"/>
          <w:i/>
          <w:iCs/>
          <w:position w:val="6"/>
          <w:sz w:val="13"/>
          <w:szCs w:val="13"/>
          <w:u w:val="single" w:color="auto"/>
        </w:rPr>
        <w:t>j</w:t>
      </w:r>
      <w:r>
        <w:rPr>
          <w:rFonts w:ascii="Times New Roman" w:hAnsi="Times New Roman" w:eastAsia="Times New Roman" w:cs="Times New Roman"/>
          <w:i/>
          <w:iCs/>
          <w:spacing w:val="4"/>
          <w:position w:val="6"/>
          <w:sz w:val="13"/>
          <w:szCs w:val="13"/>
          <w:u w:val="single" w:color="auto"/>
        </w:rPr>
        <w:t xml:space="preserve">   </w:t>
      </w:r>
      <w:r>
        <w:rPr>
          <w:rFonts w:ascii="Times New Roman" w:hAnsi="Times New Roman" w:eastAsia="Times New Roman" w:cs="Times New Roman"/>
          <w:i/>
          <w:iCs/>
          <w:position w:val="6"/>
          <w:sz w:val="13"/>
          <w:szCs w:val="13"/>
        </w:rPr>
        <w:t xml:space="preserve">                        </w:t>
      </w:r>
      <w:r>
        <w:rPr>
          <w:rFonts w:ascii="Times New Roman" w:hAnsi="Times New Roman" w:eastAsia="Times New Roman" w:cs="Times New Roman"/>
          <w:spacing w:val="4"/>
          <w:position w:val="-5"/>
          <w:sz w:val="23"/>
          <w:szCs w:val="23"/>
        </w:rPr>
        <w:t>(</w:t>
      </w:r>
      <w:r>
        <w:rPr>
          <w:rFonts w:ascii="Times New Roman" w:hAnsi="Times New Roman" w:eastAsia="Times New Roman" w:cs="Times New Roman"/>
          <w:position w:val="-5"/>
          <w:sz w:val="23"/>
          <w:szCs w:val="23"/>
        </w:rPr>
        <w:t>pH</w:t>
      </w:r>
      <w:r>
        <w:rPr>
          <w:rFonts w:ascii="Times New Roman" w:hAnsi="Times New Roman" w:eastAsia="Times New Roman" w:cs="Times New Roman"/>
          <w:spacing w:val="4"/>
          <w:position w:val="-5"/>
          <w:sz w:val="23"/>
          <w:szCs w:val="23"/>
        </w:rPr>
        <w:t xml:space="preserve">   </w:t>
      </w:r>
      <w:r>
        <w:rPr>
          <w:rFonts w:ascii="Symbol" w:hAnsi="Symbol" w:eastAsia="Symbol" w:cs="Symbol"/>
          <w:spacing w:val="4"/>
          <w:position w:val="-5"/>
          <w:sz w:val="23"/>
          <w:szCs w:val="23"/>
        </w:rPr>
        <w:t>&lt;</w:t>
      </w:r>
      <w:r>
        <w:rPr>
          <w:rFonts w:ascii="Symbol" w:hAnsi="Symbol" w:eastAsia="Symbol" w:cs="Symbol"/>
          <w:spacing w:val="36"/>
          <w:position w:val="-5"/>
          <w:sz w:val="23"/>
          <w:szCs w:val="23"/>
        </w:rPr>
        <w:t xml:space="preserve"> </w:t>
      </w:r>
      <w:r>
        <w:rPr>
          <w:rFonts w:ascii="Times New Roman" w:hAnsi="Times New Roman" w:eastAsia="Times New Roman" w:cs="Times New Roman"/>
          <w:spacing w:val="4"/>
          <w:position w:val="-5"/>
          <w:sz w:val="23"/>
          <w:szCs w:val="23"/>
        </w:rPr>
        <w:t>7.0)</w:t>
      </w:r>
    </w:p>
    <w:p>
      <w:pPr>
        <w:spacing w:line="222" w:lineRule="auto"/>
        <w:ind w:left="3421"/>
        <w:rPr>
          <w:rFonts w:ascii="Times New Roman" w:hAnsi="Times New Roman" w:eastAsia="Times New Roman" w:cs="Times New Roman"/>
          <w:sz w:val="13"/>
          <w:szCs w:val="13"/>
        </w:rPr>
      </w:pPr>
      <w:r>
        <w:rPr>
          <w:rFonts w:ascii="Times New Roman" w:hAnsi="Times New Roman" w:eastAsia="Times New Roman" w:cs="Times New Roman"/>
          <w:position w:val="10"/>
          <w:sz w:val="13"/>
          <w:szCs w:val="13"/>
        </w:rPr>
        <w:t>pHj</w:t>
      </w:r>
      <w:r>
        <w:rPr>
          <w:rFonts w:ascii="Times New Roman" w:hAnsi="Times New Roman" w:eastAsia="Times New Roman" w:cs="Times New Roman"/>
          <w:spacing w:val="8"/>
          <w:position w:val="10"/>
          <w:sz w:val="13"/>
          <w:szCs w:val="13"/>
        </w:rPr>
        <w:t xml:space="preserve">         </w:t>
      </w:r>
      <w:r>
        <w:rPr>
          <w:rFonts w:ascii="Times New Roman" w:hAnsi="Times New Roman" w:eastAsia="Times New Roman" w:cs="Times New Roman"/>
          <w:spacing w:val="8"/>
          <w:position w:val="-2"/>
          <w:sz w:val="23"/>
          <w:szCs w:val="23"/>
        </w:rPr>
        <w:t>7.0 -</w:t>
      </w:r>
      <w:r>
        <w:rPr>
          <w:rFonts w:ascii="Times New Roman" w:hAnsi="Times New Roman" w:eastAsia="Times New Roman" w:cs="Times New Roman"/>
          <w:spacing w:val="-1"/>
          <w:position w:val="-2"/>
          <w:sz w:val="23"/>
          <w:szCs w:val="23"/>
        </w:rPr>
        <w:t xml:space="preserve"> </w:t>
      </w:r>
      <w:r>
        <w:rPr>
          <w:rFonts w:ascii="Times New Roman" w:hAnsi="Times New Roman" w:eastAsia="Times New Roman" w:cs="Times New Roman"/>
          <w:position w:val="-2"/>
          <w:sz w:val="23"/>
          <w:szCs w:val="23"/>
        </w:rPr>
        <w:t>p</w:t>
      </w:r>
      <w:r>
        <w:rPr>
          <w:rFonts w:ascii="Times New Roman" w:hAnsi="Times New Roman" w:eastAsia="Times New Roman" w:cs="Times New Roman"/>
          <w:i/>
          <w:iCs/>
          <w:position w:val="-2"/>
          <w:sz w:val="23"/>
          <w:szCs w:val="23"/>
        </w:rPr>
        <w:t>H</w:t>
      </w:r>
      <w:r>
        <w:rPr>
          <w:rFonts w:ascii="Times New Roman" w:hAnsi="Times New Roman" w:eastAsia="Times New Roman" w:cs="Times New Roman"/>
          <w:i/>
          <w:iCs/>
          <w:position w:val="-8"/>
          <w:sz w:val="13"/>
          <w:szCs w:val="13"/>
        </w:rPr>
        <w:t>sd</w:t>
      </w:r>
      <w:r>
        <w:rPr>
          <w:rFonts w:ascii="Times New Roman" w:hAnsi="Times New Roman" w:eastAsia="Times New Roman" w:cs="Times New Roman"/>
          <w:i/>
          <w:iCs/>
          <w:spacing w:val="1"/>
          <w:position w:val="-8"/>
          <w:sz w:val="13"/>
          <w:szCs w:val="13"/>
        </w:rPr>
        <w:t xml:space="preserve">                         </w:t>
      </w:r>
      <w:r>
        <w:rPr>
          <w:rFonts w:ascii="Times New Roman" w:hAnsi="Times New Roman" w:eastAsia="Times New Roman" w:cs="Times New Roman"/>
          <w:i/>
          <w:iCs/>
          <w:position w:val="-8"/>
          <w:sz w:val="13"/>
          <w:szCs w:val="13"/>
        </w:rPr>
        <w:t xml:space="preserve">             </w:t>
      </w:r>
      <w:r>
        <w:rPr>
          <w:rFonts w:ascii="Times New Roman" w:hAnsi="Times New Roman" w:eastAsia="Times New Roman" w:cs="Times New Roman"/>
          <w:position w:val="10"/>
          <w:sz w:val="13"/>
          <w:szCs w:val="13"/>
        </w:rPr>
        <w:t>j</w:t>
      </w:r>
    </w:p>
    <w:p>
      <w:pPr>
        <w:spacing w:before="220" w:line="499" w:lineRule="exact"/>
        <w:ind w:left="607"/>
        <w:rPr>
          <w:rFonts w:ascii="宋体" w:hAnsi="宋体" w:eastAsia="宋体" w:cs="宋体"/>
          <w:sz w:val="24"/>
          <w:szCs w:val="24"/>
        </w:rPr>
      </w:pPr>
      <w:r>
        <w:rPr>
          <w:rFonts w:ascii="宋体" w:hAnsi="宋体" w:eastAsia="宋体" w:cs="宋体"/>
          <w:spacing w:val="1"/>
          <w:position w:val="20"/>
          <w:sz w:val="24"/>
          <w:szCs w:val="24"/>
        </w:rPr>
        <w:t>式中：</w:t>
      </w:r>
      <w:r>
        <w:rPr>
          <w:rFonts w:ascii="Times New Roman" w:hAnsi="Times New Roman" w:eastAsia="Times New Roman" w:cs="Times New Roman"/>
          <w:position w:val="20"/>
          <w:sz w:val="24"/>
          <w:szCs w:val="24"/>
        </w:rPr>
        <w:t>S</w:t>
      </w:r>
      <w:r>
        <w:rPr>
          <w:rFonts w:ascii="Times New Roman" w:hAnsi="Times New Roman" w:eastAsia="Times New Roman" w:cs="Times New Roman"/>
          <w:position w:val="19"/>
          <w:sz w:val="15"/>
          <w:szCs w:val="15"/>
        </w:rPr>
        <w:t>pHj</w:t>
      </w:r>
      <w:r>
        <w:rPr>
          <w:rFonts w:ascii="宋体" w:hAnsi="宋体" w:eastAsia="宋体" w:cs="宋体"/>
          <w:spacing w:val="1"/>
          <w:position w:val="20"/>
          <w:sz w:val="24"/>
          <w:szCs w:val="24"/>
        </w:rPr>
        <w:t>—</w:t>
      </w:r>
      <w:r>
        <w:rPr>
          <w:rFonts w:ascii="Times New Roman" w:hAnsi="Times New Roman" w:eastAsia="Times New Roman" w:cs="Times New Roman"/>
          <w:position w:val="20"/>
          <w:sz w:val="24"/>
          <w:szCs w:val="24"/>
        </w:rPr>
        <w:t>pH</w:t>
      </w:r>
      <w:r>
        <w:rPr>
          <w:rFonts w:ascii="Times New Roman" w:hAnsi="Times New Roman" w:eastAsia="Times New Roman" w:cs="Times New Roman"/>
          <w:spacing w:val="1"/>
          <w:position w:val="20"/>
          <w:sz w:val="24"/>
          <w:szCs w:val="24"/>
        </w:rPr>
        <w:t xml:space="preserve"> </w:t>
      </w:r>
      <w:r>
        <w:rPr>
          <w:rFonts w:ascii="宋体" w:hAnsi="宋体" w:eastAsia="宋体" w:cs="宋体"/>
          <w:spacing w:val="1"/>
          <w:position w:val="20"/>
          <w:sz w:val="24"/>
          <w:szCs w:val="24"/>
        </w:rPr>
        <w:t>在第</w:t>
      </w:r>
      <w:r>
        <w:rPr>
          <w:rFonts w:ascii="Times New Roman" w:hAnsi="Times New Roman" w:eastAsia="Times New Roman" w:cs="Times New Roman"/>
          <w:spacing w:val="1"/>
          <w:position w:val="20"/>
          <w:sz w:val="24"/>
          <w:szCs w:val="24"/>
        </w:rPr>
        <w:t>j</w:t>
      </w:r>
      <w:r>
        <w:rPr>
          <w:rFonts w:ascii="Times New Roman" w:hAnsi="Times New Roman" w:eastAsia="Times New Roman" w:cs="Times New Roman"/>
          <w:spacing w:val="36"/>
          <w:position w:val="20"/>
          <w:sz w:val="24"/>
          <w:szCs w:val="24"/>
        </w:rPr>
        <w:t xml:space="preserve"> </w:t>
      </w:r>
      <w:r>
        <w:rPr>
          <w:rFonts w:ascii="宋体" w:hAnsi="宋体" w:eastAsia="宋体" w:cs="宋体"/>
          <w:spacing w:val="1"/>
          <w:position w:val="20"/>
          <w:sz w:val="24"/>
          <w:szCs w:val="24"/>
        </w:rPr>
        <w:t>点的标准指数；</w:t>
      </w:r>
    </w:p>
    <w:p>
      <w:pPr>
        <w:spacing w:line="212" w:lineRule="auto"/>
        <w:ind w:left="1313"/>
        <w:rPr>
          <w:rFonts w:ascii="宋体" w:hAnsi="宋体" w:eastAsia="宋体" w:cs="宋体"/>
          <w:sz w:val="24"/>
          <w:szCs w:val="24"/>
        </w:rPr>
      </w:pPr>
      <w:r>
        <w:rPr>
          <w:rFonts w:ascii="Times New Roman" w:hAnsi="Times New Roman" w:eastAsia="Times New Roman" w:cs="Times New Roman"/>
          <w:spacing w:val="-2"/>
          <w:sz w:val="24"/>
          <w:szCs w:val="24"/>
        </w:rPr>
        <w:t>pH</w:t>
      </w:r>
      <w:r>
        <w:rPr>
          <w:rFonts w:ascii="Times New Roman" w:hAnsi="Times New Roman" w:eastAsia="Times New Roman" w:cs="Times New Roman"/>
          <w:spacing w:val="-2"/>
          <w:position w:val="-1"/>
          <w:sz w:val="15"/>
          <w:szCs w:val="15"/>
        </w:rPr>
        <w:t>j</w:t>
      </w:r>
      <w:r>
        <w:rPr>
          <w:rFonts w:ascii="宋体" w:hAnsi="宋体" w:eastAsia="宋体" w:cs="宋体"/>
          <w:spacing w:val="-2"/>
          <w:sz w:val="24"/>
          <w:szCs w:val="24"/>
        </w:rPr>
        <w:t>—</w:t>
      </w:r>
      <w:r>
        <w:rPr>
          <w:rFonts w:ascii="Times New Roman" w:hAnsi="Times New Roman" w:eastAsia="Times New Roman" w:cs="Times New Roman"/>
          <w:spacing w:val="-2"/>
          <w:sz w:val="24"/>
          <w:szCs w:val="24"/>
        </w:rPr>
        <w:t>j</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点的</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 xml:space="preserve">pH </w:t>
      </w:r>
      <w:r>
        <w:rPr>
          <w:rFonts w:ascii="宋体" w:hAnsi="宋体" w:eastAsia="宋体" w:cs="宋体"/>
          <w:spacing w:val="-2"/>
          <w:sz w:val="24"/>
          <w:szCs w:val="24"/>
        </w:rPr>
        <w:t>值；</w:t>
      </w:r>
    </w:p>
    <w:p>
      <w:pPr>
        <w:spacing w:before="226" w:line="499" w:lineRule="exact"/>
        <w:ind w:left="1313"/>
        <w:rPr>
          <w:rFonts w:ascii="宋体" w:hAnsi="宋体" w:eastAsia="宋体" w:cs="宋体"/>
          <w:sz w:val="24"/>
          <w:szCs w:val="24"/>
        </w:rPr>
      </w:pPr>
      <w:r>
        <w:rPr>
          <w:rFonts w:ascii="Times New Roman" w:hAnsi="Times New Roman" w:eastAsia="Times New Roman" w:cs="Times New Roman"/>
          <w:position w:val="20"/>
          <w:sz w:val="24"/>
          <w:szCs w:val="24"/>
        </w:rPr>
        <w:t>pH</w:t>
      </w:r>
      <w:r>
        <w:rPr>
          <w:rFonts w:ascii="Times New Roman" w:hAnsi="Times New Roman" w:eastAsia="Times New Roman" w:cs="Times New Roman"/>
          <w:position w:val="19"/>
          <w:sz w:val="15"/>
          <w:szCs w:val="15"/>
        </w:rPr>
        <w:t>sd</w:t>
      </w:r>
      <w:r>
        <w:rPr>
          <w:rFonts w:ascii="宋体" w:hAnsi="宋体" w:eastAsia="宋体" w:cs="宋体"/>
          <w:position w:val="20"/>
          <w:sz w:val="24"/>
          <w:szCs w:val="24"/>
        </w:rPr>
        <w:t>—地下水水质标准中规定的</w:t>
      </w:r>
      <w:r>
        <w:rPr>
          <w:rFonts w:ascii="宋体" w:hAnsi="宋体" w:eastAsia="宋体" w:cs="宋体"/>
          <w:spacing w:val="-59"/>
          <w:position w:val="20"/>
          <w:sz w:val="24"/>
          <w:szCs w:val="24"/>
        </w:rPr>
        <w:t xml:space="preserve"> </w:t>
      </w:r>
      <w:r>
        <w:rPr>
          <w:rFonts w:ascii="Times New Roman" w:hAnsi="Times New Roman" w:eastAsia="Times New Roman" w:cs="Times New Roman"/>
          <w:position w:val="20"/>
          <w:sz w:val="24"/>
          <w:szCs w:val="24"/>
        </w:rPr>
        <w:t xml:space="preserve">pH </w:t>
      </w:r>
      <w:r>
        <w:rPr>
          <w:rFonts w:ascii="宋体" w:hAnsi="宋体" w:eastAsia="宋体" w:cs="宋体"/>
          <w:position w:val="20"/>
          <w:sz w:val="24"/>
          <w:szCs w:val="24"/>
        </w:rPr>
        <w:t>值下限；</w:t>
      </w:r>
    </w:p>
    <w:p>
      <w:pPr>
        <w:spacing w:before="1" w:line="210" w:lineRule="auto"/>
        <w:ind w:left="1313"/>
        <w:rPr>
          <w:rFonts w:ascii="宋体" w:hAnsi="宋体" w:eastAsia="宋体" w:cs="宋体"/>
          <w:sz w:val="24"/>
          <w:szCs w:val="24"/>
        </w:rPr>
      </w:pPr>
      <w:r>
        <w:rPr>
          <w:rFonts w:ascii="Times New Roman" w:hAnsi="Times New Roman" w:eastAsia="Times New Roman" w:cs="Times New Roman"/>
          <w:sz w:val="24"/>
          <w:szCs w:val="24"/>
        </w:rPr>
        <w:t>pH</w:t>
      </w:r>
      <w:r>
        <w:rPr>
          <w:rFonts w:ascii="Times New Roman" w:hAnsi="Times New Roman" w:eastAsia="Times New Roman" w:cs="Times New Roman"/>
          <w:position w:val="-1"/>
          <w:sz w:val="15"/>
          <w:szCs w:val="15"/>
        </w:rPr>
        <w:t>su</w:t>
      </w:r>
      <w:r>
        <w:rPr>
          <w:rFonts w:ascii="宋体" w:hAnsi="宋体" w:eastAsia="宋体" w:cs="宋体"/>
          <w:sz w:val="24"/>
          <w:szCs w:val="24"/>
        </w:rPr>
        <w:t>—地下水水质标准中规定的</w:t>
      </w:r>
      <w:r>
        <w:rPr>
          <w:rFonts w:ascii="宋体" w:hAnsi="宋体" w:eastAsia="宋体" w:cs="宋体"/>
          <w:spacing w:val="-59"/>
          <w:sz w:val="24"/>
          <w:szCs w:val="24"/>
        </w:rPr>
        <w:t xml:space="preserve"> </w:t>
      </w:r>
      <w:r>
        <w:rPr>
          <w:rFonts w:ascii="Times New Roman" w:hAnsi="Times New Roman" w:eastAsia="Times New Roman" w:cs="Times New Roman"/>
          <w:sz w:val="24"/>
          <w:szCs w:val="24"/>
        </w:rPr>
        <w:t xml:space="preserve">pH </w:t>
      </w:r>
      <w:r>
        <w:rPr>
          <w:rFonts w:ascii="宋体" w:hAnsi="宋体" w:eastAsia="宋体" w:cs="宋体"/>
          <w:sz w:val="24"/>
          <w:szCs w:val="24"/>
        </w:rPr>
        <w:t>值上限。</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firstLine="472" w:firstLineChars="2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）监测结果分析统计及分析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z w:val="24"/>
          <w:szCs w:val="24"/>
        </w:rPr>
      </w:pPr>
      <w:r>
        <w:rPr>
          <w:rFonts w:ascii="宋体" w:hAnsi="宋体" w:eastAsia="宋体" w:cs="宋体"/>
          <w:spacing w:val="-2"/>
          <w:sz w:val="24"/>
          <w:szCs w:val="24"/>
        </w:rPr>
        <w:t>地下水质量现状监测结果统计与分析见表</w:t>
      </w:r>
      <w:r>
        <w:rPr>
          <w:rFonts w:ascii="Times New Roman" w:hAnsi="Times New Roman" w:eastAsia="Times New Roman" w:cs="Times New Roman"/>
          <w:spacing w:val="-2"/>
          <w:sz w:val="24"/>
          <w:szCs w:val="24"/>
        </w:rPr>
        <w:t>4-1</w:t>
      </w:r>
      <w:r>
        <w:rPr>
          <w:rFonts w:hint="eastAsia" w:ascii="Times New Roman" w:hAnsi="Times New Roman" w:eastAsia="宋体" w:cs="Times New Roman"/>
          <w:spacing w:val="-2"/>
          <w:sz w:val="24"/>
          <w:szCs w:val="24"/>
          <w:lang w:val="en-US" w:eastAsia="zh-CN"/>
        </w:rPr>
        <w:t>5</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b/>
          <w:bCs/>
          <w:sz w:val="24"/>
          <w:szCs w:val="24"/>
          <w:highlight w:val="yellow"/>
        </w:rPr>
        <w:sectPr>
          <w:footerReference r:id="rId8" w:type="default"/>
          <w:type w:val="continuous"/>
          <w:pgSz w:w="11906" w:h="16839"/>
          <w:pgMar w:top="1431" w:right="1473" w:bottom="1278" w:left="1583" w:header="0" w:footer="1116" w:gutter="0"/>
          <w:pgBorders>
            <w:top w:val="none" w:sz="0" w:space="0"/>
            <w:left w:val="none" w:sz="0" w:space="0"/>
            <w:bottom w:val="none" w:sz="0" w:space="0"/>
            <w:right w:val="none" w:sz="0" w:space="0"/>
          </w:pgBorders>
          <w:pgNumType w:fmt="numberInDash"/>
          <w:cols w:equalWidth="0" w:num="1">
            <w:col w:w="8850"/>
          </w:cols>
        </w:sectPr>
      </w:pPr>
    </w:p>
    <w:p>
      <w:pPr>
        <w:jc w:val="center"/>
        <w:rPr>
          <w:rFonts w:hint="default" w:ascii="Times New Roman" w:hAnsi="Times New Roman" w:eastAsia="宋体" w:cs="Times New Roman"/>
          <w:b/>
          <w:bCs/>
          <w:sz w:val="18"/>
          <w:szCs w:val="18"/>
          <w:lang w:val="en-US" w:eastAsia="zh-CN"/>
        </w:rPr>
      </w:pPr>
      <w:r>
        <w:rPr>
          <w:b/>
          <w:bCs/>
          <w:sz w:val="24"/>
          <w:szCs w:val="24"/>
          <w:highlight w:val="none"/>
        </w:rPr>
        <w:t>表4-1</w:t>
      </w:r>
      <w:r>
        <w:rPr>
          <w:rFonts w:hint="eastAsia" w:eastAsia="宋体"/>
          <w:b/>
          <w:bCs/>
          <w:sz w:val="24"/>
          <w:szCs w:val="24"/>
          <w:highlight w:val="none"/>
          <w:lang w:val="en-US" w:eastAsia="zh-CN"/>
        </w:rPr>
        <w:t xml:space="preserve">5    </w:t>
      </w:r>
      <w:r>
        <w:rPr>
          <w:b/>
          <w:bCs/>
          <w:sz w:val="24"/>
          <w:szCs w:val="24"/>
          <w:highlight w:val="none"/>
        </w:rPr>
        <w:t>地下水水质现状监测结果统计与分析</w:t>
      </w:r>
      <w:r>
        <w:rPr>
          <w:rFonts w:hint="eastAsia" w:eastAsia="宋体"/>
          <w:b/>
          <w:bCs/>
          <w:sz w:val="24"/>
          <w:szCs w:val="24"/>
          <w:highlight w:val="none"/>
          <w:lang w:eastAsia="zh-CN"/>
        </w:rPr>
        <w:t>（一）</w:t>
      </w:r>
      <w:r>
        <w:rPr>
          <w:rFonts w:hint="eastAsia" w:cs="Times New Roman"/>
          <w:sz w:val="24"/>
          <w:szCs w:val="24"/>
          <w:lang w:val="en-US" w:eastAsia="zh-CN"/>
        </w:rPr>
        <w:t xml:space="preserve">   </w:t>
      </w:r>
      <w:r>
        <w:rPr>
          <w:rFonts w:hint="eastAsia" w:eastAsia="黑体" w:cs="Times New Roman"/>
          <w:sz w:val="24"/>
          <w:szCs w:val="24"/>
          <w:lang w:val="en-US" w:eastAsia="zh-CN"/>
        </w:rPr>
        <w:t xml:space="preserve"> </w:t>
      </w:r>
      <w:r>
        <w:rPr>
          <w:rFonts w:hint="default" w:ascii="Times New Roman" w:hAnsi="Times New Roman" w:eastAsia="宋体" w:cs="Times New Roman"/>
          <w:b/>
          <w:bCs/>
          <w:sz w:val="18"/>
          <w:szCs w:val="18"/>
          <w:lang w:val="en-US" w:eastAsia="zh-CN"/>
        </w:rPr>
        <w:t>单位：mg/L（另注除外）</w:t>
      </w:r>
    </w:p>
    <w:tbl>
      <w:tblPr>
        <w:tblStyle w:val="21"/>
        <w:tblW w:w="154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230"/>
        <w:gridCol w:w="900"/>
        <w:gridCol w:w="826"/>
        <w:gridCol w:w="752"/>
        <w:gridCol w:w="863"/>
        <w:gridCol w:w="863"/>
        <w:gridCol w:w="1316"/>
        <w:gridCol w:w="1338"/>
        <w:gridCol w:w="912"/>
        <w:gridCol w:w="866"/>
        <w:gridCol w:w="949"/>
        <w:gridCol w:w="801"/>
        <w:gridCol w:w="820"/>
        <w:gridCol w:w="834"/>
        <w:gridCol w:w="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blHeader/>
          <w:jc w:val="center"/>
        </w:trPr>
        <w:tc>
          <w:tcPr>
            <w:tcW w:w="13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检测点位</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采样时间</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pH</w:t>
            </w:r>
            <w:r>
              <w:rPr>
                <w:rFonts w:hint="default" w:ascii="Times New Roman" w:hAnsi="Times New Roman" w:cs="Times New Roman"/>
                <w:b/>
                <w:bCs/>
                <w:color w:val="auto"/>
                <w:sz w:val="21"/>
                <w:szCs w:val="21"/>
                <w:lang w:val="en-US" w:eastAsia="zh-CN"/>
              </w:rPr>
              <w:t>值</w:t>
            </w:r>
          </w:p>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(无量纲)</w:t>
            </w:r>
          </w:p>
        </w:tc>
        <w:tc>
          <w:tcPr>
            <w:tcW w:w="8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K</w:t>
            </w:r>
            <w:r>
              <w:rPr>
                <w:rFonts w:hint="default" w:ascii="Times New Roman" w:hAnsi="Times New Roman" w:eastAsia="宋体" w:cs="Times New Roman"/>
                <w:b/>
                <w:bCs/>
                <w:color w:val="auto"/>
                <w:sz w:val="21"/>
                <w:szCs w:val="21"/>
                <w:vertAlign w:val="superscript"/>
                <w:lang w:val="en-US" w:eastAsia="zh-CN"/>
              </w:rPr>
              <w:t>+</w:t>
            </w:r>
          </w:p>
        </w:tc>
        <w:tc>
          <w:tcPr>
            <w:tcW w:w="752"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Na</w:t>
            </w:r>
            <w:r>
              <w:rPr>
                <w:rFonts w:hint="default" w:ascii="Times New Roman" w:hAnsi="Times New Roman" w:eastAsia="宋体" w:cs="Times New Roman"/>
                <w:b/>
                <w:bCs/>
                <w:color w:val="auto"/>
                <w:sz w:val="21"/>
                <w:szCs w:val="21"/>
                <w:vertAlign w:val="superscript"/>
                <w:lang w:val="en-US" w:eastAsia="zh-CN"/>
              </w:rPr>
              <w:t>+</w:t>
            </w:r>
          </w:p>
        </w:tc>
        <w:tc>
          <w:tcPr>
            <w:tcW w:w="863"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Ca</w:t>
            </w:r>
            <w:r>
              <w:rPr>
                <w:rFonts w:hint="default" w:ascii="Times New Roman" w:hAnsi="Times New Roman" w:eastAsia="宋体" w:cs="Times New Roman"/>
                <w:b/>
                <w:bCs/>
                <w:color w:val="auto"/>
                <w:sz w:val="21"/>
                <w:szCs w:val="21"/>
                <w:vertAlign w:val="superscript"/>
                <w:lang w:val="en-US" w:eastAsia="zh-CN"/>
              </w:rPr>
              <w:t>2+</w:t>
            </w:r>
          </w:p>
        </w:tc>
        <w:tc>
          <w:tcPr>
            <w:tcW w:w="863"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Mg</w:t>
            </w:r>
            <w:r>
              <w:rPr>
                <w:rFonts w:hint="default" w:ascii="Times New Roman" w:hAnsi="Times New Roman" w:eastAsia="宋体" w:cs="Times New Roman"/>
                <w:b/>
                <w:bCs/>
                <w:color w:val="auto"/>
                <w:sz w:val="21"/>
                <w:szCs w:val="21"/>
                <w:vertAlign w:val="superscript"/>
                <w:lang w:val="en-US" w:eastAsia="zh-CN"/>
              </w:rPr>
              <w:t>2+</w:t>
            </w:r>
          </w:p>
        </w:tc>
        <w:tc>
          <w:tcPr>
            <w:tcW w:w="1316"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jc w:val="center"/>
              <w:rPr>
                <w:rFonts w:hint="default" w:ascii="Times New Roman" w:hAnsi="Times New Roman" w:cs="Times New Roman"/>
                <w:b/>
                <w:bCs/>
                <w:color w:val="auto"/>
                <w:sz w:val="21"/>
                <w:szCs w:val="21"/>
                <w:vertAlign w:val="superscript"/>
              </w:rPr>
            </w:pPr>
            <w:r>
              <w:rPr>
                <w:rFonts w:hint="default" w:ascii="Times New Roman" w:hAnsi="Times New Roman" w:cs="Times New Roman"/>
                <w:b/>
                <w:bCs/>
                <w:color w:val="auto"/>
                <w:sz w:val="21"/>
                <w:szCs w:val="21"/>
              </w:rPr>
              <w:t>CO</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vertAlign w:val="superscript"/>
              </w:rPr>
              <w:t>2-</w:t>
            </w:r>
          </w:p>
          <w:p>
            <w:pPr>
              <w:keepNext w:val="0"/>
              <w:keepLines w:val="0"/>
              <w:pageBreakBefore w:val="0"/>
              <w:widowControl/>
              <w:kinsoku/>
              <w:wordWrap/>
              <w:overflowPunct/>
              <w:topLinePunct w:val="0"/>
              <w:autoSpaceDE/>
              <w:autoSpaceDN/>
              <w:bidi w:val="0"/>
              <w:adjustRightInd/>
              <w:spacing w:line="240" w:lineRule="auto"/>
              <w:ind w:left="-105" w:leftChars="-50" w:right="-105" w:rightChars="-5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rPr>
              <w:t>（mmol/L）</w:t>
            </w:r>
          </w:p>
        </w:tc>
        <w:tc>
          <w:tcPr>
            <w:tcW w:w="1338"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rPr>
              <w:t>HCO</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vertAlign w:val="superscript"/>
              </w:rPr>
              <w:t>-</w:t>
            </w:r>
            <w:r>
              <w:rPr>
                <w:rFonts w:hint="default" w:ascii="Times New Roman" w:hAnsi="Times New Roman" w:cs="Times New Roman"/>
                <w:b/>
                <w:bCs/>
                <w:color w:val="auto"/>
                <w:sz w:val="21"/>
                <w:szCs w:val="21"/>
              </w:rPr>
              <w:t>（mmol/L）</w:t>
            </w: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Cl</w:t>
            </w:r>
            <w:r>
              <w:rPr>
                <w:rFonts w:hint="default" w:ascii="Times New Roman" w:hAnsi="Times New Roman" w:eastAsia="宋体" w:cs="Times New Roman"/>
                <w:b/>
                <w:bCs/>
                <w:color w:val="auto"/>
                <w:sz w:val="21"/>
                <w:szCs w:val="21"/>
                <w:vertAlign w:val="superscript"/>
                <w:lang w:val="en-US" w:eastAsia="zh-CN"/>
              </w:rPr>
              <w:t>-</w:t>
            </w:r>
          </w:p>
        </w:tc>
        <w:tc>
          <w:tcPr>
            <w:tcW w:w="866"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SO</w:t>
            </w:r>
            <w:r>
              <w:rPr>
                <w:rFonts w:hint="default" w:ascii="Times New Roman" w:hAnsi="Times New Roman" w:eastAsia="宋体" w:cs="Times New Roman"/>
                <w:b/>
                <w:bCs/>
                <w:color w:val="auto"/>
                <w:sz w:val="21"/>
                <w:szCs w:val="21"/>
                <w:vertAlign w:val="subscript"/>
                <w:lang w:val="en-US" w:eastAsia="zh-CN"/>
              </w:rPr>
              <w:t>4</w:t>
            </w:r>
            <w:r>
              <w:rPr>
                <w:rFonts w:hint="default" w:ascii="Times New Roman" w:hAnsi="Times New Roman" w:eastAsia="宋体" w:cs="Times New Roman"/>
                <w:b/>
                <w:bCs/>
                <w:color w:val="auto"/>
                <w:sz w:val="21"/>
                <w:szCs w:val="21"/>
                <w:vertAlign w:val="superscript"/>
                <w:lang w:val="en-US" w:eastAsia="zh-CN"/>
              </w:rPr>
              <w:t>2-</w:t>
            </w:r>
          </w:p>
        </w:tc>
        <w:tc>
          <w:tcPr>
            <w:tcW w:w="9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氨氮</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亚硝</w:t>
            </w:r>
          </w:p>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酸盐氮</w:t>
            </w:r>
          </w:p>
        </w:tc>
        <w:tc>
          <w:tcPr>
            <w:tcW w:w="8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硝酸</w:t>
            </w:r>
          </w:p>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盐氮</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砷</w:t>
            </w:r>
          </w:p>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(μg/L)</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汞</w:t>
            </w:r>
          </w:p>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color w:val="000000"/>
                <w:kern w:val="0"/>
                <w:sz w:val="21"/>
                <w:szCs w:val="21"/>
                <w:lang w:val="en-US" w:eastAsia="zh-CN"/>
              </w:rPr>
              <w:t>D1</w:t>
            </w:r>
            <w:r>
              <w:rPr>
                <w:rFonts w:hint="default" w:ascii="Times New Roman" w:hAnsi="Times New Roman" w:cs="Times New Roman"/>
                <w:b/>
                <w:bCs/>
                <w:color w:val="000000"/>
                <w:kern w:val="0"/>
                <w:sz w:val="21"/>
                <w:szCs w:val="21"/>
                <w:lang w:eastAsia="zh-CN"/>
              </w:rPr>
              <w:t>项目场址</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7.3</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37.6</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43.5</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31.4</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4.35</w:t>
            </w:r>
          </w:p>
        </w:tc>
        <w:tc>
          <w:tcPr>
            <w:tcW w:w="91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45.8</w:t>
            </w:r>
          </w:p>
        </w:tc>
        <w:tc>
          <w:tcPr>
            <w:tcW w:w="86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50.7</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0.134</w:t>
            </w:r>
          </w:p>
        </w:tc>
        <w:tc>
          <w:tcPr>
            <w:tcW w:w="8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1.16</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bCs/>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7.4</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35.4</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4.63</w:t>
            </w:r>
          </w:p>
        </w:tc>
        <w:tc>
          <w:tcPr>
            <w:tcW w:w="91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43.8</w:t>
            </w:r>
          </w:p>
        </w:tc>
        <w:tc>
          <w:tcPr>
            <w:tcW w:w="86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0.126</w:t>
            </w:r>
          </w:p>
        </w:tc>
        <w:tc>
          <w:tcPr>
            <w:tcW w:w="8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1.20</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D2张申庄村</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7.6</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32.6</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37.2</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5.12</w:t>
            </w:r>
          </w:p>
        </w:tc>
        <w:tc>
          <w:tcPr>
            <w:tcW w:w="91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45.6</w:t>
            </w:r>
          </w:p>
        </w:tc>
        <w:tc>
          <w:tcPr>
            <w:tcW w:w="86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39.2</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0.147</w:t>
            </w:r>
          </w:p>
        </w:tc>
        <w:tc>
          <w:tcPr>
            <w:tcW w:w="8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1.03</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7.7</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36.3</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33.4</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4.67</w:t>
            </w:r>
          </w:p>
        </w:tc>
        <w:tc>
          <w:tcPr>
            <w:tcW w:w="91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49.5</w:t>
            </w:r>
          </w:p>
        </w:tc>
        <w:tc>
          <w:tcPr>
            <w:tcW w:w="86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44.3</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0.152</w:t>
            </w:r>
          </w:p>
        </w:tc>
        <w:tc>
          <w:tcPr>
            <w:tcW w:w="8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1.00</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D3贺庄</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7.3</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32.9</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4.45</w:t>
            </w:r>
          </w:p>
        </w:tc>
        <w:tc>
          <w:tcPr>
            <w:tcW w:w="91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56.5</w:t>
            </w:r>
          </w:p>
        </w:tc>
        <w:tc>
          <w:tcPr>
            <w:tcW w:w="86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67.8</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0.122</w:t>
            </w:r>
          </w:p>
        </w:tc>
        <w:tc>
          <w:tcPr>
            <w:tcW w:w="8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0.95</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sz w:val="21"/>
                <w:szCs w:val="21"/>
                <w:lang w:eastAsia="zh-CN"/>
              </w:rPr>
            </w:pPr>
            <w:r>
              <w:rPr>
                <w:rFonts w:hint="default" w:ascii="Times New Roman" w:hAnsi="Times New Roman" w:eastAsia="宋体" w:cs="Times New Roman"/>
                <w:color w:val="auto"/>
                <w:sz w:val="21"/>
                <w:szCs w:val="21"/>
                <w:vertAlign w:val="baseline"/>
                <w:lang w:val="en-US" w:eastAsia="zh-CN"/>
              </w:rPr>
              <w:t>2023.11.17</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7.1</w:t>
            </w:r>
          </w:p>
        </w:tc>
        <w:tc>
          <w:tcPr>
            <w:tcW w:w="8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7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39.7</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32.9</w:t>
            </w:r>
          </w:p>
        </w:tc>
        <w:tc>
          <w:tcPr>
            <w:tcW w:w="13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4.42</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58.5</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62.7</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0.119</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0.98</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D4鲁庄</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sz w:val="21"/>
                <w:szCs w:val="21"/>
                <w:lang w:eastAsia="zh-CN"/>
              </w:rPr>
            </w:pPr>
            <w:r>
              <w:rPr>
                <w:rFonts w:hint="default" w:ascii="Times New Roman" w:hAnsi="Times New Roman" w:eastAsia="宋体" w:cs="Times New Roman"/>
                <w:color w:val="auto"/>
                <w:sz w:val="21"/>
                <w:szCs w:val="21"/>
                <w:vertAlign w:val="baseline"/>
                <w:lang w:val="en-US" w:eastAsia="zh-CN"/>
              </w:rPr>
              <w:t>2023.11.16</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7.9</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40.3</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39.3</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36.3</w:t>
            </w:r>
          </w:p>
        </w:tc>
        <w:tc>
          <w:tcPr>
            <w:tcW w:w="13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4.42</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51.8</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55.4</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0.138</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1.34</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7.8</w:t>
            </w:r>
          </w:p>
        </w:tc>
        <w:tc>
          <w:tcPr>
            <w:tcW w:w="8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7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37.6</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45.3</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50.2</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0.144</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1.28</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D5大张庄</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6.9</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43.9</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4.57</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66.3</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60.7</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0.159</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0.95</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7.0</w:t>
            </w:r>
          </w:p>
        </w:tc>
        <w:tc>
          <w:tcPr>
            <w:tcW w:w="8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7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38.6</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43.7</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35.5</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57.8</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68.4</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0.167</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0.88</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D6刘庄</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7.3</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31.1</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38.1</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34.2</w:t>
            </w:r>
          </w:p>
        </w:tc>
        <w:tc>
          <w:tcPr>
            <w:tcW w:w="13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4.76</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48.7</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57.8</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0.189</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0.76</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7.4</w:t>
            </w:r>
          </w:p>
        </w:tc>
        <w:tc>
          <w:tcPr>
            <w:tcW w:w="8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7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39.6</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13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4.93</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45.2</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54.2</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0.201</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0.80</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D7马庄乡</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7.6</w:t>
            </w:r>
          </w:p>
        </w:tc>
        <w:tc>
          <w:tcPr>
            <w:tcW w:w="826"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752"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29.8</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35.4</w:t>
            </w:r>
          </w:p>
        </w:tc>
        <w:tc>
          <w:tcPr>
            <w:tcW w:w="863"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47.4</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52.2</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0.168</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0.67</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0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7.7</w:t>
            </w:r>
          </w:p>
        </w:tc>
        <w:tc>
          <w:tcPr>
            <w:tcW w:w="8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7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32.8</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31.7</w:t>
            </w:r>
          </w:p>
        </w:tc>
        <w:tc>
          <w:tcPr>
            <w:tcW w:w="8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32.8</w:t>
            </w:r>
          </w:p>
        </w:tc>
        <w:tc>
          <w:tcPr>
            <w:tcW w:w="13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未检出</w:t>
            </w:r>
          </w:p>
        </w:tc>
        <w:tc>
          <w:tcPr>
            <w:tcW w:w="13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9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44.2</w:t>
            </w:r>
          </w:p>
        </w:tc>
        <w:tc>
          <w:tcPr>
            <w:tcW w:w="8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51.7</w:t>
            </w:r>
          </w:p>
        </w:tc>
        <w:tc>
          <w:tcPr>
            <w:tcW w:w="9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0.172</w:t>
            </w:r>
          </w:p>
        </w:tc>
        <w:tc>
          <w:tcPr>
            <w:tcW w:w="80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0.72</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c>
          <w:tcPr>
            <w:tcW w:w="83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bl>
    <w:p>
      <w:pPr>
        <w:rPr>
          <w:rFonts w:hint="default"/>
          <w:lang w:val="en-US" w:eastAsia="zh-CN"/>
        </w:rPr>
      </w:pPr>
    </w:p>
    <w:p/>
    <w:p>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sz w:val="18"/>
          <w:szCs w:val="18"/>
          <w:lang w:val="en-US" w:eastAsia="zh-CN"/>
        </w:rPr>
      </w:pPr>
      <w:r>
        <w:rPr>
          <w:b/>
          <w:bCs/>
          <w:sz w:val="24"/>
          <w:szCs w:val="24"/>
          <w:highlight w:val="none"/>
        </w:rPr>
        <w:t>表4-1</w:t>
      </w:r>
      <w:r>
        <w:rPr>
          <w:rFonts w:hint="eastAsia" w:eastAsia="宋体"/>
          <w:b/>
          <w:bCs/>
          <w:sz w:val="24"/>
          <w:szCs w:val="24"/>
          <w:highlight w:val="none"/>
          <w:lang w:val="en-US" w:eastAsia="zh-CN"/>
        </w:rPr>
        <w:t xml:space="preserve">5    </w:t>
      </w:r>
      <w:r>
        <w:rPr>
          <w:b/>
          <w:bCs/>
          <w:sz w:val="24"/>
          <w:szCs w:val="24"/>
          <w:highlight w:val="none"/>
        </w:rPr>
        <w:t>地下水水质现状监测结果统计与分析</w:t>
      </w:r>
      <w:r>
        <w:rPr>
          <w:rFonts w:hint="eastAsia" w:eastAsia="宋体"/>
          <w:b/>
          <w:bCs/>
          <w:sz w:val="24"/>
          <w:szCs w:val="24"/>
          <w:highlight w:val="none"/>
          <w:lang w:eastAsia="zh-CN"/>
        </w:rPr>
        <w:t>（二）</w:t>
      </w:r>
      <w:r>
        <w:rPr>
          <w:rFonts w:hint="eastAsia" w:cs="Times New Roman"/>
          <w:sz w:val="24"/>
          <w:szCs w:val="24"/>
          <w:lang w:val="en-US" w:eastAsia="zh-CN"/>
        </w:rPr>
        <w:t xml:space="preserve">   </w:t>
      </w:r>
      <w:r>
        <w:rPr>
          <w:rFonts w:hint="eastAsia" w:eastAsia="黑体" w:cs="Times New Roman"/>
          <w:sz w:val="24"/>
          <w:szCs w:val="24"/>
          <w:lang w:val="en-US" w:eastAsia="zh-CN"/>
        </w:rPr>
        <w:t xml:space="preserve"> </w:t>
      </w:r>
      <w:r>
        <w:rPr>
          <w:rFonts w:hint="default" w:ascii="Times New Roman" w:hAnsi="Times New Roman" w:eastAsia="宋体" w:cs="Times New Roman"/>
          <w:b/>
          <w:bCs/>
          <w:sz w:val="18"/>
          <w:szCs w:val="18"/>
          <w:lang w:val="en-US" w:eastAsia="zh-CN"/>
        </w:rPr>
        <w:t>单位：mg/L（另注除外）</w:t>
      </w:r>
    </w:p>
    <w:tbl>
      <w:tblPr>
        <w:tblStyle w:val="21"/>
        <w:tblW w:w="154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273"/>
        <w:gridCol w:w="798"/>
        <w:gridCol w:w="909"/>
        <w:gridCol w:w="909"/>
        <w:gridCol w:w="909"/>
        <w:gridCol w:w="909"/>
        <w:gridCol w:w="909"/>
        <w:gridCol w:w="909"/>
        <w:gridCol w:w="909"/>
        <w:gridCol w:w="909"/>
        <w:gridCol w:w="1049"/>
        <w:gridCol w:w="1058"/>
        <w:gridCol w:w="969"/>
        <w:gridCol w:w="15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blHeader/>
          <w:jc w:val="center"/>
        </w:trPr>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检测点位</w:t>
            </w: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采样时间</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氟化物</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溶解性总固体</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六价铬</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总硬度</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cs="Times New Roman"/>
                <w:b/>
                <w:bCs/>
                <w:color w:val="000000"/>
                <w:sz w:val="21"/>
                <w:szCs w:val="21"/>
                <w:vertAlign w:val="baseline"/>
                <w:lang w:val="en-US" w:eastAsia="zh-CN"/>
              </w:rPr>
              <w:t>铅</w:t>
            </w:r>
          </w:p>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(μg/L)</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氰化物</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镉</w:t>
            </w:r>
          </w:p>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(μg/L)</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铁</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锰</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挥发酚</w:t>
            </w:r>
          </w:p>
        </w:tc>
        <w:tc>
          <w:tcPr>
            <w:tcW w:w="10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氯化物</w:t>
            </w:r>
          </w:p>
        </w:tc>
        <w:tc>
          <w:tcPr>
            <w:tcW w:w="969"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cs="Times New Roman"/>
                <w:b/>
                <w:bCs/>
                <w:color w:val="000000"/>
                <w:sz w:val="21"/>
                <w:szCs w:val="21"/>
                <w:vertAlign w:val="baseline"/>
                <w:lang w:val="en-US" w:eastAsia="zh-CN"/>
              </w:rPr>
            </w:pPr>
            <w:r>
              <w:rPr>
                <w:rFonts w:hint="default" w:ascii="Times New Roman" w:hAnsi="Times New Roman" w:cs="Times New Roman"/>
                <w:b/>
                <w:bCs/>
                <w:color w:val="000000"/>
                <w:sz w:val="21"/>
                <w:szCs w:val="21"/>
                <w:vertAlign w:val="baseline"/>
                <w:lang w:val="en-US" w:eastAsia="zh-CN"/>
              </w:rPr>
              <w:t>硫酸盐</w:t>
            </w:r>
          </w:p>
        </w:tc>
        <w:tc>
          <w:tcPr>
            <w:tcW w:w="1596" w:type="dxa"/>
            <w:tcBorders>
              <w:tl2br w:val="nil"/>
              <w:tr2bl w:val="nil"/>
            </w:tcBorders>
            <w:vAlign w:val="center"/>
          </w:tcPr>
          <w:p>
            <w:pPr>
              <w:keepNext w:val="0"/>
              <w:keepLines w:val="0"/>
              <w:pageBreakBefore w:val="0"/>
              <w:widowControl/>
              <w:kinsoku/>
              <w:wordWrap/>
              <w:overflowPunct/>
              <w:topLinePunct w:val="0"/>
              <w:autoSpaceDE/>
              <w:autoSpaceDN/>
              <w:bidi w:val="0"/>
              <w:adjustRightInd/>
              <w:ind w:left="-105" w:leftChars="-50" w:right="-105" w:rightChars="-5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总大肠菌群</w:t>
            </w:r>
          </w:p>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lang w:val="en-US" w:eastAsia="zh-CN"/>
              </w:rPr>
              <w:t>（MPN/100mL）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color w:val="000000"/>
                <w:kern w:val="0"/>
                <w:sz w:val="21"/>
                <w:szCs w:val="21"/>
                <w:lang w:val="en-US" w:eastAsia="zh-CN"/>
              </w:rPr>
              <w:t>D1</w:t>
            </w:r>
            <w:r>
              <w:rPr>
                <w:rFonts w:hint="default" w:ascii="Times New Roman" w:hAnsi="Times New Roman" w:cs="Times New Roman"/>
                <w:b/>
                <w:bCs/>
                <w:color w:val="000000"/>
                <w:kern w:val="0"/>
                <w:sz w:val="21"/>
                <w:szCs w:val="21"/>
                <w:lang w:eastAsia="zh-CN"/>
              </w:rPr>
              <w:t>项目场址</w:t>
            </w: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0.56</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796</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ind w:left="-105" w:leftChars="-50" w:right="-105" w:rightChars="-5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376</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969"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0.63</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810</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ind w:left="-105" w:leftChars="-50" w:right="-105" w:rightChars="-5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394</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969"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D2张申庄村</w:t>
            </w: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0.59</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763</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ind w:left="-105" w:leftChars="-50" w:right="-105" w:rightChars="-5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326</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969"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0.67</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ind w:left="-105" w:leftChars="-50" w:right="-105" w:rightChars="-5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335</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969"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D3贺庄</w:t>
            </w: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0.80</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735</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312</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969"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sz w:val="21"/>
                <w:szCs w:val="21"/>
                <w:lang w:eastAsia="zh-CN"/>
              </w:rPr>
            </w:pPr>
            <w:r>
              <w:rPr>
                <w:rFonts w:hint="default" w:ascii="Times New Roman" w:hAnsi="Times New Roman" w:eastAsia="宋体" w:cs="Times New Roman"/>
                <w:color w:val="auto"/>
                <w:sz w:val="21"/>
                <w:szCs w:val="21"/>
                <w:vertAlign w:val="baseline"/>
                <w:lang w:val="en-US" w:eastAsia="zh-CN"/>
              </w:rPr>
              <w:t>2023.11.17</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0.76</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706</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309</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D4鲁庄</w:t>
            </w: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sz w:val="21"/>
                <w:szCs w:val="21"/>
                <w:lang w:eastAsia="zh-CN"/>
              </w:rPr>
            </w:pPr>
            <w:r>
              <w:rPr>
                <w:rFonts w:hint="default" w:ascii="Times New Roman" w:hAnsi="Times New Roman" w:eastAsia="宋体" w:cs="Times New Roman"/>
                <w:color w:val="auto"/>
                <w:sz w:val="21"/>
                <w:szCs w:val="21"/>
                <w:vertAlign w:val="baseline"/>
                <w:lang w:val="en-US" w:eastAsia="zh-CN"/>
              </w:rPr>
              <w:t>2023.11.16</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0.55</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768</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358</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0.49</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773</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364</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D5大张庄</w:t>
            </w: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0.53</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745</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370</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0.56</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752</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382</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D6刘庄</w:t>
            </w: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0.43</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722</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334</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0.50</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728</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350</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restart"/>
            <w:tcBorders>
              <w:tl2br w:val="nil"/>
              <w:tr2bl w:val="nil"/>
            </w:tcBorders>
            <w:vAlign w:val="center"/>
          </w:tcPr>
          <w:p>
            <w:pPr>
              <w:widowControl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D7马庄乡</w:t>
            </w: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2023.11.16</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0.67</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710</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328</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97" w:type="dxa"/>
            <w:vMerge w:val="continue"/>
            <w:tcBorders>
              <w:tl2br w:val="nil"/>
              <w:tr2bl w:val="nil"/>
            </w:tcBorders>
            <w:vAlign w:val="center"/>
          </w:tcPr>
          <w:p>
            <w:pPr>
              <w:keepNext w:val="0"/>
              <w:keepLines w:val="0"/>
              <w:pageBreakBefore w:val="0"/>
              <w:widowControl/>
              <w:tabs>
                <w:tab w:val="left" w:pos="728"/>
              </w:tabs>
              <w:kinsoku/>
              <w:wordWrap/>
              <w:overflowPunct/>
              <w:topLinePunct w:val="0"/>
              <w:autoSpaceDE/>
              <w:autoSpaceDN/>
              <w:bidi w:val="0"/>
              <w:adjustRightInd/>
              <w:snapToGrid/>
              <w:spacing w:line="360" w:lineRule="exact"/>
              <w:ind w:left="-105" w:leftChars="-50" w:right="-105" w:rightChars="-50" w:firstLine="0" w:firstLineChars="0"/>
              <w:jc w:val="center"/>
              <w:textAlignment w:val="auto"/>
              <w:rPr>
                <w:rFonts w:hint="default" w:ascii="Times New Roman" w:hAnsi="Times New Roman" w:cs="Times New Roman"/>
                <w:b/>
                <w:bCs/>
                <w:sz w:val="21"/>
                <w:szCs w:val="21"/>
                <w:vertAlign w:val="baseline"/>
                <w:lang w:val="en-US" w:eastAsia="zh-CN"/>
              </w:rPr>
            </w:pPr>
          </w:p>
        </w:tc>
        <w:tc>
          <w:tcPr>
            <w:tcW w:w="12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2023.11.17</w:t>
            </w:r>
          </w:p>
        </w:tc>
        <w:tc>
          <w:tcPr>
            <w:tcW w:w="7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0.69</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729</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341</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未检出</w:t>
            </w:r>
          </w:p>
        </w:tc>
        <w:tc>
          <w:tcPr>
            <w:tcW w:w="1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未检出</w:t>
            </w:r>
          </w:p>
        </w:tc>
        <w:tc>
          <w:tcPr>
            <w:tcW w:w="10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9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15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未检出</w:t>
            </w:r>
          </w:p>
        </w:tc>
      </w:tr>
    </w:tbl>
    <w:p>
      <w:pPr>
        <w:pStyle w:val="22"/>
        <w:rPr>
          <w:rFonts w:hint="eastAsia"/>
          <w:lang w:eastAsia="zh-CN"/>
        </w:rPr>
      </w:pPr>
    </w:p>
    <w:p>
      <w:pPr>
        <w:rPr>
          <w:rFonts w:hint="default" w:ascii="Times New Roman" w:hAnsi="Times New Roman" w:eastAsia="宋体" w:cs="Times New Roman"/>
          <w:b w:val="0"/>
          <w:bCs w:val="0"/>
          <w:sz w:val="24"/>
          <w:szCs w:val="24"/>
          <w:highlight w:val="yellow"/>
        </w:rPr>
        <w:sectPr>
          <w:footerReference r:id="rId9" w:type="default"/>
          <w:pgSz w:w="16839" w:h="11906" w:orient="landscape"/>
          <w:pgMar w:top="720" w:right="720" w:bottom="720" w:left="720" w:header="0" w:footer="397" w:gutter="0"/>
          <w:pgBorders>
            <w:top w:val="none" w:sz="0" w:space="0"/>
            <w:left w:val="none" w:sz="0" w:space="0"/>
            <w:bottom w:val="none" w:sz="0" w:space="0"/>
            <w:right w:val="none" w:sz="0" w:space="0"/>
          </w:pgBorders>
          <w:pgNumType w:fmt="numberInDash"/>
          <w:cols w:equalWidth="0" w:num="1">
            <w:col w:w="8850"/>
          </w:cols>
        </w:sectPr>
      </w:pPr>
    </w:p>
    <w:p>
      <w:pPr>
        <w:pStyle w:val="8"/>
        <w:spacing w:line="14" w:lineRule="auto"/>
        <w:rPr>
          <w:sz w:val="2"/>
        </w:rPr>
      </w:pPr>
    </w:p>
    <w:p>
      <w:pPr>
        <w:spacing w:line="14" w:lineRule="auto"/>
        <w:rPr>
          <w:sz w:val="2"/>
          <w:szCs w:val="2"/>
        </w:rPr>
      </w:pPr>
    </w:p>
    <w:p>
      <w:pPr>
        <w:spacing w:line="219" w:lineRule="auto"/>
        <w:rPr>
          <w:rFonts w:ascii="宋体" w:hAnsi="宋体" w:eastAsia="宋体" w:cs="宋体"/>
          <w:sz w:val="24"/>
          <w:szCs w:val="24"/>
        </w:rPr>
      </w:pPr>
      <w:r>
        <w:rPr>
          <w:rFonts w:ascii="宋体" w:hAnsi="宋体" w:eastAsia="宋体" w:cs="宋体"/>
          <w:spacing w:val="-2"/>
          <w:sz w:val="24"/>
          <w:szCs w:val="24"/>
        </w:rPr>
        <w:t>项目地下水水位检测结果统计与分析见表</w:t>
      </w:r>
      <w:r>
        <w:rPr>
          <w:rFonts w:ascii="Times New Roman" w:hAnsi="Times New Roman" w:eastAsia="Times New Roman" w:cs="Times New Roman"/>
          <w:spacing w:val="-2"/>
          <w:sz w:val="24"/>
          <w:szCs w:val="24"/>
        </w:rPr>
        <w:t>4-1</w:t>
      </w:r>
      <w:r>
        <w:rPr>
          <w:rFonts w:hint="eastAsia" w:ascii="Times New Roman" w:hAnsi="Times New Roman" w:eastAsia="宋体" w:cs="Times New Roman"/>
          <w:spacing w:val="-2"/>
          <w:sz w:val="24"/>
          <w:szCs w:val="24"/>
          <w:lang w:val="en-US" w:eastAsia="zh-CN"/>
        </w:rPr>
        <w:t>6</w:t>
      </w:r>
      <w:r>
        <w:rPr>
          <w:rFonts w:ascii="宋体" w:hAnsi="宋体" w:eastAsia="宋体" w:cs="宋体"/>
          <w:spacing w:val="-2"/>
          <w:sz w:val="24"/>
          <w:szCs w:val="24"/>
        </w:rPr>
        <w:t>。</w:t>
      </w:r>
    </w:p>
    <w:p>
      <w:pPr>
        <w:pStyle w:val="13"/>
        <w:snapToGrid w:val="0"/>
        <w:spacing w:after="0"/>
        <w:ind w:left="0" w:leftChars="0" w:firstLine="0"/>
        <w:jc w:val="center"/>
        <w:rPr>
          <w:rFonts w:eastAsia="黑体"/>
          <w:color w:val="0C0C0C"/>
          <w:sz w:val="24"/>
          <w:szCs w:val="24"/>
        </w:rPr>
      </w:pPr>
      <w:r>
        <w:rPr>
          <w:rFonts w:ascii="宋体" w:hAnsi="宋体" w:eastAsia="宋体" w:cs="宋体"/>
          <w:sz w:val="24"/>
          <w:szCs w:val="24"/>
          <w:highlight w:val="none"/>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highlight w:val="none"/>
        </w:rPr>
        <w:t>4-1</w:t>
      </w:r>
      <w:r>
        <w:rPr>
          <w:rFonts w:hint="eastAsia" w:ascii="Times New Roman" w:hAnsi="Times New Roman" w:eastAsia="宋体" w:cs="Times New Roman"/>
          <w:b/>
          <w:bCs/>
          <w:sz w:val="24"/>
          <w:szCs w:val="24"/>
          <w:highlight w:val="none"/>
          <w:lang w:val="en-US" w:eastAsia="zh-CN"/>
        </w:rPr>
        <w:t>6</w:t>
      </w:r>
      <w:r>
        <w:rPr>
          <w:rFonts w:ascii="Times New Roman" w:hAnsi="Times New Roman" w:eastAsia="Times New Roman" w:cs="Times New Roman"/>
          <w:b/>
          <w:bCs/>
          <w:sz w:val="24"/>
          <w:szCs w:val="24"/>
          <w:highlight w:val="none"/>
        </w:rPr>
        <w:t xml:space="preserve">                </w:t>
      </w:r>
      <w:r>
        <w:rPr>
          <w:rFonts w:hint="eastAsia"/>
          <w:b/>
          <w:bCs/>
          <w:sz w:val="24"/>
          <w:szCs w:val="24"/>
        </w:rPr>
        <w:t>地下水水</w:t>
      </w:r>
      <w:r>
        <w:rPr>
          <w:rFonts w:hint="eastAsia"/>
          <w:b/>
          <w:bCs/>
          <w:sz w:val="24"/>
          <w:szCs w:val="24"/>
          <w:lang w:val="en-US" w:eastAsia="zh-CN"/>
        </w:rPr>
        <w:t>井信息调查</w:t>
      </w:r>
      <w:r>
        <w:rPr>
          <w:rFonts w:hint="eastAsia"/>
          <w:b/>
          <w:bCs/>
          <w:sz w:val="24"/>
          <w:szCs w:val="24"/>
        </w:rPr>
        <w:t>结果</w:t>
      </w:r>
    </w:p>
    <w:tbl>
      <w:tblPr>
        <w:tblStyle w:val="20"/>
        <w:tblW w:w="892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485"/>
        <w:gridCol w:w="1484"/>
        <w:gridCol w:w="1484"/>
        <w:gridCol w:w="1489"/>
        <w:gridCol w:w="1491"/>
        <w:gridCol w:w="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1474" w:type="dxa"/>
            <w:vMerge w:val="restart"/>
            <w:tcBorders>
              <w:tl2br w:val="nil"/>
              <w:tr2bl w:val="nil"/>
            </w:tcBorders>
            <w:vAlign w:val="center"/>
          </w:tcPr>
          <w:p>
            <w:pPr>
              <w:jc w:val="center"/>
              <w:textAlignment w:val="center"/>
              <w:rPr>
                <w:rFonts w:hint="default" w:ascii="Times New Roman" w:hAnsi="Times New Roman" w:cs="Times New Roman"/>
                <w:b/>
                <w:bCs/>
                <w:sz w:val="21"/>
                <w:szCs w:val="21"/>
                <w:lang w:bidi="ar"/>
              </w:rPr>
            </w:pPr>
            <w:r>
              <w:rPr>
                <w:rFonts w:hint="default" w:ascii="Times New Roman" w:hAnsi="Times New Roman" w:cs="Times New Roman"/>
                <w:b/>
                <w:bCs/>
                <w:sz w:val="21"/>
                <w:szCs w:val="21"/>
                <w:lang w:bidi="ar"/>
              </w:rPr>
              <w:t>检测点位</w:t>
            </w:r>
          </w:p>
        </w:tc>
        <w:tc>
          <w:tcPr>
            <w:tcW w:w="1485" w:type="dxa"/>
            <w:vMerge w:val="restart"/>
            <w:tcBorders>
              <w:tl2br w:val="nil"/>
              <w:tr2bl w:val="nil"/>
            </w:tcBorders>
            <w:vAlign w:val="center"/>
          </w:tcPr>
          <w:p>
            <w:pPr>
              <w:jc w:val="center"/>
              <w:textAlignment w:val="center"/>
              <w:rPr>
                <w:rFonts w:hint="default" w:ascii="Times New Roman" w:hAnsi="Times New Roman" w:cs="Times New Roman"/>
                <w:b/>
                <w:bCs/>
                <w:sz w:val="21"/>
                <w:szCs w:val="21"/>
                <w:lang w:bidi="ar"/>
              </w:rPr>
            </w:pPr>
            <w:r>
              <w:rPr>
                <w:rFonts w:hint="default" w:ascii="Times New Roman" w:hAnsi="Times New Roman" w:cs="Times New Roman"/>
                <w:b/>
                <w:bCs/>
                <w:sz w:val="21"/>
                <w:szCs w:val="21"/>
                <w:lang w:bidi="ar"/>
              </w:rPr>
              <w:t>检测日期</w:t>
            </w:r>
          </w:p>
        </w:tc>
        <w:tc>
          <w:tcPr>
            <w:tcW w:w="5966" w:type="dxa"/>
            <w:gridSpan w:val="5"/>
            <w:tcBorders>
              <w:tl2br w:val="nil"/>
              <w:tr2bl w:val="nil"/>
            </w:tcBorders>
            <w:vAlign w:val="center"/>
          </w:tcPr>
          <w:p>
            <w:pPr>
              <w:jc w:val="center"/>
              <w:textAlignment w:val="center"/>
              <w:rPr>
                <w:rFonts w:hint="default" w:ascii="Times New Roman" w:hAnsi="Times New Roman" w:cs="Times New Roman"/>
                <w:b/>
                <w:bCs/>
                <w:sz w:val="21"/>
                <w:szCs w:val="21"/>
                <w:lang w:bidi="ar"/>
              </w:rPr>
            </w:pPr>
            <w:r>
              <w:rPr>
                <w:rFonts w:hint="default" w:ascii="Times New Roman" w:hAnsi="Times New Roman" w:cs="Times New Roman"/>
                <w:b/>
                <w:bCs/>
                <w:sz w:val="21"/>
                <w:szCs w:val="21"/>
                <w:lang w:bidi="ar"/>
              </w:rPr>
              <w:t>检测项目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567" w:hRule="atLeast"/>
          <w:tblHeader/>
          <w:jc w:val="center"/>
        </w:trPr>
        <w:tc>
          <w:tcPr>
            <w:tcW w:w="1474" w:type="dxa"/>
            <w:vMerge w:val="continue"/>
            <w:tcBorders>
              <w:tl2br w:val="nil"/>
              <w:tr2bl w:val="nil"/>
            </w:tcBorders>
            <w:vAlign w:val="center"/>
          </w:tcPr>
          <w:p>
            <w:pPr>
              <w:jc w:val="center"/>
              <w:textAlignment w:val="center"/>
              <w:rPr>
                <w:rFonts w:hint="default" w:ascii="Times New Roman" w:hAnsi="Times New Roman" w:cs="Times New Roman"/>
                <w:sz w:val="21"/>
                <w:szCs w:val="21"/>
              </w:rPr>
            </w:pPr>
          </w:p>
        </w:tc>
        <w:tc>
          <w:tcPr>
            <w:tcW w:w="1485" w:type="dxa"/>
            <w:vMerge w:val="continue"/>
            <w:tcBorders>
              <w:tl2br w:val="nil"/>
              <w:tr2bl w:val="nil"/>
            </w:tcBorders>
            <w:vAlign w:val="center"/>
          </w:tcPr>
          <w:p>
            <w:pPr>
              <w:jc w:val="center"/>
              <w:textAlignment w:val="center"/>
              <w:rPr>
                <w:rFonts w:hint="default" w:ascii="Times New Roman" w:hAnsi="Times New Roman" w:cs="Times New Roman"/>
                <w:sz w:val="21"/>
                <w:szCs w:val="21"/>
              </w:rPr>
            </w:pPr>
          </w:p>
        </w:tc>
        <w:tc>
          <w:tcPr>
            <w:tcW w:w="1484" w:type="dxa"/>
            <w:tcBorders>
              <w:tl2br w:val="nil"/>
              <w:tr2bl w:val="nil"/>
            </w:tcBorders>
            <w:vAlign w:val="center"/>
          </w:tcPr>
          <w:p>
            <w:pPr>
              <w:jc w:val="center"/>
              <w:textAlignment w:val="center"/>
              <w:rPr>
                <w:rFonts w:hint="default" w:ascii="Times New Roman" w:hAnsi="Times New Roman" w:cs="Times New Roman"/>
                <w:b/>
                <w:bCs/>
                <w:sz w:val="21"/>
                <w:szCs w:val="21"/>
                <w:lang w:bidi="ar"/>
              </w:rPr>
            </w:pPr>
            <w:r>
              <w:rPr>
                <w:rFonts w:hint="default" w:ascii="Times New Roman" w:hAnsi="Times New Roman" w:cs="Times New Roman"/>
                <w:b/>
                <w:bCs/>
                <w:sz w:val="21"/>
                <w:szCs w:val="21"/>
                <w:lang w:val="en-US" w:eastAsia="zh-CN" w:bidi="ar"/>
              </w:rPr>
              <w:t>井深</w:t>
            </w:r>
            <w:r>
              <w:rPr>
                <w:rFonts w:hint="default" w:ascii="Times New Roman" w:hAnsi="Times New Roman" w:cs="Times New Roman"/>
                <w:b/>
                <w:bCs/>
                <w:sz w:val="21"/>
                <w:szCs w:val="21"/>
                <w:lang w:bidi="ar"/>
              </w:rPr>
              <w:t>（m）</w:t>
            </w:r>
          </w:p>
        </w:tc>
        <w:tc>
          <w:tcPr>
            <w:tcW w:w="1484" w:type="dxa"/>
            <w:tcBorders>
              <w:tl2br w:val="nil"/>
              <w:tr2bl w:val="nil"/>
            </w:tcBorders>
            <w:vAlign w:val="center"/>
          </w:tcPr>
          <w:p>
            <w:pPr>
              <w:ind w:left="-105" w:leftChars="-50" w:right="-105" w:rightChars="-50"/>
              <w:jc w:val="center"/>
              <w:rPr>
                <w:rFonts w:hint="default" w:ascii="Times New Roman" w:hAnsi="Times New Roman" w:cs="Times New Roman"/>
                <w:b/>
                <w:bCs/>
                <w:sz w:val="21"/>
                <w:szCs w:val="21"/>
                <w:lang w:val="en-US" w:eastAsia="zh-CN" w:bidi="ar"/>
              </w:rPr>
            </w:pPr>
            <w:r>
              <w:rPr>
                <w:rFonts w:hint="default" w:ascii="Times New Roman" w:hAnsi="Times New Roman" w:cs="Times New Roman"/>
                <w:b/>
                <w:bCs/>
                <w:sz w:val="21"/>
                <w:szCs w:val="21"/>
                <w:lang w:val="en-US" w:eastAsia="zh-CN" w:bidi="ar"/>
              </w:rPr>
              <w:t>水温（</w:t>
            </w:r>
            <w:r>
              <w:rPr>
                <w:rFonts w:hint="default" w:ascii="Times New Roman" w:hAnsi="Times New Roman" w:eastAsia="宋体" w:cs="Times New Roman"/>
                <w:b/>
                <w:bCs/>
                <w:sz w:val="21"/>
                <w:szCs w:val="21"/>
                <w:lang w:val="en-US" w:eastAsia="zh-CN" w:bidi="ar"/>
              </w:rPr>
              <w:t>℃</w:t>
            </w:r>
            <w:r>
              <w:rPr>
                <w:rFonts w:hint="default" w:ascii="Times New Roman" w:hAnsi="Times New Roman" w:cs="Times New Roman"/>
                <w:b/>
                <w:bCs/>
                <w:sz w:val="21"/>
                <w:szCs w:val="21"/>
                <w:lang w:val="en-US" w:eastAsia="zh-CN" w:bidi="ar"/>
              </w:rPr>
              <w:t>）</w:t>
            </w:r>
          </w:p>
        </w:tc>
        <w:tc>
          <w:tcPr>
            <w:tcW w:w="1489" w:type="dxa"/>
            <w:tcBorders>
              <w:tl2br w:val="nil"/>
              <w:tr2bl w:val="nil"/>
            </w:tcBorders>
            <w:vAlign w:val="center"/>
          </w:tcPr>
          <w:p>
            <w:pPr>
              <w:ind w:left="-105" w:leftChars="-50" w:right="-105" w:rightChars="-50"/>
              <w:jc w:val="center"/>
              <w:rPr>
                <w:rFonts w:hint="default" w:ascii="Times New Roman" w:hAnsi="Times New Roman" w:cs="Times New Roman"/>
                <w:b/>
                <w:bCs/>
                <w:sz w:val="21"/>
                <w:szCs w:val="21"/>
                <w:lang w:val="en-US" w:eastAsia="zh-CN" w:bidi="ar"/>
              </w:rPr>
            </w:pPr>
            <w:r>
              <w:rPr>
                <w:rFonts w:hint="default" w:ascii="Times New Roman" w:hAnsi="Times New Roman" w:cs="Times New Roman"/>
                <w:b/>
                <w:bCs/>
                <w:sz w:val="21"/>
                <w:szCs w:val="21"/>
                <w:lang w:val="en-US" w:eastAsia="zh-CN" w:bidi="ar"/>
              </w:rPr>
              <w:t>水位</w:t>
            </w:r>
            <w:r>
              <w:rPr>
                <w:rFonts w:hint="default" w:ascii="Times New Roman" w:hAnsi="Times New Roman" w:cs="Times New Roman"/>
                <w:b/>
                <w:bCs/>
                <w:sz w:val="21"/>
                <w:szCs w:val="21"/>
                <w:lang w:bidi="ar"/>
              </w:rPr>
              <w:t>（m）</w:t>
            </w:r>
          </w:p>
        </w:tc>
        <w:tc>
          <w:tcPr>
            <w:tcW w:w="1491" w:type="dxa"/>
            <w:tcBorders>
              <w:tl2br w:val="nil"/>
              <w:tr2bl w:val="nil"/>
            </w:tcBorders>
            <w:vAlign w:val="center"/>
          </w:tcPr>
          <w:p>
            <w:pPr>
              <w:ind w:left="-105" w:leftChars="-50" w:right="-105" w:rightChars="-50"/>
              <w:jc w:val="center"/>
              <w:rPr>
                <w:rFonts w:hint="default" w:ascii="Times New Roman" w:hAnsi="Times New Roman" w:cs="Times New Roman"/>
                <w:b/>
                <w:bCs/>
                <w:sz w:val="21"/>
                <w:szCs w:val="21"/>
                <w:lang w:val="en-US" w:eastAsia="zh-CN" w:bidi="ar"/>
              </w:rPr>
            </w:pPr>
            <w:r>
              <w:rPr>
                <w:rFonts w:hint="default" w:ascii="Times New Roman" w:hAnsi="Times New Roman" w:cs="Times New Roman"/>
                <w:b/>
                <w:bCs/>
                <w:sz w:val="21"/>
                <w:szCs w:val="21"/>
                <w:lang w:val="en-US" w:eastAsia="zh-CN" w:bidi="ar"/>
              </w:rPr>
              <w:t>埋深</w:t>
            </w:r>
            <w:r>
              <w:rPr>
                <w:rFonts w:hint="default" w:ascii="Times New Roman" w:hAnsi="Times New Roman" w:cs="Times New Roman"/>
                <w:b/>
                <w:bCs/>
                <w:sz w:val="21"/>
                <w:szCs w:val="21"/>
                <w:lang w:bidi="ar"/>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567" w:hRule="atLeast"/>
          <w:jc w:val="center"/>
        </w:trPr>
        <w:tc>
          <w:tcPr>
            <w:tcW w:w="14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
                <w:bCs/>
                <w:color w:val="000000"/>
                <w:kern w:val="0"/>
                <w:sz w:val="21"/>
                <w:szCs w:val="21"/>
                <w:lang w:val="en-US" w:eastAsia="zh-CN"/>
              </w:rPr>
              <w:t>D1</w:t>
            </w:r>
            <w:r>
              <w:rPr>
                <w:rFonts w:hint="default" w:ascii="Times New Roman" w:hAnsi="Times New Roman" w:cs="Times New Roman"/>
                <w:b/>
                <w:bCs/>
                <w:color w:val="000000"/>
                <w:kern w:val="0"/>
                <w:sz w:val="21"/>
                <w:szCs w:val="21"/>
                <w:lang w:eastAsia="zh-CN"/>
              </w:rPr>
              <w:t>项目场址</w:t>
            </w:r>
          </w:p>
        </w:tc>
        <w:tc>
          <w:tcPr>
            <w:tcW w:w="14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val="0"/>
                <w:color w:val="auto"/>
                <w:sz w:val="21"/>
                <w:szCs w:val="21"/>
                <w:lang w:val="en-US" w:eastAsia="zh-CN" w:bidi="ar-SA"/>
              </w:rPr>
            </w:pPr>
            <w:r>
              <w:rPr>
                <w:rFonts w:hint="default" w:ascii="Times New Roman" w:hAnsi="Times New Roman" w:cs="Times New Roman"/>
                <w:sz w:val="21"/>
                <w:szCs w:val="21"/>
                <w:lang w:eastAsia="zh-CN"/>
              </w:rPr>
              <w:t>2023.</w:t>
            </w:r>
            <w:r>
              <w:rPr>
                <w:rFonts w:hint="default" w:ascii="Times New Roman" w:hAnsi="Times New Roman" w:cs="Times New Roman"/>
                <w:sz w:val="21"/>
                <w:szCs w:val="21"/>
                <w:lang w:val="en-US" w:eastAsia="zh-CN"/>
              </w:rPr>
              <w:t>11.16</w:t>
            </w: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70</w:t>
            </w: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FF0000"/>
                <w:sz w:val="21"/>
                <w:szCs w:val="21"/>
                <w:lang w:val="en-US" w:eastAsia="zh-CN" w:bidi="ar"/>
              </w:rPr>
            </w:pPr>
            <w:r>
              <w:rPr>
                <w:rFonts w:hint="default" w:ascii="Times New Roman" w:hAnsi="Times New Roman" w:eastAsia="宋体" w:cs="Times New Roman"/>
                <w:color w:val="auto"/>
                <w:sz w:val="21"/>
                <w:szCs w:val="21"/>
                <w:lang w:val="en-US" w:eastAsia="zh-CN" w:bidi="ar"/>
              </w:rPr>
              <w:t>18.9</w:t>
            </w:r>
          </w:p>
        </w:tc>
        <w:tc>
          <w:tcPr>
            <w:tcW w:w="1489"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55.7</w:t>
            </w:r>
          </w:p>
        </w:tc>
        <w:tc>
          <w:tcPr>
            <w:tcW w:w="1491"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567" w:hRule="atLeast"/>
          <w:jc w:val="center"/>
        </w:trPr>
        <w:tc>
          <w:tcPr>
            <w:tcW w:w="14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
                <w:bCs/>
                <w:sz w:val="21"/>
                <w:szCs w:val="21"/>
                <w:lang w:val="en-US" w:eastAsia="zh-CN"/>
              </w:rPr>
              <w:t>D2张申庄村</w:t>
            </w:r>
          </w:p>
        </w:tc>
        <w:tc>
          <w:tcPr>
            <w:tcW w:w="1485" w:type="dxa"/>
            <w:vMerge w:val="continue"/>
            <w:tcBorders>
              <w:tl2br w:val="nil"/>
              <w:tr2bl w:val="nil"/>
            </w:tcBorders>
            <w:vAlign w:val="center"/>
          </w:tcPr>
          <w:p>
            <w:pPr>
              <w:jc w:val="center"/>
              <w:textAlignment w:val="center"/>
              <w:rPr>
                <w:rFonts w:hint="default" w:ascii="Times New Roman" w:hAnsi="Times New Roman" w:cs="Times New Roman"/>
                <w:sz w:val="21"/>
                <w:szCs w:val="21"/>
                <w:lang w:bidi="ar"/>
              </w:rPr>
            </w:pP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60</w:t>
            </w: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17.6</w:t>
            </w:r>
          </w:p>
        </w:tc>
        <w:tc>
          <w:tcPr>
            <w:tcW w:w="1489"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59.0</w:t>
            </w:r>
          </w:p>
        </w:tc>
        <w:tc>
          <w:tcPr>
            <w:tcW w:w="1491"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567" w:hRule="atLeast"/>
          <w:jc w:val="center"/>
        </w:trPr>
        <w:tc>
          <w:tcPr>
            <w:tcW w:w="14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
                <w:bCs/>
                <w:sz w:val="21"/>
                <w:szCs w:val="21"/>
                <w:lang w:val="en-US" w:eastAsia="zh-CN"/>
              </w:rPr>
              <w:t>D3贺庄</w:t>
            </w:r>
          </w:p>
        </w:tc>
        <w:tc>
          <w:tcPr>
            <w:tcW w:w="1485" w:type="dxa"/>
            <w:vMerge w:val="continue"/>
            <w:tcBorders>
              <w:tl2br w:val="nil"/>
              <w:tr2bl w:val="nil"/>
            </w:tcBorders>
            <w:vAlign w:val="center"/>
          </w:tcPr>
          <w:p>
            <w:pPr>
              <w:jc w:val="center"/>
              <w:textAlignment w:val="center"/>
              <w:rPr>
                <w:rFonts w:hint="default" w:ascii="Times New Roman" w:hAnsi="Times New Roman" w:cs="Times New Roman"/>
                <w:sz w:val="21"/>
                <w:szCs w:val="21"/>
                <w:lang w:bidi="ar"/>
              </w:rPr>
            </w:pP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50</w:t>
            </w: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18.4</w:t>
            </w:r>
          </w:p>
        </w:tc>
        <w:tc>
          <w:tcPr>
            <w:tcW w:w="1489"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60.0</w:t>
            </w:r>
          </w:p>
        </w:tc>
        <w:tc>
          <w:tcPr>
            <w:tcW w:w="1491"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567" w:hRule="atLeast"/>
          <w:jc w:val="center"/>
        </w:trPr>
        <w:tc>
          <w:tcPr>
            <w:tcW w:w="14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
                <w:bCs/>
                <w:sz w:val="21"/>
                <w:szCs w:val="21"/>
                <w:lang w:val="en-US" w:eastAsia="zh-CN"/>
              </w:rPr>
              <w:t>D4鲁庄</w:t>
            </w:r>
          </w:p>
        </w:tc>
        <w:tc>
          <w:tcPr>
            <w:tcW w:w="1485" w:type="dxa"/>
            <w:vMerge w:val="continue"/>
            <w:tcBorders>
              <w:tl2br w:val="nil"/>
              <w:tr2bl w:val="nil"/>
            </w:tcBorders>
            <w:vAlign w:val="center"/>
          </w:tcPr>
          <w:p>
            <w:pPr>
              <w:jc w:val="center"/>
              <w:textAlignment w:val="center"/>
              <w:rPr>
                <w:rFonts w:hint="default" w:ascii="Times New Roman" w:hAnsi="Times New Roman" w:cs="Times New Roman"/>
                <w:sz w:val="21"/>
                <w:szCs w:val="21"/>
                <w:lang w:bidi="ar"/>
              </w:rPr>
            </w:pP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60</w:t>
            </w: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18.7</w:t>
            </w:r>
          </w:p>
        </w:tc>
        <w:tc>
          <w:tcPr>
            <w:tcW w:w="1489"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63.5</w:t>
            </w:r>
          </w:p>
        </w:tc>
        <w:tc>
          <w:tcPr>
            <w:tcW w:w="1491"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567" w:hRule="atLeast"/>
          <w:jc w:val="center"/>
        </w:trPr>
        <w:tc>
          <w:tcPr>
            <w:tcW w:w="1474"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b/>
                <w:bCs/>
                <w:sz w:val="21"/>
                <w:szCs w:val="21"/>
                <w:lang w:val="en-US" w:eastAsia="zh-CN"/>
              </w:rPr>
              <w:t>D5大张庄</w:t>
            </w:r>
          </w:p>
        </w:tc>
        <w:tc>
          <w:tcPr>
            <w:tcW w:w="1485" w:type="dxa"/>
            <w:vMerge w:val="continue"/>
            <w:tcBorders>
              <w:tl2br w:val="nil"/>
              <w:tr2bl w:val="nil"/>
            </w:tcBorders>
            <w:vAlign w:val="center"/>
          </w:tcPr>
          <w:p>
            <w:pPr>
              <w:jc w:val="center"/>
              <w:textAlignment w:val="center"/>
              <w:rPr>
                <w:rFonts w:hint="default" w:ascii="Times New Roman" w:hAnsi="Times New Roman" w:cs="Times New Roman"/>
                <w:sz w:val="21"/>
                <w:szCs w:val="21"/>
                <w:lang w:bidi="ar"/>
              </w:rPr>
            </w:pP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60</w:t>
            </w: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18.6</w:t>
            </w:r>
          </w:p>
        </w:tc>
        <w:tc>
          <w:tcPr>
            <w:tcW w:w="1489"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61.0</w:t>
            </w:r>
          </w:p>
        </w:tc>
        <w:tc>
          <w:tcPr>
            <w:tcW w:w="1491"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567" w:hRule="atLeast"/>
          <w:jc w:val="center"/>
        </w:trPr>
        <w:tc>
          <w:tcPr>
            <w:tcW w:w="14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
                <w:bCs/>
                <w:sz w:val="21"/>
                <w:szCs w:val="21"/>
                <w:lang w:val="en-US" w:eastAsia="zh-CN"/>
              </w:rPr>
              <w:t>D6刘庄</w:t>
            </w:r>
          </w:p>
        </w:tc>
        <w:tc>
          <w:tcPr>
            <w:tcW w:w="1485" w:type="dxa"/>
            <w:vMerge w:val="continue"/>
            <w:tcBorders>
              <w:tl2br w:val="nil"/>
              <w:tr2bl w:val="nil"/>
            </w:tcBorders>
            <w:vAlign w:val="center"/>
          </w:tcPr>
          <w:p>
            <w:pPr>
              <w:jc w:val="center"/>
              <w:textAlignment w:val="center"/>
              <w:rPr>
                <w:rFonts w:hint="default" w:ascii="Times New Roman" w:hAnsi="Times New Roman" w:cs="Times New Roman"/>
                <w:sz w:val="21"/>
                <w:szCs w:val="21"/>
                <w:lang w:bidi="ar"/>
              </w:rPr>
            </w:pP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60</w:t>
            </w: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18.8</w:t>
            </w:r>
          </w:p>
        </w:tc>
        <w:tc>
          <w:tcPr>
            <w:tcW w:w="1489"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60.5</w:t>
            </w:r>
          </w:p>
        </w:tc>
        <w:tc>
          <w:tcPr>
            <w:tcW w:w="1491"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567" w:hRule="atLeast"/>
          <w:jc w:val="center"/>
        </w:trPr>
        <w:tc>
          <w:tcPr>
            <w:tcW w:w="147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
                <w:bCs/>
                <w:sz w:val="21"/>
                <w:szCs w:val="21"/>
                <w:lang w:val="en-US" w:eastAsia="zh-CN"/>
              </w:rPr>
              <w:t>D7马庄乡</w:t>
            </w:r>
          </w:p>
        </w:tc>
        <w:tc>
          <w:tcPr>
            <w:tcW w:w="1485" w:type="dxa"/>
            <w:vMerge w:val="continue"/>
            <w:tcBorders>
              <w:tl2br w:val="nil"/>
              <w:tr2bl w:val="nil"/>
            </w:tcBorders>
            <w:vAlign w:val="center"/>
          </w:tcPr>
          <w:p>
            <w:pPr>
              <w:jc w:val="center"/>
              <w:textAlignment w:val="center"/>
              <w:rPr>
                <w:rFonts w:hint="default" w:ascii="Times New Roman" w:hAnsi="Times New Roman" w:cs="Times New Roman"/>
                <w:sz w:val="21"/>
                <w:szCs w:val="21"/>
                <w:lang w:bidi="ar"/>
              </w:rPr>
            </w:pP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60</w:t>
            </w:r>
          </w:p>
        </w:tc>
        <w:tc>
          <w:tcPr>
            <w:tcW w:w="1484"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19.2</w:t>
            </w:r>
          </w:p>
        </w:tc>
        <w:tc>
          <w:tcPr>
            <w:tcW w:w="1489"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63.8</w:t>
            </w:r>
          </w:p>
        </w:tc>
        <w:tc>
          <w:tcPr>
            <w:tcW w:w="1491" w:type="dxa"/>
            <w:tcBorders>
              <w:tl2br w:val="nil"/>
              <w:tr2bl w:val="nil"/>
            </w:tcBorders>
            <w:vAlign w:val="center"/>
          </w:tcPr>
          <w:p>
            <w:pPr>
              <w:jc w:val="center"/>
              <w:textAlignment w:val="center"/>
              <w:rPr>
                <w:rFonts w:hint="default" w:ascii="Times New Roman" w:hAnsi="Times New Roman" w:eastAsia="宋体" w:cs="Times New Roman"/>
                <w:color w:val="000000"/>
                <w:sz w:val="21"/>
                <w:szCs w:val="21"/>
                <w:lang w:val="en-US" w:eastAsia="zh-CN" w:bidi="ar"/>
              </w:rPr>
            </w:pPr>
            <w:r>
              <w:rPr>
                <w:rFonts w:hint="default" w:ascii="Times New Roman" w:hAnsi="Times New Roman" w:eastAsia="宋体" w:cs="Times New Roman"/>
                <w:color w:val="000000"/>
                <w:sz w:val="21"/>
                <w:szCs w:val="21"/>
                <w:lang w:val="en-US" w:eastAsia="zh-CN" w:bidi="ar"/>
              </w:rPr>
              <w:t>3</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ind w:firstLine="482"/>
        <w:jc w:val="center"/>
        <w:textAlignment w:val="baseline"/>
        <w:rPr>
          <w:rFonts w:hint="eastAsia" w:cs="宋体"/>
          <w:b/>
          <w:bCs/>
          <w:sz w:val="24"/>
          <w:szCs w:val="24"/>
          <w:highlight w:val="yellow"/>
          <w:lang w:bidi="zh-CN"/>
        </w:rPr>
        <w:sectPr>
          <w:footerReference r:id="rId10" w:type="default"/>
          <w:pgSz w:w="11906" w:h="16839"/>
          <w:pgMar w:top="1431" w:right="1590" w:bottom="1278" w:left="1598" w:header="624" w:footer="850" w:gutter="0"/>
          <w:pgBorders>
            <w:top w:val="none" w:sz="0" w:space="0"/>
            <w:left w:val="none" w:sz="0" w:space="0"/>
            <w:bottom w:val="none" w:sz="0" w:space="0"/>
            <w:right w:val="none" w:sz="0" w:space="0"/>
          </w:pgBorders>
          <w:pgNumType w:fmt="numberInDash"/>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0" w:beforeLines="50"/>
        <w:ind w:firstLine="482"/>
        <w:jc w:val="center"/>
        <w:textAlignment w:val="baseline"/>
        <w:rPr>
          <w:rFonts w:cs="宋体"/>
          <w:sz w:val="24"/>
          <w:szCs w:val="24"/>
          <w:highlight w:val="none"/>
          <w:lang w:bidi="zh-CN"/>
        </w:rPr>
      </w:pPr>
      <w:r>
        <w:rPr>
          <w:rFonts w:hint="eastAsia" w:cs="宋体"/>
          <w:b/>
          <w:bCs/>
          <w:sz w:val="24"/>
          <w:szCs w:val="24"/>
          <w:highlight w:val="none"/>
          <w:lang w:bidi="zh-CN"/>
        </w:rPr>
        <w:t>表4-</w:t>
      </w:r>
      <w:r>
        <w:rPr>
          <w:rFonts w:hint="eastAsia" w:cs="宋体"/>
          <w:b/>
          <w:bCs/>
          <w:sz w:val="24"/>
          <w:szCs w:val="24"/>
          <w:highlight w:val="none"/>
          <w:lang w:val="en-US" w:bidi="zh-CN"/>
        </w:rPr>
        <w:t>17</w:t>
      </w:r>
      <w:r>
        <w:rPr>
          <w:rFonts w:hint="eastAsia" w:cs="宋体"/>
          <w:b/>
          <w:bCs/>
          <w:sz w:val="24"/>
          <w:szCs w:val="24"/>
          <w:highlight w:val="none"/>
          <w:lang w:bidi="zh-CN"/>
        </w:rPr>
        <w:t xml:space="preserve">  地下水环境质量现状评价结果</w:t>
      </w:r>
    </w:p>
    <w:tbl>
      <w:tblPr>
        <w:tblStyle w:val="24"/>
        <w:tblW w:w="15429"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731"/>
        <w:gridCol w:w="1357"/>
        <w:gridCol w:w="1170"/>
        <w:gridCol w:w="1116"/>
        <w:gridCol w:w="1116"/>
        <w:gridCol w:w="1128"/>
        <w:gridCol w:w="1105"/>
        <w:gridCol w:w="1080"/>
        <w:gridCol w:w="1026"/>
        <w:gridCol w:w="986"/>
        <w:gridCol w:w="975"/>
        <w:gridCol w:w="948"/>
        <w:gridCol w:w="1029"/>
        <w:gridCol w:w="66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134" w:hRule="atLeast"/>
          <w:jc w:val="center"/>
        </w:trPr>
        <w:tc>
          <w:tcPr>
            <w:tcW w:w="1731" w:type="dxa"/>
            <w:tcBorders>
              <w:tl2br w:val="nil"/>
              <w:tr2bl w:val="nil"/>
            </w:tcBorders>
            <w:vAlign w:val="center"/>
            <mc:AlternateContent>
              <mc:Choice Requires="wpsCustomData">
                <wpsCustomData:diagonals>
                  <wpsCustomData:diagonal from="10000" to="30000">
                    <wpsCustomData:border w:val="single" w:color="000000" w:sz="12" w:space="0"/>
                  </wpsCustomData:diagonal>
                </wpsCustomData:diagonals>
              </mc:Choice>
            </mc:AlternateContent>
          </w:tcPr>
          <w:p>
            <w:pPr>
              <w:pStyle w:val="3"/>
              <w:pageBreakBefore w:val="0"/>
              <w:widowControl/>
              <w:kinsoku w:val="0"/>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cs="Times New Roman"/>
                <w:sz w:val="21"/>
                <w:szCs w:val="21"/>
              </w:rPr>
            </w:pPr>
          </w:p>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p>
          <w:p>
            <w:pPr>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mc:AlternateContent>
                <mc:Choice Requires="wpsCustomData">
                  <wpsCustomData:diagonalParaType/>
                </mc:Choice>
              </mc:AlternateContent>
              <w:rPr>
                <w:rFonts w:hint="default" w:ascii="Times New Roman" w:hAnsi="Times New Roman" w:cs="Times New Roman"/>
                <w:sz w:val="21"/>
                <w:szCs w:val="21"/>
              </w:rPr>
            </w:pPr>
            <w:r>
              <w:rPr>
                <w:rFonts w:hint="default" w:ascii="Times New Roman" w:hAnsi="Times New Roman" w:cs="Times New Roman"/>
                <w:sz w:val="21"/>
                <w:szCs w:val="21"/>
              </w:rPr>
              <w:t>检测因子</w:t>
            </w:r>
          </w:p>
          <w:p>
            <w:pPr>
              <w:pageBreakBefore w:val="0"/>
              <w:widowControl/>
              <w:kinsoku w:val="0"/>
              <w:wordWrap/>
              <w:overflowPunct/>
              <w:topLinePunct w:val="0"/>
              <w:autoSpaceDE w:val="0"/>
              <w:autoSpaceDN w:val="0"/>
              <w:bidi w:val="0"/>
              <w:adjustRightInd w:val="0"/>
              <w:snapToGrid w:val="0"/>
              <w:spacing w:line="240" w:lineRule="auto"/>
              <w:ind w:firstLine="0" w:firstLineChars="0"/>
              <w:jc w:val="right"/>
              <w:textAlignment w:val="baseline"/>
              <w:rPr>
                <w:rFonts w:hint="default" w:ascii="Times New Roman" w:hAnsi="Times New Roman" w:cs="Times New Roman"/>
                <w:sz w:val="21"/>
                <w:szCs w:val="21"/>
              </w:rPr>
            </w:pPr>
            <w:r>
              <w:rPr>
                <w:rFonts w:hint="default" w:ascii="Times New Roman" w:hAnsi="Times New Roman" w:cs="Times New Roman"/>
                <w:sz w:val="21"/>
                <w:szCs w:val="21"/>
              </w:rPr>
              <w:t>点位</w:t>
            </w:r>
          </w:p>
          <w:p>
            <w:pPr>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sz w:val="21"/>
                <w:szCs w:val="21"/>
              </w:rPr>
            </w:pPr>
          </w:p>
        </w:tc>
        <w:tc>
          <w:tcPr>
            <w:tcW w:w="1357"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项目地</w:t>
            </w:r>
          </w:p>
        </w:tc>
        <w:tc>
          <w:tcPr>
            <w:tcW w:w="1170"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eastAsia" w:ascii="Times New Roman" w:hAnsi="Times New Roman" w:eastAsia="宋体" w:cs="Times New Roman"/>
                <w:sz w:val="21"/>
                <w:szCs w:val="21"/>
                <w:lang w:eastAsia="zh-CN"/>
              </w:rPr>
              <w:t>张申庄</w:t>
            </w:r>
            <w:r>
              <w:rPr>
                <w:rFonts w:hint="default" w:ascii="Times New Roman" w:hAnsi="Times New Roman" w:cs="Times New Roman"/>
                <w:sz w:val="21"/>
                <w:szCs w:val="21"/>
              </w:rPr>
              <w:t>村</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贺</w:t>
            </w:r>
          </w:p>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庄</w:t>
            </w:r>
          </w:p>
        </w:tc>
        <w:tc>
          <w:tcPr>
            <w:tcW w:w="1116"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鲁庄</w:t>
            </w:r>
          </w:p>
        </w:tc>
        <w:tc>
          <w:tcPr>
            <w:tcW w:w="1128"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大张庄</w:t>
            </w:r>
          </w:p>
        </w:tc>
        <w:tc>
          <w:tcPr>
            <w:tcW w:w="1105"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刘庄</w:t>
            </w:r>
          </w:p>
        </w:tc>
        <w:tc>
          <w:tcPr>
            <w:tcW w:w="1080"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马庄乡</w:t>
            </w:r>
          </w:p>
        </w:tc>
        <w:tc>
          <w:tcPr>
            <w:tcW w:w="1026"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最大值</w:t>
            </w:r>
          </w:p>
        </w:tc>
        <w:tc>
          <w:tcPr>
            <w:tcW w:w="986"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最小值</w:t>
            </w:r>
          </w:p>
        </w:tc>
        <w:tc>
          <w:tcPr>
            <w:tcW w:w="975"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均值</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cs="Times New Roman"/>
                <w:sz w:val="21"/>
                <w:szCs w:val="21"/>
              </w:rPr>
              <w:t>检出率</w:t>
            </w:r>
            <w:r>
              <w:rPr>
                <w:rFonts w:hint="default" w:ascii="Times New Roman" w:hAnsi="Times New Roman" w:eastAsia="Times New Roman" w:cs="Times New Roman"/>
                <w:sz w:val="21"/>
                <w:szCs w:val="21"/>
              </w:rPr>
              <w:t>%</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标准值</w:t>
            </w:r>
          </w:p>
        </w:tc>
        <w:tc>
          <w:tcPr>
            <w:tcW w:w="662" w:type="dxa"/>
            <w:tcBorders>
              <w:tl2br w:val="nil"/>
              <w:tr2bl w:val="nil"/>
            </w:tcBorders>
            <w:textDirection w:val="tbRlV"/>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超标率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井深</w:t>
            </w:r>
            <w:r>
              <w:rPr>
                <w:rFonts w:hint="default" w:ascii="Times New Roman" w:hAnsi="Times New Roman" w:cs="Times New Roman"/>
                <w:w w:val="98"/>
                <w:sz w:val="21"/>
                <w:szCs w:val="21"/>
              </w:rPr>
              <w:t>，</w:t>
            </w:r>
            <w:r>
              <w:rPr>
                <w:rFonts w:hint="default" w:ascii="Times New Roman" w:hAnsi="Times New Roman" w:eastAsia="Times New Roman" w:cs="Times New Roman"/>
                <w:sz w:val="21"/>
                <w:szCs w:val="21"/>
              </w:rPr>
              <w:t>m</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水位</w:t>
            </w:r>
            <w:r>
              <w:rPr>
                <w:rFonts w:hint="default" w:ascii="Times New Roman" w:hAnsi="Times New Roman" w:cs="Times New Roman"/>
                <w:w w:val="98"/>
                <w:sz w:val="21"/>
                <w:szCs w:val="21"/>
              </w:rPr>
              <w:t>，</w:t>
            </w:r>
            <w:r>
              <w:rPr>
                <w:rFonts w:hint="default" w:ascii="Times New Roman" w:hAnsi="Times New Roman" w:eastAsia="Times New Roman" w:cs="Times New Roman"/>
                <w:sz w:val="21"/>
                <w:szCs w:val="21"/>
              </w:rPr>
              <w:t>m</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55.7</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59.0</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60.0</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63.5</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61.0</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60.5</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63.8</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水温</w:t>
            </w:r>
            <w:r>
              <w:rPr>
                <w:rFonts w:hint="eastAsia" w:ascii="Times New Roman" w:hAnsi="Times New Roman" w:eastAsia="宋体" w:cs="Times New Roman"/>
                <w:sz w:val="21"/>
                <w:szCs w:val="21"/>
                <w:lang w:eastAsia="zh-CN"/>
              </w:rPr>
              <w:t>，</w:t>
            </w:r>
            <w:r>
              <w:rPr>
                <w:rFonts w:hint="default" w:ascii="Times New Roman" w:hAnsi="Times New Roman" w:eastAsia="Times New Roman" w:cs="Times New Roman"/>
                <w:sz w:val="21"/>
                <w:szCs w:val="21"/>
              </w:rPr>
              <w:t>℃</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18.9</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17.6</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18.4</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18.7</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18.6</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18.8</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19.2</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z w:val="21"/>
                <w:szCs w:val="21"/>
              </w:rPr>
              <w:t>pH</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7.3-7.4</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7.6-7.7</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7.1-7.3</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7.8-7.9</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6.9-7.0</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7.3-7.4</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7.6-7.7</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7.9</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6.5</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8.5</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w:t>
            </w:r>
            <w:r>
              <w:rPr>
                <w:rFonts w:hint="eastAsia"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1.58-1.94</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1.81-2.03</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1.58-1.71</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1.53-1.77</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1.89-2.14</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2.06-2.32</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1.56-1.63</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2.32</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1.53</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1.92</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Na</w:t>
            </w:r>
            <w:r>
              <w:rPr>
                <w:rFonts w:hint="eastAsia"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35.4-37.6</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32.6-36.3</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32.9-36.5</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40.3-41.7</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33.1-38.6</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31.1-39.6</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29.8-32.8</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41.7</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29.8</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35.7</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Ca</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40.9-43.5</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30.8-35.7</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39.7-41.3</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39.3-40.6</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43.7-43.9</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38.1-42.2</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31.7-35.4</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43.9</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30.8</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37.3</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29.6-31.4</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33.4-37.2</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32.9-35.7</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36.3-37.6</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35.2-35.5</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34.2-35.2</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28.5-32.8</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37.6</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28.5</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33.0</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CO</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mmol/L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pacing w:val="-20"/>
                <w:sz w:val="21"/>
                <w:szCs w:val="21"/>
                <w:lang w:val="en-US" w:eastAsia="zh-CN"/>
              </w:rPr>
              <w:t>HCO</w:t>
            </w:r>
            <w:r>
              <w:rPr>
                <w:rFonts w:hint="eastAsia" w:ascii="Times New Roman" w:hAnsi="Times New Roman" w:eastAsia="宋体" w:cs="Times New Roman"/>
                <w:spacing w:val="-20"/>
                <w:sz w:val="21"/>
                <w:szCs w:val="21"/>
                <w:vertAlign w:val="subscript"/>
                <w:lang w:val="en-US" w:eastAsia="zh-CN"/>
              </w:rPr>
              <w:t>3</w:t>
            </w:r>
            <w:r>
              <w:rPr>
                <w:rFonts w:hint="eastAsia" w:ascii="Times New Roman" w:hAnsi="Times New Roman" w:eastAsia="宋体" w:cs="Times New Roman"/>
                <w:spacing w:val="-20"/>
                <w:sz w:val="21"/>
                <w:szCs w:val="21"/>
                <w:vertAlign w:val="superscript"/>
                <w:lang w:val="en-US" w:eastAsia="zh-CN"/>
              </w:rPr>
              <w:t>-</w:t>
            </w:r>
            <w:r>
              <w:rPr>
                <w:rFonts w:hint="eastAsia" w:ascii="Times New Roman" w:hAnsi="Times New Roman" w:eastAsia="宋体" w:cs="Times New Roman"/>
                <w:spacing w:val="-20"/>
                <w:sz w:val="21"/>
                <w:szCs w:val="21"/>
                <w:lang w:eastAsia="zh-CN"/>
              </w:rPr>
              <w:t>，</w:t>
            </w:r>
            <w:r>
              <w:rPr>
                <w:rFonts w:hint="eastAsia" w:ascii="Times New Roman" w:hAnsi="Times New Roman" w:eastAsia="宋体" w:cs="Times New Roman"/>
                <w:spacing w:val="-20"/>
                <w:sz w:val="21"/>
                <w:szCs w:val="21"/>
                <w:lang w:val="en-US" w:eastAsia="zh-CN"/>
              </w:rPr>
              <w:t>mmol/L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4.35-4.63</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4.67-5.12</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4.42-4.45</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4.12-4.42</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4.24-4.57</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4.76-4.93</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4.05-4.20</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5.12</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4.05</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4.58</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Cl</w:t>
            </w:r>
            <w:r>
              <w:rPr>
                <w:rFonts w:hint="eastAsia"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43.8-45.8</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45.6-49.5</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56.5-58.5</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45.3-51.8</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57.8-66.3</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45.2-48.7</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44.2-47.4</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66.3</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43.8</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55.0</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SO</w:t>
            </w:r>
            <w:r>
              <w:rPr>
                <w:rFonts w:hint="eastAsia" w:ascii="Times New Roman" w:hAnsi="Times New Roman" w:eastAsia="宋体" w:cs="Times New Roman"/>
                <w:sz w:val="21"/>
                <w:szCs w:val="21"/>
                <w:vertAlign w:val="subscript"/>
                <w:lang w:val="en-US" w:eastAsia="zh-CN"/>
              </w:rPr>
              <w:t>4</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47.5-50.7</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39.32-44.3</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62.7-67.8</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50.2-55.4</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60.7-68.4</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54.2-57.8</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51.7-52.2</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67.8</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39.2</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53.5</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sz w:val="21"/>
                <w:szCs w:val="21"/>
              </w:rPr>
              <w:t>氨氮</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0.126-0.134</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0.147-0.152</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0.119-0.122</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0.138-0.144</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0.159-0.167</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0.189-0.201</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0.168-0.172</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0.201</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0.119</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0.160</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0.5</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亚硝酸盐</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1</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硝酸盐</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1.16-1.20</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1.00-1.03</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0.95-0.98</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1.28-1.34</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0.88-0.95</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0.76-0.80</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0.67-0.72</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1.34</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0.67</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20</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砷</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sz w:val="21"/>
                <w:szCs w:val="21"/>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z w:val="21"/>
                <w:szCs w:val="21"/>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汞</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snapToGrid w:val="0"/>
                <w:color w:val="000000"/>
                <w:kern w:val="0"/>
                <w:sz w:val="21"/>
                <w:szCs w:val="21"/>
                <w:lang w:val="en-US" w:eastAsia="en-US"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0.001</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氟化物</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0.56-0.63</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0.59-0.67</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0.76-0.80</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0.49-0.55</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0.53-0.56</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0.43-0.50</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0.67-0.69</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0.80</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0.43</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0.62</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1.0</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溶解性总固体</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796-810</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758-763</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706-735</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768-773</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745-752</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722-728</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710-729</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810</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710</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760</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1000</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六价铬，</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sz w:val="21"/>
                <w:szCs w:val="21"/>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总硬度</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376-394</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326-335</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309-312</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358-364</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370-382</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334-350</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328-341</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394</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309</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352</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450</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铅</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0.01</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氰化物</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0.05</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镉</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0.005</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铁</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0.3</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锰</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0.1</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挥发酚</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0.002</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氯化物</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46-48</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49-52</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59-61</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48-53</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59-62</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49-53</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46-51</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62</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46</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54</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250</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硫酸盐</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50-55</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43-47</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65-68</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53-59</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62-70</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57-59</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55-56</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70</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43</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bidi="ar-SA"/>
              </w:rPr>
              <w:t>56</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100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250</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1731"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000000"/>
                <w:kern w:val="0"/>
                <w:sz w:val="21"/>
                <w:szCs w:val="21"/>
                <w:lang w:val="en-US" w:eastAsia="zh-CN" w:bidi="ar-SA"/>
              </w:rPr>
            </w:pPr>
            <w:r>
              <w:rPr>
                <w:rFonts w:hint="default" w:ascii="Times New Roman" w:hAnsi="Times New Roman" w:cs="Times New Roman"/>
                <w:sz w:val="21"/>
                <w:szCs w:val="21"/>
              </w:rPr>
              <w:t>总大肠菌群</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mg/L</w:t>
            </w:r>
          </w:p>
        </w:tc>
        <w:tc>
          <w:tcPr>
            <w:tcW w:w="1357"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7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1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2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10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80"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eastAsia="zh-CN"/>
              </w:rPr>
              <w:t>未检出</w:t>
            </w:r>
          </w:p>
        </w:tc>
        <w:tc>
          <w:tcPr>
            <w:tcW w:w="102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86"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w:t>
            </w:r>
          </w:p>
        </w:tc>
        <w:tc>
          <w:tcPr>
            <w:tcW w:w="975"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napToGrid w:val="0"/>
                <w:color w:val="000000"/>
                <w:kern w:val="0"/>
                <w:sz w:val="21"/>
                <w:szCs w:val="21"/>
                <w:lang w:val="en-US" w:eastAsia="zh-CN" w:bidi="ar-SA"/>
              </w:rPr>
              <w:t>/</w:t>
            </w:r>
          </w:p>
        </w:tc>
        <w:tc>
          <w:tcPr>
            <w:tcW w:w="948"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c>
          <w:tcPr>
            <w:tcW w:w="1029"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eastAsia="Times New Roman" w:cs="Times New Roman"/>
                <w:sz w:val="21"/>
                <w:szCs w:val="21"/>
              </w:rPr>
              <w:t>3.0</w:t>
            </w:r>
            <w:r>
              <w:rPr>
                <w:rFonts w:hint="default" w:ascii="Times New Roman" w:hAnsi="Times New Roman" w:cs="Times New Roman"/>
                <w:sz w:val="21"/>
                <w:szCs w:val="21"/>
              </w:rPr>
              <w:t>个</w:t>
            </w:r>
            <w:r>
              <w:rPr>
                <w:rFonts w:hint="default" w:ascii="Times New Roman" w:hAnsi="Times New Roman" w:eastAsia="Times New Roman" w:cs="Times New Roman"/>
                <w:sz w:val="21"/>
                <w:szCs w:val="21"/>
              </w:rPr>
              <w:t>/L</w:t>
            </w:r>
          </w:p>
        </w:tc>
        <w:tc>
          <w:tcPr>
            <w:tcW w:w="662" w:type="dxa"/>
            <w:tcBorders>
              <w:tl2br w:val="nil"/>
              <w:tr2bl w:val="nil"/>
            </w:tcBorders>
            <w:vAlign w:val="center"/>
          </w:tcPr>
          <w:p>
            <w:pPr>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000000"/>
                <w:kern w:val="0"/>
                <w:sz w:val="21"/>
                <w:szCs w:val="21"/>
                <w:lang w:val="en-US" w:eastAsia="en-US" w:bidi="ar-SA"/>
              </w:rPr>
            </w:pPr>
            <w:r>
              <w:rPr>
                <w:rFonts w:hint="eastAsia" w:ascii="Times New Roman" w:hAnsi="Times New Roman" w:eastAsia="宋体" w:cs="Times New Roman"/>
                <w:sz w:val="21"/>
                <w:szCs w:val="21"/>
                <w:lang w:val="en-US" w:eastAsia="zh-CN"/>
              </w:rPr>
              <w:t>0</w:t>
            </w:r>
          </w:p>
        </w:tc>
      </w:tr>
    </w:tbl>
    <w:p>
      <w:pPr>
        <w:keepNext w:val="0"/>
        <w:keepLines w:val="0"/>
        <w:pageBreakBefore w:val="0"/>
        <w:widowControl/>
        <w:kinsoku/>
        <w:wordWrap/>
        <w:overflowPunct/>
        <w:topLinePunct w:val="0"/>
        <w:autoSpaceDE w:val="0"/>
        <w:autoSpaceDN w:val="0"/>
        <w:bidi w:val="0"/>
        <w:adjustRightInd w:val="0"/>
        <w:snapToGrid w:val="0"/>
        <w:spacing w:before="155" w:line="384" w:lineRule="auto"/>
        <w:ind w:left="68" w:right="113" w:firstLine="510"/>
        <w:textAlignment w:val="baseline"/>
        <w:rPr>
          <w:rFonts w:ascii="宋体" w:hAnsi="宋体" w:eastAsia="宋体" w:cs="宋体"/>
          <w:spacing w:val="-1"/>
          <w:sz w:val="24"/>
          <w:szCs w:val="24"/>
        </w:rPr>
      </w:pPr>
      <w:r>
        <w:rPr>
          <w:rFonts w:ascii="宋体" w:hAnsi="宋体" w:eastAsia="宋体" w:cs="宋体"/>
          <w:spacing w:val="1"/>
          <w:sz w:val="24"/>
          <w:szCs w:val="24"/>
        </w:rPr>
        <w:t>由上表分析结果可以看出，对照《地下水质量标准</w:t>
      </w:r>
      <w:r>
        <w:rPr>
          <w:rFonts w:ascii="宋体" w:hAnsi="宋体" w:eastAsia="宋体" w:cs="宋体"/>
          <w:sz w:val="24"/>
          <w:szCs w:val="24"/>
        </w:rPr>
        <w:t>》（</w:t>
      </w:r>
      <w:r>
        <w:rPr>
          <w:rFonts w:ascii="Times New Roman" w:hAnsi="Times New Roman" w:eastAsia="Times New Roman" w:cs="Times New Roman"/>
          <w:sz w:val="24"/>
          <w:szCs w:val="24"/>
        </w:rPr>
        <w:t>GB/T14848-2017</w:t>
      </w:r>
      <w:r>
        <w:rPr>
          <w:rFonts w:ascii="宋体" w:hAnsi="宋体" w:eastAsia="宋体" w:cs="宋体"/>
          <w:sz w:val="24"/>
          <w:szCs w:val="24"/>
        </w:rPr>
        <w:t>）Ⅲ类</w:t>
      </w:r>
      <w:r>
        <w:rPr>
          <w:rFonts w:ascii="宋体" w:hAnsi="宋体" w:eastAsia="宋体" w:cs="宋体"/>
          <w:spacing w:val="8"/>
          <w:sz w:val="24"/>
          <w:szCs w:val="24"/>
        </w:rPr>
        <w:t>标准限值，本次布设的</w:t>
      </w:r>
      <w:r>
        <w:rPr>
          <w:rFonts w:hint="eastAsia" w:ascii="Times New Roman" w:hAnsi="Times New Roman" w:eastAsia="宋体" w:cs="Times New Roman"/>
          <w:spacing w:val="8"/>
          <w:sz w:val="24"/>
          <w:szCs w:val="24"/>
          <w:lang w:val="en-US" w:eastAsia="zh-CN"/>
        </w:rPr>
        <w:t>7</w:t>
      </w:r>
      <w:r>
        <w:rPr>
          <w:rFonts w:ascii="宋体" w:hAnsi="宋体" w:eastAsia="宋体" w:cs="宋体"/>
          <w:spacing w:val="8"/>
          <w:sz w:val="24"/>
          <w:szCs w:val="24"/>
        </w:rPr>
        <w:t>个监测点位的各监测因子均能</w:t>
      </w:r>
      <w:r>
        <w:rPr>
          <w:rFonts w:ascii="宋体" w:hAnsi="宋体" w:eastAsia="宋体" w:cs="宋体"/>
          <w:spacing w:val="7"/>
          <w:sz w:val="24"/>
          <w:szCs w:val="24"/>
        </w:rPr>
        <w:t>达到《地下水质量标准》</w:t>
      </w:r>
      <w:r>
        <w:rPr>
          <w:rFonts w:ascii="宋体" w:hAnsi="宋体" w:eastAsia="宋体" w:cs="宋体"/>
          <w:spacing w:val="-1"/>
          <w:sz w:val="24"/>
          <w:szCs w:val="24"/>
        </w:rPr>
        <w:t>（</w:t>
      </w:r>
      <w:r>
        <w:rPr>
          <w:rFonts w:ascii="Times New Roman" w:hAnsi="Times New Roman" w:eastAsia="Times New Roman" w:cs="Times New Roman"/>
          <w:spacing w:val="-1"/>
          <w:sz w:val="24"/>
          <w:szCs w:val="24"/>
        </w:rPr>
        <w:t>GB/T14848-2017</w:t>
      </w:r>
      <w:r>
        <w:rPr>
          <w:rFonts w:ascii="宋体" w:hAnsi="宋体" w:eastAsia="宋体" w:cs="宋体"/>
          <w:spacing w:val="-1"/>
          <w:sz w:val="24"/>
          <w:szCs w:val="24"/>
        </w:rPr>
        <w:t>）Ⅲ类水质标准，当地地下水水质较好。</w:t>
      </w:r>
    </w:p>
    <w:p>
      <w:pPr>
        <w:keepNext w:val="0"/>
        <w:keepLines w:val="0"/>
        <w:pageBreakBefore w:val="0"/>
        <w:widowControl/>
        <w:kinsoku w:val="0"/>
        <w:wordWrap/>
        <w:overflowPunct/>
        <w:topLinePunct w:val="0"/>
        <w:autoSpaceDE w:val="0"/>
        <w:autoSpaceDN w:val="0"/>
        <w:bidi w:val="0"/>
        <w:adjustRightInd w:val="0"/>
        <w:snapToGrid w:val="0"/>
        <w:spacing w:before="0" w:beforeLines="50"/>
        <w:ind w:firstLine="482"/>
        <w:jc w:val="both"/>
        <w:textAlignment w:val="baseline"/>
        <w:rPr>
          <w:rFonts w:cs="宋体"/>
          <w:sz w:val="24"/>
          <w:szCs w:val="24"/>
          <w:highlight w:val="yellow"/>
          <w:lang w:bidi="zh-CN"/>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right="113"/>
        <w:textAlignment w:val="baseline"/>
        <w:rPr>
          <w:rFonts w:ascii="宋体" w:hAnsi="宋体" w:eastAsia="宋体" w:cs="宋体"/>
          <w:spacing w:val="1"/>
          <w:sz w:val="24"/>
          <w:szCs w:val="24"/>
        </w:rPr>
        <w:sectPr>
          <w:pgSz w:w="16839" w:h="11906" w:orient="landscape"/>
          <w:pgMar w:top="720" w:right="720" w:bottom="720" w:left="720" w:header="454" w:footer="454" w:gutter="0"/>
          <w:pgBorders>
            <w:top w:val="none" w:sz="0" w:space="0"/>
            <w:left w:val="none" w:sz="0" w:space="0"/>
            <w:bottom w:val="none" w:sz="0" w:space="0"/>
            <w:right w:val="none" w:sz="0" w:space="0"/>
          </w:pgBorders>
          <w:pgNumType w:fmt="numberInDash"/>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bookmarkStart w:id="329" w:name="bookmark84"/>
      <w:bookmarkEnd w:id="329"/>
      <w:r>
        <w:rPr>
          <w:rFonts w:ascii="Times New Roman" w:hAnsi="Times New Roman" w:eastAsia="Times New Roman" w:cs="Times New Roman"/>
          <w:spacing w:val="-1"/>
          <w:sz w:val="28"/>
          <w:szCs w:val="28"/>
        </w:rPr>
        <w:t xml:space="preserve">4.3.4 </w:t>
      </w:r>
      <w:r>
        <w:rPr>
          <w:rFonts w:ascii="楷体" w:hAnsi="楷体" w:eastAsia="楷体" w:cs="楷体"/>
          <w:spacing w:val="-1"/>
          <w:sz w:val="28"/>
          <w:szCs w:val="28"/>
        </w:rPr>
        <w:t>声环境质量现状与评价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为了解本项目周边声环境质量现状</w:t>
      </w:r>
      <w:r>
        <w:rPr>
          <w:rFonts w:hint="default" w:ascii="Times New Roman" w:hAnsi="Times New Roman" w:eastAsia="宋体" w:cs="Times New Roman"/>
          <w:sz w:val="24"/>
          <w:szCs w:val="24"/>
        </w:rPr>
        <w:t>，河南永飞检测科技有限公司于202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26</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27</w:t>
      </w:r>
      <w:r>
        <w:rPr>
          <w:rFonts w:hint="default" w:ascii="Times New Roman" w:hAnsi="Times New Roman" w:eastAsia="宋体" w:cs="Times New Roman"/>
          <w:sz w:val="24"/>
          <w:szCs w:val="24"/>
        </w:rPr>
        <w:t>日对</w:t>
      </w:r>
      <w:r>
        <w:rPr>
          <w:rFonts w:hint="default" w:ascii="Times New Roman" w:hAnsi="Times New Roman" w:eastAsia="宋体" w:cs="Times New Roman"/>
          <w:sz w:val="24"/>
          <w:szCs w:val="24"/>
          <w:lang w:val="en-US" w:eastAsia="zh-CN"/>
        </w:rPr>
        <w:t>厂区周边声环境质量现状</w:t>
      </w:r>
      <w:r>
        <w:rPr>
          <w:rFonts w:hint="default" w:ascii="Times New Roman" w:hAnsi="Times New Roman" w:eastAsia="宋体" w:cs="Times New Roman"/>
          <w:sz w:val="24"/>
          <w:szCs w:val="24"/>
        </w:rPr>
        <w:t>进行了现场检测。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33"/>
        <w:textAlignment w:val="baseline"/>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）评价方法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2" w:right="28" w:firstLine="489"/>
        <w:textAlignment w:val="baseline"/>
        <w:rPr>
          <w:rFonts w:ascii="宋体" w:hAnsi="宋体" w:eastAsia="宋体" w:cs="宋体"/>
          <w:sz w:val="24"/>
          <w:szCs w:val="24"/>
        </w:rPr>
      </w:pPr>
      <w:r>
        <w:rPr>
          <w:rFonts w:ascii="宋体" w:hAnsi="宋体" w:eastAsia="宋体" w:cs="宋体"/>
          <w:spacing w:val="4"/>
          <w:sz w:val="24"/>
          <w:szCs w:val="24"/>
        </w:rPr>
        <w:t>本次监测方法按照《声环境质量标准》（</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309</w:t>
      </w:r>
      <w:r>
        <w:rPr>
          <w:rFonts w:ascii="Times New Roman" w:hAnsi="Times New Roman" w:eastAsia="Times New Roman" w:cs="Times New Roman"/>
          <w:spacing w:val="3"/>
          <w:sz w:val="24"/>
          <w:szCs w:val="24"/>
        </w:rPr>
        <w:t>6-2008</w:t>
      </w:r>
      <w:r>
        <w:rPr>
          <w:rFonts w:ascii="宋体" w:hAnsi="宋体" w:eastAsia="宋体" w:cs="宋体"/>
          <w:spacing w:val="3"/>
          <w:sz w:val="24"/>
          <w:szCs w:val="24"/>
        </w:rPr>
        <w:t>）中的有关要求执行。</w:t>
      </w:r>
      <w:r>
        <w:rPr>
          <w:rFonts w:ascii="宋体" w:hAnsi="宋体" w:eastAsia="宋体" w:cs="宋体"/>
          <w:spacing w:val="2"/>
          <w:sz w:val="24"/>
          <w:szCs w:val="24"/>
        </w:rPr>
        <w:t>评价方法采用等效声级法，即用各监测点的等效声级与评价标准相对照，对声环境质量现状进行评价。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（2）评价标准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本项目所在区域属于声环境2类区，本次评价执行其中《声环境质量标准》（GB3096-2008）2类区标准</w:t>
      </w:r>
      <w:r>
        <w:rPr>
          <w:rFonts w:hint="default" w:ascii="Times New Roman" w:hAnsi="Times New Roman" w:cs="Times New Roman"/>
          <w:sz w:val="24"/>
          <w:szCs w:val="24"/>
          <w:lang w:eastAsia="zh-CN"/>
        </w:rPr>
        <w:t>，</w:t>
      </w:r>
      <w:r>
        <w:rPr>
          <w:rFonts w:hint="default" w:ascii="Times New Roman" w:hAnsi="Times New Roman" w:cs="Times New Roman"/>
          <w:sz w:val="24"/>
          <w:szCs w:val="24"/>
        </w:rPr>
        <w:t>即昼间60dB（A），夜间50dB（A）。</w:t>
      </w:r>
      <w:r>
        <w:rPr>
          <w:rFonts w:hint="eastAsia" w:ascii="Times New Roman" w:hAnsi="Times New Roman" w:eastAsia="宋体" w:cs="Times New Roman"/>
          <w:sz w:val="24"/>
          <w:szCs w:val="24"/>
          <w:lang w:eastAsia="zh-CN"/>
        </w:rPr>
        <w:t>本项目西厂界临近的昆阳大道为叶县城市主干路，应执行</w:t>
      </w:r>
      <w:r>
        <w:rPr>
          <w:rFonts w:hint="eastAsia" w:ascii="Times New Roman" w:hAnsi="Times New Roman" w:eastAsia="宋体" w:cs="Times New Roman"/>
          <w:sz w:val="24"/>
          <w:szCs w:val="24"/>
          <w:lang w:val="en-US" w:eastAsia="zh-CN"/>
        </w:rPr>
        <w:t>4a类标准。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31"/>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）监测结果统计与评价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24"/>
        <w:textAlignment w:val="baseline"/>
        <w:rPr>
          <w:rFonts w:ascii="宋体" w:hAnsi="宋体" w:eastAsia="宋体" w:cs="宋体"/>
          <w:sz w:val="24"/>
          <w:szCs w:val="24"/>
        </w:rPr>
      </w:pPr>
      <w:r>
        <w:rPr>
          <w:rFonts w:ascii="宋体" w:hAnsi="宋体" w:eastAsia="宋体" w:cs="宋体"/>
          <w:spacing w:val="-1"/>
          <w:sz w:val="24"/>
          <w:szCs w:val="24"/>
        </w:rPr>
        <w:t>声环境现状监测结果见表</w:t>
      </w:r>
      <w:r>
        <w:rPr>
          <w:rFonts w:ascii="Times New Roman" w:hAnsi="Times New Roman" w:eastAsia="Times New Roman" w:cs="Times New Roman"/>
          <w:spacing w:val="-1"/>
          <w:sz w:val="24"/>
          <w:szCs w:val="24"/>
        </w:rPr>
        <w:t>4-1</w:t>
      </w:r>
      <w:r>
        <w:rPr>
          <w:rFonts w:hint="eastAsia" w:ascii="Times New Roman" w:hAnsi="Times New Roman" w:eastAsia="宋体" w:cs="Times New Roman"/>
          <w:spacing w:val="-1"/>
          <w:sz w:val="24"/>
          <w:szCs w:val="24"/>
          <w:lang w:val="en-US" w:eastAsia="zh-CN"/>
        </w:rPr>
        <w:t>8</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19" w:lineRule="auto"/>
        <w:jc w:val="center"/>
        <w:textAlignment w:val="baseline"/>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4-1</w:t>
      </w:r>
      <w:r>
        <w:rPr>
          <w:rFonts w:hint="eastAsia" w:ascii="Times New Roman" w:hAnsi="Times New Roman" w:eastAsia="宋体" w:cs="Times New Roman"/>
          <w:b/>
          <w:bCs/>
          <w:sz w:val="24"/>
          <w:szCs w:val="24"/>
          <w:lang w:val="en-US" w:eastAsia="zh-CN"/>
        </w:rPr>
        <w:t>8</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声环境现状监测结果表</w:t>
      </w:r>
    </w:p>
    <w:tbl>
      <w:tblPr>
        <w:tblStyle w:val="20"/>
        <w:tblW w:w="89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887"/>
        <w:gridCol w:w="1124"/>
        <w:gridCol w:w="1124"/>
        <w:gridCol w:w="1124"/>
        <w:gridCol w:w="1126"/>
        <w:gridCol w:w="1126"/>
        <w:gridCol w:w="1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2" w:type="dxa"/>
            <w:vMerge w:val="restart"/>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检测日期</w:t>
            </w:r>
          </w:p>
        </w:tc>
        <w:tc>
          <w:tcPr>
            <w:tcW w:w="887" w:type="dxa"/>
            <w:vMerge w:val="restart"/>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检测</w:t>
            </w:r>
          </w:p>
          <w:p>
            <w:pPr>
              <w:spacing w:line="240" w:lineRule="auto"/>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时段</w:t>
            </w:r>
          </w:p>
        </w:tc>
        <w:tc>
          <w:tcPr>
            <w:tcW w:w="6755" w:type="dxa"/>
            <w:gridSpan w:val="6"/>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检测结果   单位：dB(A)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2" w:type="dxa"/>
            <w:vMerge w:val="continue"/>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bidi="ar"/>
              </w:rPr>
            </w:pPr>
          </w:p>
        </w:tc>
        <w:tc>
          <w:tcPr>
            <w:tcW w:w="887" w:type="dxa"/>
            <w:vMerge w:val="continue"/>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bidi="ar"/>
              </w:rPr>
            </w:pP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北边界N1</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东边界N2</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南边界N3</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西边界N4</w:t>
            </w:r>
          </w:p>
        </w:tc>
        <w:tc>
          <w:tcPr>
            <w:tcW w:w="1126"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bCs/>
                <w:snapToGrid w:val="0"/>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官庄村</w:t>
            </w:r>
            <w:r>
              <w:rPr>
                <w:rFonts w:hint="default" w:ascii="Times New Roman" w:hAnsi="Times New Roman" w:eastAsia="宋体" w:cs="Times New Roman"/>
                <w:b/>
                <w:bCs/>
                <w:color w:val="auto"/>
                <w:kern w:val="0"/>
                <w:sz w:val="21"/>
                <w:szCs w:val="21"/>
                <w:highlight w:val="none"/>
                <w:lang w:val="en-US" w:eastAsia="zh-CN" w:bidi="ar"/>
              </w:rPr>
              <w:t>N</w:t>
            </w:r>
            <w:r>
              <w:rPr>
                <w:rFonts w:hint="eastAsia" w:ascii="Times New Roman" w:hAnsi="Times New Roman" w:eastAsia="宋体" w:cs="Times New Roman"/>
                <w:b/>
                <w:bCs/>
                <w:color w:val="auto"/>
                <w:kern w:val="0"/>
                <w:sz w:val="21"/>
                <w:szCs w:val="21"/>
                <w:highlight w:val="none"/>
                <w:lang w:val="en-US" w:eastAsia="zh-CN" w:bidi="ar"/>
              </w:rPr>
              <w:t>5</w:t>
            </w:r>
          </w:p>
        </w:tc>
        <w:tc>
          <w:tcPr>
            <w:tcW w:w="1131"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bCs/>
                <w:snapToGrid w:val="0"/>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马庄村散户</w:t>
            </w:r>
            <w:r>
              <w:rPr>
                <w:rFonts w:hint="default" w:ascii="Times New Roman" w:hAnsi="Times New Roman" w:eastAsia="宋体" w:cs="Times New Roman"/>
                <w:b/>
                <w:bCs/>
                <w:color w:val="auto"/>
                <w:kern w:val="0"/>
                <w:sz w:val="21"/>
                <w:szCs w:val="21"/>
                <w:highlight w:val="none"/>
                <w:lang w:val="en-US" w:eastAsia="zh-CN" w:bidi="ar"/>
              </w:rPr>
              <w:t>N</w:t>
            </w:r>
            <w:r>
              <w:rPr>
                <w:rFonts w:hint="eastAsia" w:ascii="Times New Roman" w:hAnsi="Times New Roman" w:eastAsia="宋体" w:cs="Times New Roman"/>
                <w:b/>
                <w:bCs/>
                <w:color w:val="auto"/>
                <w:kern w:val="0"/>
                <w:sz w:val="21"/>
                <w:szCs w:val="21"/>
                <w:highlight w:val="none"/>
                <w:lang w:val="en-US" w:eastAsia="zh-CN" w:bidi="ar"/>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2" w:type="dxa"/>
            <w:vMerge w:val="restar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2023.</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26</w:t>
            </w:r>
          </w:p>
        </w:tc>
        <w:tc>
          <w:tcPr>
            <w:tcW w:w="887"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昼间</w:t>
            </w:r>
          </w:p>
        </w:tc>
        <w:tc>
          <w:tcPr>
            <w:tcW w:w="112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55</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52</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53</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58</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54</w:t>
            </w:r>
          </w:p>
        </w:tc>
        <w:tc>
          <w:tcPr>
            <w:tcW w:w="1131"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2" w:type="dxa"/>
            <w:vMerge w:val="continue"/>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highlight w:val="yellow"/>
                <w:lang w:bidi="ar"/>
              </w:rPr>
            </w:pPr>
          </w:p>
        </w:tc>
        <w:tc>
          <w:tcPr>
            <w:tcW w:w="887"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夜间</w:t>
            </w:r>
          </w:p>
        </w:tc>
        <w:tc>
          <w:tcPr>
            <w:tcW w:w="112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43</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42</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43</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45</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41</w:t>
            </w:r>
          </w:p>
        </w:tc>
        <w:tc>
          <w:tcPr>
            <w:tcW w:w="1131"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2" w:type="dxa"/>
            <w:vMerge w:val="restar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yellow"/>
                <w:lang w:val="en-US" w:eastAsia="zh-CN" w:bidi="ar"/>
              </w:rPr>
            </w:pPr>
            <w:r>
              <w:rPr>
                <w:rFonts w:hint="default" w:ascii="Times New Roman" w:hAnsi="Times New Roman" w:eastAsia="宋体" w:cs="Times New Roman"/>
                <w:color w:val="auto"/>
                <w:sz w:val="21"/>
                <w:szCs w:val="21"/>
                <w:highlight w:val="none"/>
                <w:lang w:val="en-US" w:eastAsia="zh-CN"/>
              </w:rPr>
              <w:t>2023.</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27</w:t>
            </w:r>
          </w:p>
        </w:tc>
        <w:tc>
          <w:tcPr>
            <w:tcW w:w="887"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昼间</w:t>
            </w:r>
          </w:p>
        </w:tc>
        <w:tc>
          <w:tcPr>
            <w:tcW w:w="112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54</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53</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51</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57</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53</w:t>
            </w:r>
          </w:p>
        </w:tc>
        <w:tc>
          <w:tcPr>
            <w:tcW w:w="1131"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2" w:type="dxa"/>
            <w:vMerge w:val="continue"/>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bidi="ar"/>
              </w:rPr>
            </w:pPr>
          </w:p>
        </w:tc>
        <w:tc>
          <w:tcPr>
            <w:tcW w:w="887"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夜间</w:t>
            </w:r>
          </w:p>
        </w:tc>
        <w:tc>
          <w:tcPr>
            <w:tcW w:w="112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41</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43</w:t>
            </w:r>
          </w:p>
        </w:tc>
        <w:tc>
          <w:tcPr>
            <w:tcW w:w="1124"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42</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44</w:t>
            </w:r>
          </w:p>
        </w:tc>
        <w:tc>
          <w:tcPr>
            <w:tcW w:w="112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42</w:t>
            </w:r>
          </w:p>
        </w:tc>
        <w:tc>
          <w:tcPr>
            <w:tcW w:w="1131"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43</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eastAsia="宋体" w:cs="Times New Roman"/>
          <w:spacing w:val="-1"/>
          <w:sz w:val="24"/>
          <w:szCs w:val="24"/>
        </w:rPr>
      </w:pPr>
      <w:r>
        <w:rPr>
          <w:rFonts w:hint="default" w:ascii="Times New Roman" w:hAnsi="Times New Roman" w:cs="Times New Roman"/>
          <w:color w:val="auto"/>
          <w:sz w:val="24"/>
        </w:rPr>
        <w:t>由上表</w:t>
      </w:r>
      <w:r>
        <w:rPr>
          <w:rFonts w:hint="default" w:ascii="Times New Roman" w:hAnsi="Times New Roman" w:cs="Times New Roman"/>
          <w:color w:val="auto"/>
          <w:sz w:val="24"/>
          <w:lang w:val="en-US" w:eastAsia="zh-CN"/>
        </w:rPr>
        <w:t>监测</w:t>
      </w:r>
      <w:r>
        <w:rPr>
          <w:rFonts w:hint="default" w:ascii="Times New Roman" w:hAnsi="Times New Roman" w:cs="Times New Roman"/>
          <w:color w:val="auto"/>
          <w:sz w:val="24"/>
        </w:rPr>
        <w:t>结果可知，本项目东、南、北厂界</w:t>
      </w:r>
      <w:r>
        <w:rPr>
          <w:rFonts w:hint="default" w:ascii="Times New Roman" w:hAnsi="Times New Roman" w:cs="Times New Roman"/>
          <w:color w:val="auto"/>
          <w:sz w:val="24"/>
          <w:lang w:val="en-US" w:eastAsia="zh-CN"/>
        </w:rPr>
        <w:t>区域</w:t>
      </w:r>
      <w:r>
        <w:rPr>
          <w:rFonts w:hint="default" w:ascii="Times New Roman" w:hAnsi="Times New Roman" w:cs="Times New Roman"/>
          <w:color w:val="auto"/>
          <w:sz w:val="24"/>
        </w:rPr>
        <w:t>昼间</w:t>
      </w:r>
      <w:r>
        <w:rPr>
          <w:rFonts w:hint="default" w:ascii="Times New Roman" w:hAnsi="Times New Roman" w:cs="Times New Roman"/>
          <w:color w:val="auto"/>
          <w:sz w:val="24"/>
          <w:lang w:val="en-US" w:eastAsia="zh-CN"/>
        </w:rPr>
        <w:t>和</w:t>
      </w:r>
      <w:r>
        <w:rPr>
          <w:rFonts w:hint="default" w:ascii="Times New Roman" w:hAnsi="Times New Roman" w:cs="Times New Roman"/>
          <w:color w:val="auto"/>
          <w:sz w:val="24"/>
        </w:rPr>
        <w:t>夜间噪声均</w:t>
      </w:r>
      <w:r>
        <w:rPr>
          <w:rFonts w:hint="default" w:ascii="Times New Roman" w:hAnsi="Times New Roman" w:cs="Times New Roman"/>
          <w:color w:val="auto"/>
          <w:sz w:val="24"/>
          <w:lang w:val="en-US" w:eastAsia="zh-CN"/>
        </w:rPr>
        <w:t>符合</w:t>
      </w:r>
      <w:r>
        <w:rPr>
          <w:rFonts w:hint="default" w:ascii="Times New Roman" w:hAnsi="Times New Roman" w:cs="Times New Roman"/>
          <w:color w:val="auto"/>
          <w:sz w:val="24"/>
        </w:rPr>
        <w:t>《声环境质量标准》（GB3096-2008）中</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w:t>
      </w:r>
      <w:r>
        <w:rPr>
          <w:rFonts w:hint="default" w:ascii="Times New Roman" w:hAnsi="Times New Roman" w:cs="Times New Roman"/>
          <w:color w:val="auto"/>
          <w:sz w:val="24"/>
          <w:lang w:eastAsia="zh-CN"/>
        </w:rPr>
        <w:t>西</w:t>
      </w:r>
      <w:r>
        <w:rPr>
          <w:rFonts w:hint="default" w:ascii="Times New Roman" w:hAnsi="Times New Roman" w:cs="Times New Roman"/>
          <w:color w:val="auto"/>
          <w:sz w:val="24"/>
        </w:rPr>
        <w:t>厂界</w:t>
      </w:r>
      <w:r>
        <w:rPr>
          <w:rFonts w:hint="default" w:ascii="Times New Roman" w:hAnsi="Times New Roman" w:cs="Times New Roman"/>
          <w:color w:val="auto"/>
          <w:sz w:val="24"/>
          <w:lang w:eastAsia="zh-CN"/>
        </w:rPr>
        <w:t>符合</w:t>
      </w:r>
      <w:r>
        <w:rPr>
          <w:rFonts w:hint="default" w:ascii="Times New Roman" w:hAnsi="Times New Roman" w:cs="Times New Roman"/>
          <w:color w:val="auto"/>
          <w:sz w:val="24"/>
          <w:lang w:val="en-US" w:eastAsia="zh-CN"/>
        </w:rPr>
        <w:t>4a</w:t>
      </w:r>
      <w:r>
        <w:rPr>
          <w:rFonts w:hint="default" w:ascii="Times New Roman" w:hAnsi="Times New Roman" w:cs="Times New Roman"/>
          <w:color w:val="auto"/>
          <w:sz w:val="24"/>
        </w:rPr>
        <w:t>类标准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说明本项目</w:t>
      </w:r>
      <w:r>
        <w:rPr>
          <w:rFonts w:hint="default" w:ascii="Times New Roman" w:hAnsi="Times New Roman" w:cs="Times New Roman"/>
          <w:color w:val="auto"/>
          <w:sz w:val="24"/>
          <w:lang w:val="en-US" w:eastAsia="zh-CN"/>
        </w:rPr>
        <w:t>周边</w:t>
      </w:r>
      <w:r>
        <w:rPr>
          <w:rFonts w:hint="default" w:ascii="Times New Roman" w:hAnsi="Times New Roman" w:cs="Times New Roman"/>
          <w:color w:val="auto"/>
          <w:sz w:val="24"/>
        </w:rPr>
        <w:t>声环境质量现状较好</w:t>
      </w:r>
      <w:r>
        <w:rPr>
          <w:rFonts w:hint="default" w:ascii="Times New Roman" w:hAnsi="Times New Roman" w:eastAsia="宋体" w:cs="Times New Roman"/>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u w:val="single"/>
        </w:rPr>
      </w:pPr>
      <w:r>
        <w:rPr>
          <w:rFonts w:ascii="Times New Roman" w:hAnsi="Times New Roman" w:eastAsia="Times New Roman" w:cs="Times New Roman"/>
          <w:spacing w:val="-1"/>
          <w:sz w:val="28"/>
          <w:szCs w:val="28"/>
          <w:u w:val="single"/>
        </w:rPr>
        <w:t>4.3.</w:t>
      </w:r>
      <w:r>
        <w:rPr>
          <w:rFonts w:hint="eastAsia" w:ascii="Times New Roman" w:hAnsi="Times New Roman" w:eastAsia="宋体" w:cs="Times New Roman"/>
          <w:spacing w:val="-1"/>
          <w:sz w:val="28"/>
          <w:szCs w:val="28"/>
          <w:u w:val="single"/>
          <w:lang w:val="en-US" w:eastAsia="zh-CN"/>
        </w:rPr>
        <w:t>5</w:t>
      </w:r>
      <w:r>
        <w:rPr>
          <w:rFonts w:hint="eastAsia" w:ascii="楷体" w:hAnsi="楷体" w:eastAsia="楷体" w:cs="楷体"/>
          <w:spacing w:val="-1"/>
          <w:sz w:val="28"/>
          <w:szCs w:val="28"/>
          <w:u w:val="single"/>
          <w:lang w:eastAsia="zh-CN"/>
        </w:rPr>
        <w:t>土壤环境</w:t>
      </w:r>
      <w:r>
        <w:rPr>
          <w:rFonts w:ascii="楷体" w:hAnsi="楷体" w:eastAsia="楷体" w:cs="楷体"/>
          <w:spacing w:val="-1"/>
          <w:sz w:val="28"/>
          <w:szCs w:val="28"/>
          <w:u w:val="single"/>
        </w:rPr>
        <w:t>质量现状与评价</w:t>
      </w:r>
    </w:p>
    <w:p>
      <w:pPr>
        <w:pStyle w:val="13"/>
        <w:keepNext w:val="0"/>
        <w:keepLines w:val="0"/>
        <w:pageBreakBefore w:val="0"/>
        <w:widowControl/>
        <w:kinsoku w:val="0"/>
        <w:wordWrap/>
        <w:overflowPunct/>
        <w:topLinePunct w:val="0"/>
        <w:autoSpaceDE w:val="0"/>
        <w:autoSpaceDN w:val="0"/>
        <w:bidi w:val="0"/>
        <w:adjustRightInd w:val="0"/>
        <w:snapToGrid w:val="0"/>
        <w:spacing w:after="0" w:line="360" w:lineRule="auto"/>
        <w:textAlignment w:val="baseline"/>
        <w:rPr>
          <w:rFonts w:hint="eastAsia" w:ascii="宋体" w:hAnsi="宋体" w:eastAsia="宋体" w:cs="宋体"/>
          <w:spacing w:val="-1"/>
          <w:sz w:val="24"/>
          <w:szCs w:val="24"/>
          <w:u w:val="single"/>
          <w:lang w:val="en-US" w:eastAsia="zh-CN"/>
        </w:rPr>
      </w:pPr>
      <w:r>
        <w:rPr>
          <w:rFonts w:hint="eastAsia" w:ascii="Times New Roman" w:hAnsi="Times New Roman" w:eastAsia="宋体" w:cs="Times New Roman"/>
          <w:snapToGrid/>
          <w:kern w:val="2"/>
          <w:sz w:val="24"/>
          <w:szCs w:val="24"/>
          <w:u w:val="single"/>
          <w:lang w:eastAsia="zh-CN"/>
        </w:rPr>
        <w:t>为了解项目区域周边土壤环境的质量现状，本次评价采用</w:t>
      </w:r>
      <w:r>
        <w:rPr>
          <w:rFonts w:hint="eastAsia" w:ascii="Times New Roman" w:hAnsi="Times New Roman" w:eastAsia="宋体" w:cs="Times New Roman"/>
          <w:snapToGrid/>
          <w:kern w:val="2"/>
          <w:sz w:val="24"/>
          <w:szCs w:val="24"/>
          <w:u w:val="single"/>
          <w:lang w:val="en-US" w:eastAsia="zh-CN"/>
        </w:rPr>
        <w:t>现场踏勘和人员访谈的方式对周围土壤环境现状进行了调查</w:t>
      </w:r>
      <w:r>
        <w:rPr>
          <w:rFonts w:ascii="宋体" w:hAnsi="宋体" w:eastAsia="宋体" w:cs="宋体"/>
          <w:spacing w:val="-1"/>
          <w:sz w:val="24"/>
          <w:szCs w:val="24"/>
          <w:u w:val="single"/>
        </w:rPr>
        <w:t>。</w:t>
      </w:r>
      <w:r>
        <w:rPr>
          <w:rFonts w:hint="eastAsia" w:ascii="宋体" w:hAnsi="宋体" w:eastAsia="宋体" w:cs="宋体"/>
          <w:spacing w:val="-1"/>
          <w:sz w:val="24"/>
          <w:szCs w:val="24"/>
          <w:u w:val="single"/>
          <w:lang w:val="en-US" w:eastAsia="zh-CN"/>
        </w:rPr>
        <w:t>厂址周围场地较为平坦，地貌单元属于冲积平原。</w:t>
      </w:r>
    </w:p>
    <w:p>
      <w:pPr>
        <w:pStyle w:val="13"/>
        <w:keepNext w:val="0"/>
        <w:keepLines w:val="0"/>
        <w:pageBreakBefore w:val="0"/>
        <w:widowControl/>
        <w:kinsoku w:val="0"/>
        <w:wordWrap/>
        <w:overflowPunct/>
        <w:topLinePunct w:val="0"/>
        <w:autoSpaceDE w:val="0"/>
        <w:autoSpaceDN w:val="0"/>
        <w:bidi w:val="0"/>
        <w:adjustRightInd w:val="0"/>
        <w:snapToGrid w:val="0"/>
        <w:spacing w:after="0" w:line="360" w:lineRule="auto"/>
        <w:textAlignment w:val="baseline"/>
        <w:rPr>
          <w:rFonts w:hint="eastAsia" w:ascii="宋体" w:hAnsi="宋体" w:eastAsia="宋体" w:cs="宋体"/>
          <w:spacing w:val="-1"/>
          <w:sz w:val="24"/>
          <w:szCs w:val="24"/>
          <w:u w:val="single"/>
          <w:lang w:val="en-US" w:eastAsia="zh-CN"/>
        </w:rPr>
      </w:pPr>
      <w:r>
        <w:rPr>
          <w:rFonts w:hint="default" w:ascii="Times New Roman" w:hAnsi="Times New Roman" w:eastAsia="宋体" w:cs="Times New Roman"/>
          <w:spacing w:val="-1"/>
          <w:sz w:val="24"/>
          <w:szCs w:val="24"/>
          <w:u w:val="single"/>
          <w:lang w:val="en-US" w:eastAsia="zh-CN"/>
        </w:rPr>
        <w:t>截至2023年12月底，</w:t>
      </w:r>
      <w:r>
        <w:rPr>
          <w:rFonts w:hint="eastAsia" w:ascii="宋体" w:hAnsi="宋体" w:eastAsia="宋体" w:cs="宋体"/>
          <w:spacing w:val="-1"/>
          <w:sz w:val="24"/>
          <w:szCs w:val="24"/>
          <w:u w:val="single"/>
          <w:lang w:val="en-US" w:eastAsia="zh-CN"/>
        </w:rPr>
        <w:t>本项目场地东侧为农田，北侧为河南省平顶山市迪可（集团）食品有限公司用地，南侧为中豫酒仓临街商铺，西侧为省道S330（当地称为昆阳大道和许南公路）。</w:t>
      </w:r>
    </w:p>
    <w:p>
      <w:pPr>
        <w:pStyle w:val="13"/>
        <w:keepNext w:val="0"/>
        <w:keepLines w:val="0"/>
        <w:pageBreakBefore w:val="0"/>
        <w:widowControl/>
        <w:kinsoku w:val="0"/>
        <w:wordWrap/>
        <w:overflowPunct/>
        <w:topLinePunct w:val="0"/>
        <w:autoSpaceDE w:val="0"/>
        <w:autoSpaceDN w:val="0"/>
        <w:bidi w:val="0"/>
        <w:adjustRightInd w:val="0"/>
        <w:snapToGrid w:val="0"/>
        <w:spacing w:after="0" w:line="360" w:lineRule="auto"/>
        <w:textAlignment w:val="baseline"/>
        <w:rPr>
          <w:rFonts w:hint="default" w:ascii="宋体" w:hAnsi="宋体" w:eastAsia="宋体" w:cs="宋体"/>
          <w:spacing w:val="-1"/>
          <w:sz w:val="24"/>
          <w:szCs w:val="24"/>
          <w:u w:val="single"/>
          <w:lang w:val="en-US" w:eastAsia="zh-CN"/>
        </w:rPr>
      </w:pPr>
      <w:r>
        <w:rPr>
          <w:rFonts w:hint="eastAsia" w:ascii="宋体" w:hAnsi="宋体" w:eastAsia="宋体" w:cs="宋体"/>
          <w:spacing w:val="-1"/>
          <w:sz w:val="24"/>
          <w:szCs w:val="24"/>
          <w:u w:val="single"/>
          <w:lang w:val="en-US" w:eastAsia="zh-CN"/>
        </w:rPr>
        <w:t>根据现场踏勘和人员访谈，厂址周围地块现状和历史上不涉及有毒有害物质的储存、使用和处置；未发现土壤及地下水污染痕迹，无恶臭、化学品味道或刺激性气味，说明周边地块土壤质量现状较好。</w:t>
      </w:r>
    </w:p>
    <w:p>
      <w:pPr>
        <w:pStyle w:val="13"/>
        <w:keepNext w:val="0"/>
        <w:keepLines w:val="0"/>
        <w:pageBreakBefore w:val="0"/>
        <w:widowControl/>
        <w:kinsoku w:val="0"/>
        <w:wordWrap/>
        <w:overflowPunct/>
        <w:topLinePunct w:val="0"/>
        <w:autoSpaceDE w:val="0"/>
        <w:autoSpaceDN w:val="0"/>
        <w:bidi w:val="0"/>
        <w:adjustRightInd w:val="0"/>
        <w:snapToGrid w:val="0"/>
        <w:spacing w:after="0" w:line="360" w:lineRule="auto"/>
        <w:textAlignment w:val="baseline"/>
        <w:rPr>
          <w:rFonts w:hint="default"/>
          <w:lang w:val="en-US" w:eastAsia="zh-CN"/>
        </w:rPr>
      </w:pPr>
    </w:p>
    <w:p>
      <w:pPr>
        <w:pStyle w:val="3"/>
        <w:bidi w:val="0"/>
        <w:jc w:val="center"/>
        <w:rPr>
          <w:rFonts w:ascii="Times New Roman" w:hAnsi="Times New Roman" w:eastAsia="Times New Roman" w:cs="Times New Roman"/>
          <w:spacing w:val="6"/>
          <w:sz w:val="44"/>
          <w:szCs w:val="44"/>
        </w:rPr>
        <w:sectPr>
          <w:headerReference r:id="rId11" w:type="default"/>
          <w:footerReference r:id="rId12" w:type="default"/>
          <w:pgSz w:w="11906" w:h="16839"/>
          <w:pgMar w:top="1431" w:right="1590" w:bottom="1278" w:left="1599" w:header="567" w:footer="964" w:gutter="0"/>
          <w:pgBorders>
            <w:top w:val="none" w:sz="0" w:space="0"/>
            <w:left w:val="none" w:sz="0" w:space="0"/>
            <w:bottom w:val="none" w:sz="0" w:space="0"/>
            <w:right w:val="none" w:sz="0" w:space="0"/>
          </w:pgBorders>
          <w:pgNumType w:fmt="numberInDash"/>
          <w:cols w:space="720" w:num="1"/>
        </w:sectPr>
      </w:pPr>
      <w:bookmarkStart w:id="330" w:name="bookmark85"/>
      <w:bookmarkEnd w:id="330"/>
      <w:bookmarkStart w:id="331" w:name="bookmark86"/>
      <w:bookmarkEnd w:id="331"/>
      <w:bookmarkStart w:id="332" w:name="_Toc32751"/>
      <w:bookmarkStart w:id="333" w:name="_Toc20196"/>
    </w:p>
    <w:p>
      <w:pPr>
        <w:pStyle w:val="3"/>
        <w:bidi w:val="0"/>
        <w:jc w:val="center"/>
        <w:rPr>
          <w:rFonts w:ascii="黑体" w:hAnsi="黑体" w:eastAsia="黑体" w:cs="黑体"/>
          <w:sz w:val="44"/>
          <w:szCs w:val="44"/>
        </w:rPr>
      </w:pPr>
      <w:r>
        <w:rPr>
          <w:rFonts w:ascii="Times New Roman" w:hAnsi="Times New Roman" w:eastAsia="Times New Roman" w:cs="Times New Roman"/>
          <w:spacing w:val="6"/>
          <w:sz w:val="44"/>
          <w:szCs w:val="44"/>
        </w:rPr>
        <w:t>5</w:t>
      </w:r>
      <w:r>
        <w:rPr>
          <w:rFonts w:ascii="黑体" w:hAnsi="黑体" w:eastAsia="黑体" w:cs="黑体"/>
          <w:spacing w:val="6"/>
          <w:sz w:val="44"/>
          <w:szCs w:val="44"/>
        </w:rPr>
        <w:t xml:space="preserve">  环境影响预测与评价</w:t>
      </w:r>
      <w:bookmarkEnd w:id="332"/>
      <w:bookmarkEnd w:id="333"/>
    </w:p>
    <w:p>
      <w:pPr>
        <w:pStyle w:val="4"/>
        <w:bidi w:val="0"/>
        <w:rPr>
          <w:rFonts w:ascii="黑体" w:hAnsi="黑体" w:eastAsia="黑体" w:cs="黑体"/>
          <w:sz w:val="28"/>
          <w:szCs w:val="28"/>
        </w:rPr>
      </w:pPr>
      <w:bookmarkStart w:id="334" w:name="_Toc2978"/>
      <w:bookmarkStart w:id="335" w:name="_Toc6470"/>
      <w:r>
        <w:rPr>
          <w:rFonts w:ascii="Times New Roman" w:hAnsi="Times New Roman" w:eastAsia="Times New Roman" w:cs="Times New Roman"/>
          <w:spacing w:val="-4"/>
          <w:sz w:val="28"/>
          <w:szCs w:val="28"/>
        </w:rPr>
        <w:t>5.</w:t>
      </w:r>
      <w:r>
        <w:rPr>
          <w:rFonts w:ascii="Times New Roman" w:hAnsi="Times New Roman" w:eastAsia="Times New Roman" w:cs="Times New Roman"/>
          <w:spacing w:val="-31"/>
          <w:sz w:val="28"/>
          <w:szCs w:val="28"/>
        </w:rPr>
        <w:t xml:space="preserve"> </w:t>
      </w:r>
      <w:r>
        <w:rPr>
          <w:rFonts w:ascii="Times New Roman" w:hAnsi="Times New Roman" w:eastAsia="Times New Roman" w:cs="Times New Roman"/>
          <w:spacing w:val="-4"/>
          <w:sz w:val="28"/>
          <w:szCs w:val="28"/>
        </w:rPr>
        <w:t>1</w:t>
      </w:r>
      <w:r>
        <w:rPr>
          <w:rFonts w:ascii="黑体" w:hAnsi="黑体" w:eastAsia="黑体" w:cs="黑体"/>
          <w:spacing w:val="-4"/>
          <w:sz w:val="28"/>
          <w:szCs w:val="28"/>
        </w:rPr>
        <w:t>施工期环境影响分析</w:t>
      </w:r>
      <w:bookmarkEnd w:id="334"/>
      <w:bookmarkEnd w:id="335"/>
    </w:p>
    <w:p>
      <w:pPr>
        <w:spacing w:before="197" w:line="383" w:lineRule="auto"/>
        <w:ind w:left="126" w:right="113" w:firstLine="476"/>
        <w:rPr>
          <w:u w:val="single"/>
        </w:rPr>
      </w:pPr>
      <w:r>
        <w:rPr>
          <w:rFonts w:ascii="宋体" w:hAnsi="宋体" w:eastAsia="宋体" w:cs="宋体"/>
          <w:spacing w:val="2"/>
          <w:sz w:val="24"/>
          <w:szCs w:val="24"/>
          <w:u w:val="single"/>
        </w:rPr>
        <w:t>根据现场调查，本项目施工内容包括场地平整，土建、附属设施的新建、设备安装等。施工期间对环境的影响主要是扬尘、废水、施工噪声、</w:t>
      </w:r>
      <w:r>
        <w:rPr>
          <w:rFonts w:ascii="宋体" w:hAnsi="宋体" w:eastAsia="宋体" w:cs="宋体"/>
          <w:spacing w:val="-2"/>
          <w:sz w:val="24"/>
          <w:szCs w:val="24"/>
          <w:u w:val="single"/>
        </w:rPr>
        <w:t>建筑垃圾及生态影响等。</w:t>
      </w:r>
    </w:p>
    <w:p>
      <w:pPr>
        <w:spacing w:before="92" w:line="224" w:lineRule="auto"/>
        <w:outlineLvl w:val="3"/>
        <w:rPr>
          <w:rFonts w:ascii="楷体" w:hAnsi="楷体" w:eastAsia="楷体" w:cs="楷体"/>
          <w:sz w:val="28"/>
          <w:szCs w:val="28"/>
          <w:u w:val="single"/>
        </w:rPr>
      </w:pPr>
      <w:r>
        <w:rPr>
          <w:rFonts w:ascii="Times New Roman" w:hAnsi="Times New Roman" w:eastAsia="Times New Roman" w:cs="Times New Roman"/>
          <w:spacing w:val="-1"/>
          <w:sz w:val="28"/>
          <w:szCs w:val="28"/>
          <w:u w:val="single"/>
        </w:rPr>
        <w:t>5.1.1</w:t>
      </w:r>
      <w:r>
        <w:rPr>
          <w:rFonts w:ascii="楷体" w:hAnsi="楷体" w:eastAsia="楷体" w:cs="楷体"/>
          <w:spacing w:val="-1"/>
          <w:sz w:val="28"/>
          <w:szCs w:val="28"/>
          <w:u w:val="single"/>
        </w:rPr>
        <w:t>施工期扬尘影响分析</w:t>
      </w:r>
    </w:p>
    <w:p>
      <w:pPr>
        <w:keepNext w:val="0"/>
        <w:keepLines w:val="0"/>
        <w:pageBreakBefore w:val="0"/>
        <w:widowControl/>
        <w:kinsoku/>
        <w:wordWrap/>
        <w:overflowPunct/>
        <w:topLinePunct w:val="0"/>
        <w:autoSpaceDE w:val="0"/>
        <w:autoSpaceDN w:val="0"/>
        <w:bidi w:val="0"/>
        <w:adjustRightInd w:val="0"/>
        <w:snapToGrid w:val="0"/>
        <w:spacing w:before="229" w:line="384" w:lineRule="auto"/>
        <w:ind w:left="125" w:right="113" w:firstLine="482"/>
        <w:textAlignment w:val="baseline"/>
        <w:rPr>
          <w:rFonts w:ascii="宋体" w:hAnsi="宋体" w:eastAsia="宋体" w:cs="宋体"/>
          <w:sz w:val="24"/>
          <w:szCs w:val="24"/>
          <w:u w:val="single"/>
        </w:rPr>
      </w:pPr>
      <w:r>
        <w:rPr>
          <w:rFonts w:ascii="宋体" w:hAnsi="宋体" w:eastAsia="宋体" w:cs="宋体"/>
          <w:spacing w:val="2"/>
          <w:sz w:val="24"/>
          <w:szCs w:val="24"/>
          <w:u w:val="single"/>
        </w:rPr>
        <w:t>建设施工过程中，燃油动力机械和运输车辆排放的废气，挖土、运土、填土、</w:t>
      </w:r>
      <w:r>
        <w:rPr>
          <w:rFonts w:ascii="宋体" w:hAnsi="宋体" w:eastAsia="宋体" w:cs="宋体"/>
          <w:spacing w:val="7"/>
          <w:sz w:val="24"/>
          <w:szCs w:val="24"/>
          <w:u w:val="single"/>
        </w:rPr>
        <w:t xml:space="preserve"> </w:t>
      </w:r>
      <w:r>
        <w:rPr>
          <w:rFonts w:ascii="宋体" w:hAnsi="宋体" w:eastAsia="宋体" w:cs="宋体"/>
          <w:spacing w:val="2"/>
          <w:sz w:val="24"/>
          <w:szCs w:val="24"/>
          <w:u w:val="single"/>
        </w:rPr>
        <w:t>夯实和汽车运输过程的扬尘，装修产生的废气，临时食堂产生的油烟，都会给周围</w:t>
      </w:r>
      <w:r>
        <w:rPr>
          <w:rFonts w:ascii="宋体" w:hAnsi="宋体" w:eastAsia="宋体" w:cs="宋体"/>
          <w:spacing w:val="-4"/>
          <w:sz w:val="24"/>
          <w:szCs w:val="24"/>
          <w:u w:val="single"/>
        </w:rPr>
        <w:t>环境空气带来污染。污染大气的主要因子是</w:t>
      </w:r>
      <w:r>
        <w:rPr>
          <w:rFonts w:ascii="Times New Roman" w:hAnsi="Times New Roman" w:eastAsia="Times New Roman" w:cs="Times New Roman"/>
          <w:spacing w:val="-4"/>
          <w:sz w:val="24"/>
          <w:szCs w:val="24"/>
          <w:u w:val="single"/>
        </w:rPr>
        <w:t>NO</w:t>
      </w:r>
      <w:r>
        <w:rPr>
          <w:rFonts w:ascii="Times New Roman" w:hAnsi="Times New Roman" w:eastAsia="Times New Roman" w:cs="Times New Roman"/>
          <w:spacing w:val="-4"/>
          <w:position w:val="-1"/>
          <w:sz w:val="15"/>
          <w:szCs w:val="15"/>
          <w:u w:val="single"/>
        </w:rPr>
        <w:t>2</w:t>
      </w:r>
      <w:r>
        <w:rPr>
          <w:rFonts w:ascii="Times New Roman" w:hAnsi="Times New Roman" w:eastAsia="Times New Roman" w:cs="Times New Roman"/>
          <w:spacing w:val="-13"/>
          <w:position w:val="-1"/>
          <w:sz w:val="15"/>
          <w:szCs w:val="15"/>
          <w:u w:val="single"/>
        </w:rPr>
        <w:t xml:space="preserve"> </w:t>
      </w:r>
      <w:r>
        <w:rPr>
          <w:rFonts w:ascii="宋体" w:hAnsi="宋体" w:eastAsia="宋体" w:cs="宋体"/>
          <w:spacing w:val="-4"/>
          <w:sz w:val="24"/>
          <w:szCs w:val="24"/>
          <w:u w:val="single"/>
        </w:rPr>
        <w:t>、</w:t>
      </w:r>
      <w:r>
        <w:rPr>
          <w:rFonts w:ascii="Times New Roman" w:hAnsi="Times New Roman" w:eastAsia="Times New Roman" w:cs="Times New Roman"/>
          <w:spacing w:val="-4"/>
          <w:sz w:val="24"/>
          <w:szCs w:val="24"/>
          <w:u w:val="single"/>
        </w:rPr>
        <w:t>CO</w:t>
      </w:r>
      <w:r>
        <w:rPr>
          <w:rFonts w:ascii="宋体" w:hAnsi="宋体" w:eastAsia="宋体" w:cs="宋体"/>
          <w:spacing w:val="-4"/>
          <w:sz w:val="24"/>
          <w:szCs w:val="24"/>
          <w:u w:val="single"/>
        </w:rPr>
        <w:t>、</w:t>
      </w:r>
      <w:r>
        <w:rPr>
          <w:rFonts w:ascii="Times New Roman" w:hAnsi="Times New Roman" w:eastAsia="Times New Roman" w:cs="Times New Roman"/>
          <w:spacing w:val="-4"/>
          <w:sz w:val="24"/>
          <w:szCs w:val="24"/>
          <w:u w:val="single"/>
        </w:rPr>
        <w:t>SO</w:t>
      </w:r>
      <w:r>
        <w:rPr>
          <w:rFonts w:ascii="Times New Roman" w:hAnsi="Times New Roman" w:eastAsia="Times New Roman" w:cs="Times New Roman"/>
          <w:spacing w:val="-4"/>
          <w:position w:val="-1"/>
          <w:sz w:val="15"/>
          <w:szCs w:val="15"/>
          <w:u w:val="single"/>
        </w:rPr>
        <w:t>2</w:t>
      </w:r>
      <w:r>
        <w:rPr>
          <w:rFonts w:ascii="Times New Roman" w:hAnsi="Times New Roman" w:eastAsia="Times New Roman" w:cs="Times New Roman"/>
          <w:spacing w:val="-13"/>
          <w:position w:val="-1"/>
          <w:sz w:val="15"/>
          <w:szCs w:val="15"/>
          <w:u w:val="single"/>
        </w:rPr>
        <w:t xml:space="preserve"> </w:t>
      </w:r>
      <w:r>
        <w:rPr>
          <w:rFonts w:ascii="宋体" w:hAnsi="宋体" w:eastAsia="宋体" w:cs="宋体"/>
          <w:spacing w:val="-4"/>
          <w:sz w:val="24"/>
          <w:szCs w:val="24"/>
          <w:u w:val="single"/>
        </w:rPr>
        <w:t>、甲醛、油烟和扬尘等。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24"/>
        <w:textAlignment w:val="baseline"/>
        <w:rPr>
          <w:rFonts w:ascii="宋体" w:hAnsi="宋体" w:eastAsia="宋体" w:cs="宋体"/>
          <w:sz w:val="24"/>
          <w:szCs w:val="24"/>
          <w:u w:val="single"/>
        </w:rPr>
      </w:pPr>
      <w:r>
        <w:rPr>
          <w:rFonts w:ascii="Times New Roman" w:hAnsi="Times New Roman" w:eastAsia="Times New Roman" w:cs="Times New Roman"/>
          <w:spacing w:val="-10"/>
          <w:sz w:val="24"/>
          <w:szCs w:val="24"/>
          <w:u w:val="single"/>
        </w:rPr>
        <w:t>1</w:t>
      </w:r>
      <w:r>
        <w:rPr>
          <w:rFonts w:ascii="宋体" w:hAnsi="宋体" w:eastAsia="宋体" w:cs="宋体"/>
          <w:spacing w:val="-10"/>
          <w:sz w:val="24"/>
          <w:szCs w:val="24"/>
          <w:u w:val="single"/>
        </w:rPr>
        <w:t>、施工扬尘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113" w:firstLine="482"/>
        <w:textAlignment w:val="baseline"/>
        <w:rPr>
          <w:rFonts w:ascii="宋体" w:hAnsi="宋体" w:eastAsia="宋体" w:cs="宋体"/>
          <w:sz w:val="24"/>
          <w:szCs w:val="24"/>
          <w:u w:val="single"/>
        </w:rPr>
      </w:pPr>
      <w:r>
        <w:rPr>
          <w:rFonts w:ascii="宋体" w:hAnsi="宋体" w:eastAsia="宋体" w:cs="宋体"/>
          <w:spacing w:val="2"/>
          <w:sz w:val="24"/>
          <w:szCs w:val="24"/>
          <w:u w:val="single"/>
        </w:rPr>
        <w:t>施工过程扬尘污染的危害不容忽视。在施工现场的作业人员，如长时间吸入大量微细尘埃，不但会引起各种呼吸道疾病，而且，扬尘会夹带大量的病源菌，还会传染其它各种疾病，严重威胁施工人员的身体健康。此外，扬尘飘落在各种建筑物</w:t>
      </w:r>
      <w:r>
        <w:rPr>
          <w:rFonts w:ascii="宋体" w:hAnsi="宋体" w:eastAsia="宋体" w:cs="宋体"/>
          <w:spacing w:val="-1"/>
          <w:sz w:val="24"/>
          <w:szCs w:val="24"/>
          <w:u w:val="single"/>
        </w:rPr>
        <w:t>和绿叶植被上，将会影响景观。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119" w:right="113" w:firstLine="482"/>
        <w:textAlignment w:val="baseline"/>
        <w:rPr>
          <w:rFonts w:ascii="宋体" w:hAnsi="宋体" w:eastAsia="宋体" w:cs="宋体"/>
          <w:sz w:val="24"/>
          <w:szCs w:val="24"/>
          <w:u w:val="single"/>
        </w:rPr>
      </w:pPr>
      <w:r>
        <w:rPr>
          <w:rFonts w:ascii="宋体" w:hAnsi="宋体" w:eastAsia="宋体" w:cs="宋体"/>
          <w:spacing w:val="2"/>
          <w:sz w:val="24"/>
          <w:szCs w:val="24"/>
          <w:u w:val="single"/>
        </w:rPr>
        <w:t>对整个施工期而言，施工产生的扬尘主要集中在房屋建设阶段。按起尘的原因</w:t>
      </w:r>
      <w:r>
        <w:rPr>
          <w:rFonts w:ascii="宋体" w:hAnsi="宋体" w:eastAsia="宋体" w:cs="宋体"/>
          <w:sz w:val="24"/>
          <w:szCs w:val="24"/>
          <w:u w:val="single"/>
        </w:rPr>
        <w:t>可分为风力起尘和动力起尘，其中风力起尘主要是由于露天堆放的建材</w:t>
      </w:r>
      <w:r>
        <w:rPr>
          <w:rFonts w:ascii="Times New Roman" w:hAnsi="Times New Roman" w:eastAsia="Times New Roman" w:cs="Times New Roman"/>
          <w:sz w:val="24"/>
          <w:szCs w:val="24"/>
          <w:u w:val="single"/>
        </w:rPr>
        <w:t>(</w:t>
      </w:r>
      <w:r>
        <w:rPr>
          <w:rFonts w:ascii="宋体" w:hAnsi="宋体" w:eastAsia="宋体" w:cs="宋体"/>
          <w:sz w:val="24"/>
          <w:szCs w:val="24"/>
          <w:u w:val="single"/>
        </w:rPr>
        <w:t>如沙</w:t>
      </w:r>
      <w:r>
        <w:rPr>
          <w:rFonts w:ascii="宋体" w:hAnsi="宋体" w:eastAsia="宋体" w:cs="宋体"/>
          <w:spacing w:val="-1"/>
          <w:sz w:val="24"/>
          <w:szCs w:val="24"/>
          <w:u w:val="single"/>
        </w:rPr>
        <w:t>土、水</w:t>
      </w:r>
      <w:r>
        <w:rPr>
          <w:rFonts w:ascii="宋体" w:hAnsi="宋体" w:eastAsia="宋体" w:cs="宋体"/>
          <w:sz w:val="24"/>
          <w:szCs w:val="24"/>
          <w:u w:val="single"/>
        </w:rPr>
        <w:t xml:space="preserve"> 泥等</w:t>
      </w:r>
      <w:r>
        <w:rPr>
          <w:rFonts w:ascii="Times New Roman" w:hAnsi="Times New Roman" w:eastAsia="Times New Roman" w:cs="Times New Roman"/>
          <w:sz w:val="24"/>
          <w:szCs w:val="24"/>
          <w:u w:val="single"/>
        </w:rPr>
        <w:t>)</w:t>
      </w:r>
      <w:r>
        <w:rPr>
          <w:rFonts w:ascii="宋体" w:hAnsi="宋体" w:eastAsia="宋体" w:cs="宋体"/>
          <w:sz w:val="24"/>
          <w:szCs w:val="24"/>
          <w:u w:val="single"/>
        </w:rPr>
        <w:t>及裸露的施工区表层浮尘因天气干燥及大风，产生风尘扬尘；而动力起尘，主</w:t>
      </w:r>
      <w:r>
        <w:rPr>
          <w:rFonts w:ascii="宋体" w:hAnsi="宋体" w:eastAsia="宋体" w:cs="宋体"/>
          <w:spacing w:val="2"/>
          <w:sz w:val="24"/>
          <w:szCs w:val="24"/>
          <w:u w:val="single"/>
        </w:rPr>
        <w:t>要是在建材的装卸、搅拌过程中，由于外力而产生的尘粒再悬浮而造成，其中施工及装卸车辆造成的扬尘最为严重。据有关文献资料介绍，车辆行驶产生的扬尘占总</w:t>
      </w:r>
      <w:r>
        <w:rPr>
          <w:rFonts w:ascii="宋体" w:hAnsi="宋体" w:eastAsia="宋体" w:cs="宋体"/>
          <w:spacing w:val="-2"/>
          <w:sz w:val="24"/>
          <w:szCs w:val="24"/>
          <w:u w:val="single"/>
        </w:rPr>
        <w:t>扬尘的</w:t>
      </w:r>
      <w:r>
        <w:rPr>
          <w:rFonts w:ascii="Times New Roman" w:hAnsi="Times New Roman" w:eastAsia="Times New Roman" w:cs="Times New Roman"/>
          <w:spacing w:val="-2"/>
          <w:sz w:val="24"/>
          <w:szCs w:val="24"/>
          <w:u w:val="single"/>
        </w:rPr>
        <w:t>60%</w:t>
      </w:r>
      <w:r>
        <w:rPr>
          <w:rFonts w:ascii="宋体" w:hAnsi="宋体" w:eastAsia="宋体" w:cs="宋体"/>
          <w:spacing w:val="-2"/>
          <w:sz w:val="24"/>
          <w:szCs w:val="24"/>
          <w:u w:val="single"/>
        </w:rPr>
        <w:t>上。不同车速和地面清洁程度的汽车扬尘产生情况见表</w:t>
      </w:r>
      <w:r>
        <w:rPr>
          <w:rFonts w:ascii="Times New Roman" w:hAnsi="Times New Roman" w:eastAsia="Times New Roman" w:cs="Times New Roman"/>
          <w:spacing w:val="-2"/>
          <w:sz w:val="24"/>
          <w:szCs w:val="24"/>
          <w:u w:val="single"/>
        </w:rPr>
        <w:t>5-1</w:t>
      </w:r>
      <w:r>
        <w:rPr>
          <w:rFonts w:ascii="宋体" w:hAnsi="宋体" w:eastAsia="宋体" w:cs="宋体"/>
          <w:spacing w:val="-2"/>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212" w:lineRule="auto"/>
        <w:ind w:left="1338"/>
        <w:textAlignment w:val="baseline"/>
        <w:rPr>
          <w:sz w:val="18"/>
          <w:szCs w:val="18"/>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 xml:space="preserve">5-1        </w:t>
      </w:r>
      <w:r>
        <w:rPr>
          <w:rFonts w:ascii="宋体" w:hAnsi="宋体" w:eastAsia="宋体" w:cs="宋体"/>
          <w:spacing w:val="-1"/>
          <w:sz w:val="24"/>
          <w:szCs w:val="24"/>
          <w14:textOutline w14:w="4358" w14:cap="sq" w14:cmpd="sng">
            <w14:solidFill>
              <w14:srgbClr w14:val="000000"/>
            </w14:solidFill>
            <w14:prstDash w14:val="solid"/>
            <w14:bevel/>
          </w14:textOutline>
        </w:rPr>
        <w:t>不同车速和地面清洁程度的汽车扬尘</w:t>
      </w:r>
      <w:r>
        <w:rPr>
          <w:rFonts w:ascii="宋体" w:hAnsi="宋体" w:eastAsia="宋体" w:cs="宋体"/>
          <w:spacing w:val="-1"/>
          <w:sz w:val="24"/>
          <w:szCs w:val="24"/>
        </w:rPr>
        <w:t xml:space="preserve"> </w:t>
      </w:r>
      <w:r>
        <w:rPr>
          <w:rFonts w:ascii="宋体" w:hAnsi="宋体" w:eastAsia="宋体" w:cs="宋体"/>
          <w:spacing w:val="-1"/>
          <w:sz w:val="21"/>
          <w:szCs w:val="21"/>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1"/>
          <w:szCs w:val="21"/>
        </w:rPr>
        <w:t>kg/</w:t>
      </w:r>
      <w:r>
        <w:rPr>
          <w:rFonts w:ascii="宋体" w:hAnsi="宋体" w:eastAsia="宋体" w:cs="宋体"/>
          <w:spacing w:val="-1"/>
          <w:sz w:val="21"/>
          <w:szCs w:val="21"/>
          <w14:textOutline w14:w="4358" w14:cap="sq" w14:cmpd="sng">
            <w14:solidFill>
              <w14:srgbClr w14:val="000000"/>
            </w14:solidFill>
            <w14:prstDash w14:val="solid"/>
            <w14:bevel/>
          </w14:textOutline>
        </w:rPr>
        <w:t>辆</w:t>
      </w:r>
      <w:r>
        <w:rPr>
          <w:rFonts w:ascii="宋体" w:hAnsi="宋体" w:eastAsia="宋体" w:cs="宋体"/>
          <w:spacing w:val="-93"/>
          <w:sz w:val="21"/>
          <w:szCs w:val="21"/>
        </w:rPr>
        <w:t xml:space="preserve"> </w:t>
      </w:r>
      <w:r>
        <w:rPr>
          <w:rFonts w:ascii="Times New Roman" w:hAnsi="Times New Roman" w:eastAsia="Times New Roman" w:cs="Times New Roman"/>
          <w:b/>
          <w:bCs/>
          <w:spacing w:val="-1"/>
          <w:sz w:val="21"/>
          <w:szCs w:val="21"/>
        </w:rPr>
        <w:t>·km</w:t>
      </w:r>
    </w:p>
    <w:tbl>
      <w:tblPr>
        <w:tblStyle w:val="24"/>
        <w:tblW w:w="8751"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258"/>
        <w:gridCol w:w="1245"/>
        <w:gridCol w:w="1261"/>
        <w:gridCol w:w="1245"/>
        <w:gridCol w:w="1245"/>
        <w:gridCol w:w="1246"/>
        <w:gridCol w:w="125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jc w:val="center"/>
        </w:trPr>
        <w:tc>
          <w:tcPr>
            <w:tcW w:w="1258" w:type="dxa"/>
            <w:tcBorders>
              <w:tl2br w:val="nil"/>
              <w:tr2bl w:val="nil"/>
            </w:tcBorders>
            <w:vAlign w:val="top"/>
          </w:tcPr>
          <w:p>
            <w:pPr>
              <w:spacing w:before="73" w:line="218"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P(</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0"/>
                <w:szCs w:val="20"/>
              </w:rPr>
              <w:t>)</w:t>
            </w:r>
          </w:p>
        </w:tc>
        <w:tc>
          <w:tcPr>
            <w:tcW w:w="1245" w:type="dxa"/>
            <w:tcBorders>
              <w:tl2br w:val="nil"/>
              <w:tr2bl w:val="nil"/>
            </w:tcBorders>
            <w:vAlign w:val="top"/>
          </w:tcPr>
          <w:p>
            <w:pPr>
              <w:spacing w:before="93" w:line="195"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261" w:type="dxa"/>
            <w:tcBorders>
              <w:tl2br w:val="nil"/>
              <w:tr2bl w:val="nil"/>
            </w:tcBorders>
            <w:vAlign w:val="top"/>
          </w:tcPr>
          <w:p>
            <w:pPr>
              <w:spacing w:before="93"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245" w:type="dxa"/>
            <w:tcBorders>
              <w:tl2br w:val="nil"/>
              <w:tr2bl w:val="nil"/>
            </w:tcBorders>
            <w:vAlign w:val="top"/>
          </w:tcPr>
          <w:p>
            <w:pPr>
              <w:spacing w:before="9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245" w:type="dxa"/>
            <w:tcBorders>
              <w:tl2br w:val="nil"/>
              <w:tr2bl w:val="nil"/>
            </w:tcBorders>
            <w:vAlign w:val="top"/>
          </w:tcPr>
          <w:p>
            <w:pPr>
              <w:spacing w:before="93"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246" w:type="dxa"/>
            <w:tcBorders>
              <w:tl2br w:val="nil"/>
              <w:tr2bl w:val="nil"/>
            </w:tcBorders>
            <w:vAlign w:val="top"/>
          </w:tcPr>
          <w:p>
            <w:pPr>
              <w:spacing w:before="93"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251" w:type="dxa"/>
            <w:tcBorders>
              <w:tl2br w:val="nil"/>
              <w:tr2bl w:val="nil"/>
            </w:tcBorders>
            <w:vAlign w:val="top"/>
          </w:tcPr>
          <w:p>
            <w:pPr>
              <w:spacing w:before="93"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1258" w:type="dxa"/>
            <w:tcBorders>
              <w:tl2br w:val="nil"/>
              <w:tr2bl w:val="nil"/>
            </w:tcBorders>
            <w:vAlign w:val="top"/>
          </w:tcPr>
          <w:p>
            <w:pPr>
              <w:spacing w:before="84" w:line="201"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hr</w:t>
            </w:r>
            <w:r>
              <w:rPr>
                <w:rFonts w:ascii="Times New Roman" w:hAnsi="Times New Roman" w:eastAsia="Times New Roman" w:cs="Times New Roman"/>
                <w:spacing w:val="5"/>
                <w:sz w:val="20"/>
                <w:szCs w:val="20"/>
              </w:rPr>
              <w:t>)</w:t>
            </w:r>
          </w:p>
        </w:tc>
        <w:tc>
          <w:tcPr>
            <w:tcW w:w="1245" w:type="dxa"/>
            <w:tcBorders>
              <w:tl2br w:val="nil"/>
              <w:tr2bl w:val="nil"/>
            </w:tcBorders>
            <w:vAlign w:val="top"/>
          </w:tcPr>
          <w:p>
            <w:pPr>
              <w:spacing w:before="8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0.051056</w:t>
            </w:r>
          </w:p>
        </w:tc>
        <w:tc>
          <w:tcPr>
            <w:tcW w:w="1261" w:type="dxa"/>
            <w:tcBorders>
              <w:tl2br w:val="nil"/>
              <w:tr2bl w:val="nil"/>
            </w:tcBorders>
            <w:vAlign w:val="top"/>
          </w:tcPr>
          <w:p>
            <w:pPr>
              <w:spacing w:before="88"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0.0261665</w:t>
            </w:r>
          </w:p>
        </w:tc>
        <w:tc>
          <w:tcPr>
            <w:tcW w:w="1245" w:type="dxa"/>
            <w:tcBorders>
              <w:tl2br w:val="nil"/>
              <w:tr2bl w:val="nil"/>
            </w:tcBorders>
            <w:vAlign w:val="top"/>
          </w:tcPr>
          <w:p>
            <w:pPr>
              <w:spacing w:before="8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0.116382</w:t>
            </w:r>
          </w:p>
        </w:tc>
        <w:tc>
          <w:tcPr>
            <w:tcW w:w="1245" w:type="dxa"/>
            <w:tcBorders>
              <w:tl2br w:val="nil"/>
              <w:tr2bl w:val="nil"/>
            </w:tcBorders>
            <w:vAlign w:val="top"/>
          </w:tcPr>
          <w:p>
            <w:pPr>
              <w:spacing w:before="88"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0.144408</w:t>
            </w:r>
          </w:p>
        </w:tc>
        <w:tc>
          <w:tcPr>
            <w:tcW w:w="1246" w:type="dxa"/>
            <w:tcBorders>
              <w:tl2br w:val="nil"/>
              <w:tr2bl w:val="nil"/>
            </w:tcBorders>
            <w:vAlign w:val="top"/>
          </w:tcPr>
          <w:p>
            <w:pPr>
              <w:spacing w:before="88"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0.170715</w:t>
            </w:r>
          </w:p>
        </w:tc>
        <w:tc>
          <w:tcPr>
            <w:tcW w:w="1251" w:type="dxa"/>
            <w:tcBorders>
              <w:tl2br w:val="nil"/>
              <w:tr2bl w:val="nil"/>
            </w:tcBorders>
            <w:vAlign w:val="top"/>
          </w:tcPr>
          <w:p>
            <w:pPr>
              <w:spacing w:before="88"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0.287108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1258" w:type="dxa"/>
            <w:tcBorders>
              <w:tl2br w:val="nil"/>
              <w:tr2bl w:val="nil"/>
            </w:tcBorders>
            <w:vAlign w:val="top"/>
          </w:tcPr>
          <w:p>
            <w:pPr>
              <w:spacing w:before="85" w:line="201"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km</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hr</w:t>
            </w:r>
            <w:r>
              <w:rPr>
                <w:rFonts w:ascii="Times New Roman" w:hAnsi="Times New Roman" w:eastAsia="Times New Roman" w:cs="Times New Roman"/>
                <w:spacing w:val="2"/>
                <w:sz w:val="20"/>
                <w:szCs w:val="20"/>
              </w:rPr>
              <w:t>)</w:t>
            </w:r>
          </w:p>
        </w:tc>
        <w:tc>
          <w:tcPr>
            <w:tcW w:w="1245" w:type="dxa"/>
            <w:tcBorders>
              <w:tl2br w:val="nil"/>
              <w:tr2bl w:val="nil"/>
            </w:tcBorders>
            <w:vAlign w:val="top"/>
          </w:tcPr>
          <w:p>
            <w:pPr>
              <w:spacing w:before="89"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0.102112</w:t>
            </w:r>
          </w:p>
        </w:tc>
        <w:tc>
          <w:tcPr>
            <w:tcW w:w="1261" w:type="dxa"/>
            <w:tcBorders>
              <w:tl2br w:val="nil"/>
              <w:tr2bl w:val="nil"/>
            </w:tcBorders>
            <w:vAlign w:val="top"/>
          </w:tcPr>
          <w:p>
            <w:pPr>
              <w:spacing w:before="89"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0.171731</w:t>
            </w:r>
          </w:p>
        </w:tc>
        <w:tc>
          <w:tcPr>
            <w:tcW w:w="1245" w:type="dxa"/>
            <w:tcBorders>
              <w:tl2br w:val="nil"/>
              <w:tr2bl w:val="nil"/>
            </w:tcBorders>
            <w:vAlign w:val="top"/>
          </w:tcPr>
          <w:p>
            <w:pPr>
              <w:spacing w:before="89"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0.232764</w:t>
            </w:r>
          </w:p>
        </w:tc>
        <w:tc>
          <w:tcPr>
            <w:tcW w:w="1245" w:type="dxa"/>
            <w:tcBorders>
              <w:tl2br w:val="nil"/>
              <w:tr2bl w:val="nil"/>
            </w:tcBorders>
            <w:vAlign w:val="top"/>
          </w:tcPr>
          <w:p>
            <w:pPr>
              <w:spacing w:before="89"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0.288815</w:t>
            </w:r>
          </w:p>
        </w:tc>
        <w:tc>
          <w:tcPr>
            <w:tcW w:w="1246" w:type="dxa"/>
            <w:tcBorders>
              <w:tl2br w:val="nil"/>
              <w:tr2bl w:val="nil"/>
            </w:tcBorders>
            <w:vAlign w:val="top"/>
          </w:tcPr>
          <w:p>
            <w:pPr>
              <w:spacing w:before="89"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0.341431</w:t>
            </w:r>
          </w:p>
        </w:tc>
        <w:tc>
          <w:tcPr>
            <w:tcW w:w="1251" w:type="dxa"/>
            <w:tcBorders>
              <w:tl2br w:val="nil"/>
              <w:tr2bl w:val="nil"/>
            </w:tcBorders>
            <w:vAlign w:val="top"/>
          </w:tcPr>
          <w:p>
            <w:pPr>
              <w:spacing w:before="89"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0.574216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1258" w:type="dxa"/>
            <w:tcBorders>
              <w:tl2br w:val="nil"/>
              <w:tr2bl w:val="nil"/>
            </w:tcBorders>
            <w:vAlign w:val="top"/>
          </w:tcPr>
          <w:p>
            <w:pPr>
              <w:spacing w:before="86" w:line="201"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r>
              <w:rPr>
                <w:rFonts w:ascii="Times New Roman" w:hAnsi="Times New Roman" w:eastAsia="Times New Roman" w:cs="Times New Roman"/>
                <w:sz w:val="20"/>
                <w:szCs w:val="20"/>
              </w:rPr>
              <w:t>km</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hr</w:t>
            </w:r>
            <w:r>
              <w:rPr>
                <w:rFonts w:ascii="Times New Roman" w:hAnsi="Times New Roman" w:eastAsia="Times New Roman" w:cs="Times New Roman"/>
                <w:spacing w:val="2"/>
                <w:sz w:val="20"/>
                <w:szCs w:val="20"/>
              </w:rPr>
              <w:t>)</w:t>
            </w:r>
          </w:p>
        </w:tc>
        <w:tc>
          <w:tcPr>
            <w:tcW w:w="1245" w:type="dxa"/>
            <w:tcBorders>
              <w:tl2br w:val="nil"/>
              <w:tr2bl w:val="nil"/>
            </w:tcBorders>
            <w:vAlign w:val="top"/>
          </w:tcPr>
          <w:p>
            <w:pPr>
              <w:spacing w:before="9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0.153167</w:t>
            </w:r>
          </w:p>
        </w:tc>
        <w:tc>
          <w:tcPr>
            <w:tcW w:w="1261" w:type="dxa"/>
            <w:tcBorders>
              <w:tl2br w:val="nil"/>
              <w:tr2bl w:val="nil"/>
            </w:tcBorders>
            <w:vAlign w:val="top"/>
          </w:tcPr>
          <w:p>
            <w:pPr>
              <w:spacing w:before="90"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0.257596</w:t>
            </w:r>
          </w:p>
        </w:tc>
        <w:tc>
          <w:tcPr>
            <w:tcW w:w="1245" w:type="dxa"/>
            <w:tcBorders>
              <w:tl2br w:val="nil"/>
              <w:tr2bl w:val="nil"/>
            </w:tcBorders>
            <w:vAlign w:val="top"/>
          </w:tcPr>
          <w:p>
            <w:pPr>
              <w:spacing w:before="9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0.349146</w:t>
            </w:r>
          </w:p>
        </w:tc>
        <w:tc>
          <w:tcPr>
            <w:tcW w:w="1245" w:type="dxa"/>
            <w:tcBorders>
              <w:tl2br w:val="nil"/>
              <w:tr2bl w:val="nil"/>
            </w:tcBorders>
            <w:vAlign w:val="top"/>
          </w:tcPr>
          <w:p>
            <w:pPr>
              <w:spacing w:before="90"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0.433223</w:t>
            </w:r>
          </w:p>
        </w:tc>
        <w:tc>
          <w:tcPr>
            <w:tcW w:w="1246" w:type="dxa"/>
            <w:tcBorders>
              <w:tl2br w:val="nil"/>
              <w:tr2bl w:val="nil"/>
            </w:tcBorders>
            <w:vAlign w:val="top"/>
          </w:tcPr>
          <w:p>
            <w:pPr>
              <w:spacing w:before="9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0.512146</w:t>
            </w:r>
          </w:p>
        </w:tc>
        <w:tc>
          <w:tcPr>
            <w:tcW w:w="1251" w:type="dxa"/>
            <w:tcBorders>
              <w:tl2br w:val="nil"/>
              <w:tr2bl w:val="nil"/>
            </w:tcBorders>
            <w:vAlign w:val="top"/>
          </w:tcPr>
          <w:p>
            <w:pPr>
              <w:spacing w:before="9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0.861323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jc w:val="center"/>
        </w:trPr>
        <w:tc>
          <w:tcPr>
            <w:tcW w:w="1258" w:type="dxa"/>
            <w:tcBorders>
              <w:tl2br w:val="nil"/>
              <w:tr2bl w:val="nil"/>
            </w:tcBorders>
            <w:vAlign w:val="top"/>
          </w:tcPr>
          <w:p>
            <w:pPr>
              <w:spacing w:before="86" w:line="201"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km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hr</w:t>
            </w:r>
            <w:r>
              <w:rPr>
                <w:rFonts w:ascii="Times New Roman" w:hAnsi="Times New Roman" w:eastAsia="Times New Roman" w:cs="Times New Roman"/>
                <w:spacing w:val="6"/>
                <w:sz w:val="20"/>
                <w:szCs w:val="20"/>
              </w:rPr>
              <w:t>)</w:t>
            </w:r>
          </w:p>
        </w:tc>
        <w:tc>
          <w:tcPr>
            <w:tcW w:w="1245" w:type="dxa"/>
            <w:tcBorders>
              <w:tl2br w:val="nil"/>
              <w:tr2bl w:val="nil"/>
            </w:tcBorders>
            <w:vAlign w:val="top"/>
          </w:tcPr>
          <w:p>
            <w:pPr>
              <w:spacing w:before="9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0.255279</w:t>
            </w:r>
          </w:p>
        </w:tc>
        <w:tc>
          <w:tcPr>
            <w:tcW w:w="1261" w:type="dxa"/>
            <w:tcBorders>
              <w:tl2br w:val="nil"/>
              <w:tr2bl w:val="nil"/>
            </w:tcBorders>
            <w:vAlign w:val="top"/>
          </w:tcPr>
          <w:p>
            <w:pPr>
              <w:spacing w:before="90"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0.429326</w:t>
            </w:r>
          </w:p>
        </w:tc>
        <w:tc>
          <w:tcPr>
            <w:tcW w:w="1245" w:type="dxa"/>
            <w:tcBorders>
              <w:tl2br w:val="nil"/>
              <w:tr2bl w:val="nil"/>
            </w:tcBorders>
            <w:vAlign w:val="top"/>
          </w:tcPr>
          <w:p>
            <w:pPr>
              <w:spacing w:before="9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0.58191</w:t>
            </w:r>
          </w:p>
        </w:tc>
        <w:tc>
          <w:tcPr>
            <w:tcW w:w="1245" w:type="dxa"/>
            <w:tcBorders>
              <w:tl2br w:val="nil"/>
              <w:tr2bl w:val="nil"/>
            </w:tcBorders>
            <w:vAlign w:val="top"/>
          </w:tcPr>
          <w:p>
            <w:pPr>
              <w:spacing w:before="90"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0.722038</w:t>
            </w:r>
          </w:p>
        </w:tc>
        <w:tc>
          <w:tcPr>
            <w:tcW w:w="1246" w:type="dxa"/>
            <w:tcBorders>
              <w:tl2br w:val="nil"/>
              <w:tr2bl w:val="nil"/>
            </w:tcBorders>
            <w:vAlign w:val="top"/>
          </w:tcPr>
          <w:p>
            <w:pPr>
              <w:spacing w:before="9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0.853577</w:t>
            </w:r>
          </w:p>
        </w:tc>
        <w:tc>
          <w:tcPr>
            <w:tcW w:w="1251" w:type="dxa"/>
            <w:tcBorders>
              <w:tl2br w:val="nil"/>
              <w:tr2bl w:val="nil"/>
            </w:tcBorders>
            <w:vAlign w:val="top"/>
          </w:tcPr>
          <w:p>
            <w:pPr>
              <w:spacing w:before="9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1.435539</w:t>
            </w:r>
          </w:p>
        </w:tc>
      </w:tr>
    </w:tbl>
    <w:p>
      <w:pPr>
        <w:keepNext w:val="0"/>
        <w:keepLines w:val="0"/>
        <w:pageBreakBefore w:val="0"/>
        <w:widowControl w:val="0"/>
        <w:kinsoku w:val="0"/>
        <w:wordWrap/>
        <w:overflowPunct/>
        <w:topLinePunct w:val="0"/>
        <w:autoSpaceDE w:val="0"/>
        <w:autoSpaceDN w:val="0"/>
        <w:bidi w:val="0"/>
        <w:adjustRightInd w:val="0"/>
        <w:snapToGrid w:val="0"/>
        <w:spacing w:before="0" w:beforeLines="50" w:line="360" w:lineRule="auto"/>
        <w:ind w:left="136" w:right="113" w:firstLine="465"/>
        <w:jc w:val="both"/>
        <w:textAlignment w:val="baseline"/>
        <w:rPr>
          <w:rFonts w:ascii="宋体" w:hAnsi="宋体" w:eastAsia="宋体" w:cs="宋体"/>
          <w:sz w:val="24"/>
          <w:szCs w:val="24"/>
        </w:rPr>
      </w:pPr>
      <w:r>
        <w:rPr>
          <w:rFonts w:ascii="宋体" w:hAnsi="宋体" w:eastAsia="宋体" w:cs="宋体"/>
          <w:spacing w:val="2"/>
          <w:sz w:val="24"/>
          <w:szCs w:val="24"/>
        </w:rPr>
        <w:t>施工期扬尘的另一个主要原因是露天堆场和裸露场地的风力扬尘。由于施工的需要，一些建材需露天堆放；一些施工点表层土壤需人工开挖、</w:t>
      </w:r>
      <w:r>
        <w:rPr>
          <w:rFonts w:ascii="宋体" w:hAnsi="宋体" w:eastAsia="宋体" w:cs="宋体"/>
          <w:spacing w:val="1"/>
          <w:sz w:val="24"/>
          <w:szCs w:val="24"/>
        </w:rPr>
        <w:t>堆放，在气候干燥</w:t>
      </w:r>
      <w:r>
        <w:rPr>
          <w:rFonts w:ascii="宋体" w:hAnsi="宋体" w:eastAsia="宋体" w:cs="宋体"/>
          <w:spacing w:val="-1"/>
          <w:sz w:val="24"/>
          <w:szCs w:val="24"/>
        </w:rPr>
        <w:t>又有风的情况下，会产生扬尘。不同粒径尘粒的沉降速度见表</w:t>
      </w:r>
      <w:r>
        <w:rPr>
          <w:rFonts w:ascii="Times New Roman" w:hAnsi="Times New Roman" w:eastAsia="Times New Roman" w:cs="Times New Roman"/>
          <w:spacing w:val="-1"/>
          <w:sz w:val="24"/>
          <w:szCs w:val="24"/>
        </w:rPr>
        <w:t>5-2</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999"/>
        <w:textAlignment w:val="baseline"/>
      </w:pPr>
      <w:r>
        <w:rPr>
          <w:rFonts w:ascii="Times New Roman" w:hAnsi="Times New Roman" w:eastAsia="Times New Roman" w:cs="Times New Roman"/>
          <w:b/>
          <w:bCs/>
          <w:sz w:val="24"/>
          <w:szCs w:val="24"/>
        </w:rPr>
        <w:t xml:space="preserve">5-2        </w:t>
      </w:r>
      <w:r>
        <w:rPr>
          <w:rFonts w:ascii="宋体" w:hAnsi="宋体" w:eastAsia="宋体" w:cs="宋体"/>
          <w:sz w:val="24"/>
          <w:szCs w:val="24"/>
          <w14:textOutline w14:w="4358" w14:cap="sq" w14:cmpd="sng">
            <w14:solidFill>
              <w14:srgbClr w14:val="000000"/>
            </w14:solidFill>
            <w14:prstDash w14:val="solid"/>
            <w14:bevel/>
          </w14:textOutline>
        </w:rPr>
        <w:t>不同粒径尘粒的沉降速度</w:t>
      </w:r>
    </w:p>
    <w:tbl>
      <w:tblPr>
        <w:tblStyle w:val="24"/>
        <w:tblW w:w="8776"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888"/>
        <w:gridCol w:w="1092"/>
        <w:gridCol w:w="1003"/>
        <w:gridCol w:w="1057"/>
        <w:gridCol w:w="951"/>
        <w:gridCol w:w="1012"/>
        <w:gridCol w:w="915"/>
        <w:gridCol w:w="85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jc w:val="center"/>
        </w:trPr>
        <w:tc>
          <w:tcPr>
            <w:tcW w:w="1888" w:type="dxa"/>
            <w:tcBorders>
              <w:tl2br w:val="nil"/>
              <w:tr2bl w:val="nil"/>
            </w:tcBorders>
            <w:vAlign w:val="top"/>
          </w:tcPr>
          <w:p>
            <w:pPr>
              <w:pStyle w:val="25"/>
              <w:spacing w:before="54" w:line="221" w:lineRule="auto"/>
              <w:ind w:left="411"/>
            </w:pPr>
            <w:r>
              <w:rPr>
                <w:spacing w:val="22"/>
              </w:rPr>
              <w:t>粒径(</w:t>
            </w:r>
            <w:r>
              <w:rPr>
                <w:rFonts w:ascii="Times New Roman" w:hAnsi="Times New Roman" w:eastAsia="Times New Roman" w:cs="Times New Roman"/>
                <w:spacing w:val="22"/>
              </w:rPr>
              <w:t>μm</w:t>
            </w:r>
            <w:r>
              <w:rPr>
                <w:spacing w:val="22"/>
              </w:rPr>
              <w:t>）</w:t>
            </w:r>
          </w:p>
        </w:tc>
        <w:tc>
          <w:tcPr>
            <w:tcW w:w="1092" w:type="dxa"/>
            <w:tcBorders>
              <w:tl2br w:val="nil"/>
              <w:tr2bl w:val="nil"/>
            </w:tcBorders>
            <w:vAlign w:val="top"/>
          </w:tcPr>
          <w:p>
            <w:pPr>
              <w:spacing w:before="90"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03" w:type="dxa"/>
            <w:tcBorders>
              <w:tl2br w:val="nil"/>
              <w:tr2bl w:val="nil"/>
            </w:tcBorders>
            <w:vAlign w:val="top"/>
          </w:tcPr>
          <w:p>
            <w:pPr>
              <w:spacing w:before="90"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57" w:type="dxa"/>
            <w:tcBorders>
              <w:tl2br w:val="nil"/>
              <w:tr2bl w:val="nil"/>
            </w:tcBorders>
            <w:vAlign w:val="top"/>
          </w:tcPr>
          <w:p>
            <w:pPr>
              <w:spacing w:before="90"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51" w:type="dxa"/>
            <w:tcBorders>
              <w:tl2br w:val="nil"/>
              <w:tr2bl w:val="nil"/>
            </w:tcBorders>
            <w:vAlign w:val="top"/>
          </w:tcPr>
          <w:p>
            <w:pPr>
              <w:spacing w:before="90"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12" w:type="dxa"/>
            <w:tcBorders>
              <w:tl2br w:val="nil"/>
              <w:tr2bl w:val="nil"/>
            </w:tcBorders>
            <w:vAlign w:val="top"/>
          </w:tcPr>
          <w:p>
            <w:pPr>
              <w:spacing w:before="90"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15" w:type="dxa"/>
            <w:tcBorders>
              <w:tl2br w:val="nil"/>
              <w:tr2bl w:val="nil"/>
            </w:tcBorders>
            <w:vAlign w:val="top"/>
          </w:tcPr>
          <w:p>
            <w:pPr>
              <w:spacing w:before="90" w:line="195" w:lineRule="auto"/>
              <w:ind w:left="36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58" w:type="dxa"/>
            <w:tcBorders>
              <w:tl2br w:val="nil"/>
              <w:tr2bl w:val="nil"/>
            </w:tcBorders>
            <w:vAlign w:val="top"/>
          </w:tcPr>
          <w:p>
            <w:pPr>
              <w:spacing w:before="9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1888" w:type="dxa"/>
            <w:tcBorders>
              <w:tl2br w:val="nil"/>
              <w:tr2bl w:val="nil"/>
            </w:tcBorders>
            <w:vAlign w:val="top"/>
          </w:tcPr>
          <w:p>
            <w:pPr>
              <w:pStyle w:val="25"/>
              <w:spacing w:before="52" w:line="228" w:lineRule="auto"/>
              <w:ind w:left="188"/>
            </w:pPr>
            <w:r>
              <w:rPr>
                <w:spacing w:val="5"/>
              </w:rPr>
              <w:t>沉降速度（</w:t>
            </w:r>
            <w:r>
              <w:rPr>
                <w:rFonts w:ascii="Times New Roman" w:hAnsi="Times New Roman" w:eastAsia="Times New Roman" w:cs="Times New Roman"/>
                <w:spacing w:val="5"/>
              </w:rPr>
              <w:t>m/s</w:t>
            </w:r>
            <w:r>
              <w:rPr>
                <w:spacing w:val="5"/>
              </w:rPr>
              <w:t>）</w:t>
            </w:r>
          </w:p>
        </w:tc>
        <w:tc>
          <w:tcPr>
            <w:tcW w:w="1092" w:type="dxa"/>
            <w:tcBorders>
              <w:tl2br w:val="nil"/>
              <w:tr2bl w:val="nil"/>
            </w:tcBorders>
            <w:vAlign w:val="top"/>
          </w:tcPr>
          <w:p>
            <w:pPr>
              <w:spacing w:before="8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3" w:type="dxa"/>
            <w:tcBorders>
              <w:tl2br w:val="nil"/>
              <w:tr2bl w:val="nil"/>
            </w:tcBorders>
            <w:vAlign w:val="top"/>
          </w:tcPr>
          <w:p>
            <w:pPr>
              <w:spacing w:before="8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1057" w:type="dxa"/>
            <w:tcBorders>
              <w:tl2br w:val="nil"/>
              <w:tr2bl w:val="nil"/>
            </w:tcBorders>
            <w:vAlign w:val="top"/>
          </w:tcPr>
          <w:p>
            <w:pPr>
              <w:spacing w:before="88"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0.027</w:t>
            </w:r>
          </w:p>
        </w:tc>
        <w:tc>
          <w:tcPr>
            <w:tcW w:w="951" w:type="dxa"/>
            <w:tcBorders>
              <w:tl2br w:val="nil"/>
              <w:tr2bl w:val="nil"/>
            </w:tcBorders>
            <w:vAlign w:val="top"/>
          </w:tcPr>
          <w:p>
            <w:pPr>
              <w:spacing w:before="8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0.048</w:t>
            </w:r>
          </w:p>
        </w:tc>
        <w:tc>
          <w:tcPr>
            <w:tcW w:w="1012" w:type="dxa"/>
            <w:tcBorders>
              <w:tl2br w:val="nil"/>
              <w:tr2bl w:val="nil"/>
            </w:tcBorders>
            <w:vAlign w:val="top"/>
          </w:tcPr>
          <w:p>
            <w:pPr>
              <w:spacing w:before="8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0.075</w:t>
            </w:r>
          </w:p>
        </w:tc>
        <w:tc>
          <w:tcPr>
            <w:tcW w:w="915" w:type="dxa"/>
            <w:tcBorders>
              <w:tl2br w:val="nil"/>
              <w:tr2bl w:val="nil"/>
            </w:tcBorders>
            <w:vAlign w:val="top"/>
          </w:tcPr>
          <w:p>
            <w:pPr>
              <w:spacing w:before="88"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0.108</w:t>
            </w:r>
          </w:p>
        </w:tc>
        <w:tc>
          <w:tcPr>
            <w:tcW w:w="858" w:type="dxa"/>
            <w:tcBorders>
              <w:tl2br w:val="nil"/>
              <w:tr2bl w:val="nil"/>
            </w:tcBorders>
            <w:vAlign w:val="top"/>
          </w:tcPr>
          <w:p>
            <w:pPr>
              <w:spacing w:before="8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1888" w:type="dxa"/>
            <w:tcBorders>
              <w:tl2br w:val="nil"/>
              <w:tr2bl w:val="nil"/>
            </w:tcBorders>
            <w:vAlign w:val="top"/>
          </w:tcPr>
          <w:p>
            <w:pPr>
              <w:pStyle w:val="25"/>
              <w:spacing w:before="53" w:line="221" w:lineRule="auto"/>
              <w:ind w:left="411"/>
            </w:pPr>
            <w:r>
              <w:rPr>
                <w:spacing w:val="22"/>
              </w:rPr>
              <w:t>粒径(</w:t>
            </w:r>
            <w:r>
              <w:rPr>
                <w:rFonts w:ascii="Times New Roman" w:hAnsi="Times New Roman" w:eastAsia="Times New Roman" w:cs="Times New Roman"/>
                <w:spacing w:val="22"/>
              </w:rPr>
              <w:t>μm</w:t>
            </w:r>
            <w:r>
              <w:rPr>
                <w:spacing w:val="22"/>
              </w:rPr>
              <w:t>）</w:t>
            </w:r>
          </w:p>
        </w:tc>
        <w:tc>
          <w:tcPr>
            <w:tcW w:w="1092" w:type="dxa"/>
            <w:tcBorders>
              <w:tl2br w:val="nil"/>
              <w:tr2bl w:val="nil"/>
            </w:tcBorders>
            <w:vAlign w:val="top"/>
          </w:tcPr>
          <w:p>
            <w:pPr>
              <w:spacing w:before="88"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03" w:type="dxa"/>
            <w:tcBorders>
              <w:tl2br w:val="nil"/>
              <w:tr2bl w:val="nil"/>
            </w:tcBorders>
            <w:vAlign w:val="top"/>
          </w:tcPr>
          <w:p>
            <w:pPr>
              <w:spacing w:before="88" w:line="195"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057" w:type="dxa"/>
            <w:tcBorders>
              <w:tl2br w:val="nil"/>
              <w:tr2bl w:val="nil"/>
            </w:tcBorders>
            <w:vAlign w:val="top"/>
          </w:tcPr>
          <w:p>
            <w:pPr>
              <w:spacing w:before="88"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51" w:type="dxa"/>
            <w:tcBorders>
              <w:tl2br w:val="nil"/>
              <w:tr2bl w:val="nil"/>
            </w:tcBorders>
            <w:vAlign w:val="top"/>
          </w:tcPr>
          <w:p>
            <w:pPr>
              <w:spacing w:before="8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12" w:type="dxa"/>
            <w:tcBorders>
              <w:tl2br w:val="nil"/>
              <w:tr2bl w:val="nil"/>
            </w:tcBorders>
            <w:vAlign w:val="top"/>
          </w:tcPr>
          <w:p>
            <w:pPr>
              <w:spacing w:before="8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15" w:type="dxa"/>
            <w:tcBorders>
              <w:tl2br w:val="nil"/>
              <w:tr2bl w:val="nil"/>
            </w:tcBorders>
            <w:vAlign w:val="top"/>
          </w:tcPr>
          <w:p>
            <w:pPr>
              <w:spacing w:before="8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858" w:type="dxa"/>
            <w:tcBorders>
              <w:tl2br w:val="nil"/>
              <w:tr2bl w:val="nil"/>
            </w:tcBorders>
            <w:vAlign w:val="top"/>
          </w:tcPr>
          <w:p>
            <w:pPr>
              <w:spacing w:before="8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1888" w:type="dxa"/>
            <w:tcBorders>
              <w:tl2br w:val="nil"/>
              <w:tr2bl w:val="nil"/>
            </w:tcBorders>
            <w:vAlign w:val="top"/>
          </w:tcPr>
          <w:p>
            <w:pPr>
              <w:pStyle w:val="25"/>
              <w:spacing w:before="53" w:line="228" w:lineRule="auto"/>
              <w:ind w:left="188"/>
            </w:pPr>
            <w:r>
              <w:rPr>
                <w:spacing w:val="5"/>
              </w:rPr>
              <w:t>沉降速度（</w:t>
            </w:r>
            <w:r>
              <w:rPr>
                <w:rFonts w:ascii="Times New Roman" w:hAnsi="Times New Roman" w:eastAsia="Times New Roman" w:cs="Times New Roman"/>
                <w:spacing w:val="5"/>
              </w:rPr>
              <w:t>m/s</w:t>
            </w:r>
            <w:r>
              <w:rPr>
                <w:spacing w:val="5"/>
              </w:rPr>
              <w:t>）</w:t>
            </w:r>
          </w:p>
        </w:tc>
        <w:tc>
          <w:tcPr>
            <w:tcW w:w="1092" w:type="dxa"/>
            <w:tcBorders>
              <w:tl2br w:val="nil"/>
              <w:tr2bl w:val="nil"/>
            </w:tcBorders>
            <w:vAlign w:val="top"/>
          </w:tcPr>
          <w:p>
            <w:pPr>
              <w:spacing w:before="8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0.158</w:t>
            </w:r>
          </w:p>
        </w:tc>
        <w:tc>
          <w:tcPr>
            <w:tcW w:w="1003" w:type="dxa"/>
            <w:tcBorders>
              <w:tl2br w:val="nil"/>
              <w:tr2bl w:val="nil"/>
            </w:tcBorders>
            <w:vAlign w:val="top"/>
          </w:tcPr>
          <w:p>
            <w:pPr>
              <w:spacing w:before="89"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0.170</w:t>
            </w:r>
          </w:p>
        </w:tc>
        <w:tc>
          <w:tcPr>
            <w:tcW w:w="1057" w:type="dxa"/>
            <w:tcBorders>
              <w:tl2br w:val="nil"/>
              <w:tr2bl w:val="nil"/>
            </w:tcBorders>
            <w:vAlign w:val="top"/>
          </w:tcPr>
          <w:p>
            <w:pPr>
              <w:spacing w:before="89"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0.182</w:t>
            </w:r>
          </w:p>
        </w:tc>
        <w:tc>
          <w:tcPr>
            <w:tcW w:w="951" w:type="dxa"/>
            <w:tcBorders>
              <w:tl2br w:val="nil"/>
              <w:tr2bl w:val="nil"/>
            </w:tcBorders>
            <w:vAlign w:val="top"/>
          </w:tcPr>
          <w:p>
            <w:pPr>
              <w:spacing w:before="89"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0.239</w:t>
            </w:r>
          </w:p>
        </w:tc>
        <w:tc>
          <w:tcPr>
            <w:tcW w:w="1012" w:type="dxa"/>
            <w:tcBorders>
              <w:tl2br w:val="nil"/>
              <w:tr2bl w:val="nil"/>
            </w:tcBorders>
            <w:vAlign w:val="top"/>
          </w:tcPr>
          <w:p>
            <w:pPr>
              <w:spacing w:before="8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0.804</w:t>
            </w:r>
          </w:p>
        </w:tc>
        <w:tc>
          <w:tcPr>
            <w:tcW w:w="915" w:type="dxa"/>
            <w:tcBorders>
              <w:tl2br w:val="nil"/>
              <w:tr2bl w:val="nil"/>
            </w:tcBorders>
            <w:vAlign w:val="top"/>
          </w:tcPr>
          <w:p>
            <w:pPr>
              <w:spacing w:before="89"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1.005</w:t>
            </w:r>
          </w:p>
        </w:tc>
        <w:tc>
          <w:tcPr>
            <w:tcW w:w="858" w:type="dxa"/>
            <w:tcBorders>
              <w:tl2br w:val="nil"/>
              <w:tr2bl w:val="nil"/>
            </w:tcBorders>
            <w:vAlign w:val="top"/>
          </w:tcPr>
          <w:p>
            <w:pPr>
              <w:spacing w:before="89"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1.829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jc w:val="center"/>
        </w:trPr>
        <w:tc>
          <w:tcPr>
            <w:tcW w:w="1888" w:type="dxa"/>
            <w:tcBorders>
              <w:tl2br w:val="nil"/>
              <w:tr2bl w:val="nil"/>
            </w:tcBorders>
            <w:vAlign w:val="top"/>
          </w:tcPr>
          <w:p>
            <w:pPr>
              <w:pStyle w:val="25"/>
              <w:spacing w:before="54" w:line="221" w:lineRule="auto"/>
              <w:ind w:left="411"/>
            </w:pPr>
            <w:r>
              <w:rPr>
                <w:spacing w:val="22"/>
              </w:rPr>
              <w:t>粒径(</w:t>
            </w:r>
            <w:r>
              <w:rPr>
                <w:rFonts w:ascii="Times New Roman" w:hAnsi="Times New Roman" w:eastAsia="Times New Roman" w:cs="Times New Roman"/>
                <w:spacing w:val="22"/>
              </w:rPr>
              <w:t>μm</w:t>
            </w:r>
            <w:r>
              <w:rPr>
                <w:spacing w:val="22"/>
              </w:rPr>
              <w:t>）</w:t>
            </w:r>
          </w:p>
        </w:tc>
        <w:tc>
          <w:tcPr>
            <w:tcW w:w="1092" w:type="dxa"/>
            <w:tcBorders>
              <w:tl2br w:val="nil"/>
              <w:tr2bl w:val="nil"/>
            </w:tcBorders>
            <w:vAlign w:val="top"/>
          </w:tcPr>
          <w:p>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003" w:type="dxa"/>
            <w:tcBorders>
              <w:tl2br w:val="nil"/>
              <w:tr2bl w:val="nil"/>
            </w:tcBorders>
            <w:vAlign w:val="top"/>
          </w:tcPr>
          <w:p>
            <w:pPr>
              <w:spacing w:before="9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550</w:t>
            </w:r>
          </w:p>
        </w:tc>
        <w:tc>
          <w:tcPr>
            <w:tcW w:w="1057" w:type="dxa"/>
            <w:tcBorders>
              <w:tl2br w:val="nil"/>
              <w:tr2bl w:val="nil"/>
            </w:tcBorders>
            <w:vAlign w:val="top"/>
          </w:tcPr>
          <w:p>
            <w:pPr>
              <w:spacing w:before="90"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650</w:t>
            </w:r>
          </w:p>
        </w:tc>
        <w:tc>
          <w:tcPr>
            <w:tcW w:w="951" w:type="dxa"/>
            <w:tcBorders>
              <w:tl2br w:val="nil"/>
              <w:tr2bl w:val="nil"/>
            </w:tcBorders>
            <w:vAlign w:val="top"/>
          </w:tcPr>
          <w:p>
            <w:pPr>
              <w:spacing w:before="90"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750</w:t>
            </w:r>
          </w:p>
        </w:tc>
        <w:tc>
          <w:tcPr>
            <w:tcW w:w="1012" w:type="dxa"/>
            <w:tcBorders>
              <w:tl2br w:val="nil"/>
              <w:tr2bl w:val="nil"/>
            </w:tcBorders>
            <w:vAlign w:val="top"/>
          </w:tcPr>
          <w:p>
            <w:pPr>
              <w:spacing w:before="90"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c>
          <w:tcPr>
            <w:tcW w:w="915" w:type="dxa"/>
            <w:tcBorders>
              <w:tl2br w:val="nil"/>
              <w:tr2bl w:val="nil"/>
            </w:tcBorders>
            <w:vAlign w:val="top"/>
          </w:tcPr>
          <w:p>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950</w:t>
            </w:r>
          </w:p>
        </w:tc>
        <w:tc>
          <w:tcPr>
            <w:tcW w:w="858" w:type="dxa"/>
            <w:tcBorders>
              <w:tl2br w:val="nil"/>
              <w:tr2bl w:val="nil"/>
            </w:tcBorders>
            <w:vAlign w:val="top"/>
          </w:tcPr>
          <w:p>
            <w:pPr>
              <w:spacing w:before="9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jc w:val="center"/>
        </w:trPr>
        <w:tc>
          <w:tcPr>
            <w:tcW w:w="1888" w:type="dxa"/>
            <w:tcBorders>
              <w:tl2br w:val="nil"/>
              <w:tr2bl w:val="nil"/>
            </w:tcBorders>
            <w:vAlign w:val="top"/>
          </w:tcPr>
          <w:p>
            <w:pPr>
              <w:pStyle w:val="25"/>
              <w:spacing w:before="54" w:line="228" w:lineRule="auto"/>
              <w:ind w:left="188"/>
            </w:pPr>
            <w:r>
              <w:rPr>
                <w:spacing w:val="5"/>
              </w:rPr>
              <w:t>沉降速度（</w:t>
            </w:r>
            <w:r>
              <w:rPr>
                <w:rFonts w:ascii="Times New Roman" w:hAnsi="Times New Roman" w:eastAsia="Times New Roman" w:cs="Times New Roman"/>
                <w:spacing w:val="5"/>
              </w:rPr>
              <w:t>m/s</w:t>
            </w:r>
            <w:r>
              <w:rPr>
                <w:spacing w:val="5"/>
              </w:rPr>
              <w:t>）</w:t>
            </w:r>
          </w:p>
        </w:tc>
        <w:tc>
          <w:tcPr>
            <w:tcW w:w="1092" w:type="dxa"/>
            <w:tcBorders>
              <w:tl2br w:val="nil"/>
              <w:tr2bl w:val="nil"/>
            </w:tcBorders>
            <w:vAlign w:val="top"/>
          </w:tcPr>
          <w:p>
            <w:pPr>
              <w:spacing w:before="90"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2.211</w:t>
            </w:r>
          </w:p>
        </w:tc>
        <w:tc>
          <w:tcPr>
            <w:tcW w:w="1003" w:type="dxa"/>
            <w:tcBorders>
              <w:tl2br w:val="nil"/>
              <w:tr2bl w:val="nil"/>
            </w:tcBorders>
            <w:vAlign w:val="top"/>
          </w:tcPr>
          <w:p>
            <w:pPr>
              <w:spacing w:before="90"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2.614</w:t>
            </w:r>
          </w:p>
        </w:tc>
        <w:tc>
          <w:tcPr>
            <w:tcW w:w="1057" w:type="dxa"/>
            <w:tcBorders>
              <w:tl2br w:val="nil"/>
              <w:tr2bl w:val="nil"/>
            </w:tcBorders>
            <w:vAlign w:val="top"/>
          </w:tcPr>
          <w:p>
            <w:pPr>
              <w:spacing w:before="9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3.016</w:t>
            </w:r>
          </w:p>
        </w:tc>
        <w:tc>
          <w:tcPr>
            <w:tcW w:w="951" w:type="dxa"/>
            <w:tcBorders>
              <w:tl2br w:val="nil"/>
              <w:tr2bl w:val="nil"/>
            </w:tcBorders>
            <w:vAlign w:val="top"/>
          </w:tcPr>
          <w:p>
            <w:pPr>
              <w:spacing w:before="90"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3.418</w:t>
            </w:r>
          </w:p>
        </w:tc>
        <w:tc>
          <w:tcPr>
            <w:tcW w:w="1012" w:type="dxa"/>
            <w:tcBorders>
              <w:tl2br w:val="nil"/>
              <w:tr2bl w:val="nil"/>
            </w:tcBorders>
            <w:vAlign w:val="top"/>
          </w:tcPr>
          <w:p>
            <w:pPr>
              <w:spacing w:before="9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3.820</w:t>
            </w:r>
          </w:p>
        </w:tc>
        <w:tc>
          <w:tcPr>
            <w:tcW w:w="915" w:type="dxa"/>
            <w:tcBorders>
              <w:tl2br w:val="nil"/>
              <w:tr2bl w:val="nil"/>
            </w:tcBorders>
            <w:vAlign w:val="top"/>
          </w:tcPr>
          <w:p>
            <w:pPr>
              <w:spacing w:before="9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4.222</w:t>
            </w:r>
          </w:p>
        </w:tc>
        <w:tc>
          <w:tcPr>
            <w:tcW w:w="858" w:type="dxa"/>
            <w:tcBorders>
              <w:tl2br w:val="nil"/>
              <w:tr2bl w:val="nil"/>
            </w:tcBorders>
            <w:vAlign w:val="top"/>
          </w:tcPr>
          <w:p>
            <w:pPr>
              <w:spacing w:before="9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4.624</w:t>
            </w:r>
          </w:p>
        </w:tc>
      </w:tr>
    </w:tbl>
    <w:p>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从表5-2可以看出，尘粒的沉降速度随粒径的增大而迅速增大。当粒径为250μm，沉降速度为1.005m/s，因此可以认为当尘粒大于250μm时，主要影响范围在扬尘点下风向近距离范围内，而真正对外环境产生影响的是一些微小尘粒。在有风的情况下，施工扬尘会对该区域造成一定的影响。由起尘计算公式可知，V</w:t>
      </w:r>
      <w:r>
        <w:rPr>
          <w:rFonts w:hint="default" w:ascii="Times New Roman" w:hAnsi="Times New Roman" w:cs="Times New Roman"/>
          <w:sz w:val="24"/>
          <w:szCs w:val="24"/>
          <w:vertAlign w:val="subscript"/>
        </w:rPr>
        <w:t>0</w:t>
      </w:r>
      <w:r>
        <w:rPr>
          <w:rFonts w:hint="default" w:ascii="Times New Roman" w:hAnsi="Times New Roman" w:cs="Times New Roman"/>
          <w:sz w:val="24"/>
          <w:szCs w:val="24"/>
        </w:rPr>
        <w:t>与粒径和含水率有关，因此，通过采取减少露天堆放和保证一定的含水率及减少裸露地面等措施后，风力起尘对环境的影响较小。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在施工期间，建设单位应按照《河南省建筑施工现场扬尘防治管理暂行规定》、</w:t>
      </w:r>
      <w:r>
        <w:rPr>
          <w:rFonts w:hint="default" w:ascii="Times New Roman" w:hAnsi="Times New Roman" w:cs="Times New Roman"/>
          <w:sz w:val="24"/>
          <w:szCs w:val="24"/>
          <w:lang w:val="en-US" w:eastAsia="zh-CN"/>
        </w:rPr>
        <w:t>《平顶山市2023年蓝天保卫战实施方案》</w:t>
      </w:r>
      <w:r>
        <w:rPr>
          <w:rFonts w:hint="default" w:ascii="Times New Roman" w:hAnsi="Times New Roman" w:cs="Times New Roman"/>
          <w:sz w:val="24"/>
          <w:szCs w:val="24"/>
        </w:rPr>
        <w:t>等文件的规定采取如下扬尘防治措施，以防治施工扬尘，减小对周围环境空气的影响。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（1）关于建筑施工工地扬尘管理措施为主，减少施工过程中扬尘的产生，要求 建设单位严格落实工程建设工地扬尘管理“六个百分百 ”措施，即施工现场100%标准化围蔽，围蔽高度不得低于2.5米、工地砂土100%覆盖、工地路面100%硬化、拆除工程100%洒水压尘、出工地车辆 100%冲洗干净、施工现场长期裸土100%覆盖或</w:t>
      </w:r>
      <w:r>
        <w:rPr>
          <w:rFonts w:hint="default" w:ascii="Times New Roman" w:hAnsi="Times New Roman" w:cs="Times New Roman"/>
          <w:sz w:val="24"/>
          <w:szCs w:val="24"/>
          <w:lang w:eastAsia="zh-CN"/>
        </w:rPr>
        <w:t>绿化</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（2）设置围挡：建设工地采用封闭式施工方法，即将工地与和周围环境分隔，可在工地四周设置围护栏，以起到隔阻工地扬尘和飞灰对周围环境的影响。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（3）道路硬化与管理：施工场所内车行道路必须硬化；任何时候车行道都不能有明显尘土；道路清扫时都必须采取洒水措施。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4）及时覆盖：对工程施工造成的裸露地面要进行苫盖，达到“黄土不露天”，防止地面扬尘对周围大气环境产生影响。对施工临时占地的暂存土方进行了遮盖处理。运输建筑垃圾、建筑材料等易产生扬尘物料的车辆，必须封盖严密，不得撒漏。</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（5）持续洒水降尘措施：施工现场定期喷洒，保证地面湿润，不起尘；道路及 施工场地要每天定期洒水，抑制扬尘产生，在大风天气时，加大洒水量及洒水次数或停止施工。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（6）避免大风天气作业：在遇有 4 级以上大风天气，不再进行土方回填、转运以及其他可能产生扬尘污染的施工。避免露天堆放起尘物（如回填用土、建筑砂石等），即使必须露天堆放，也要加盖苫布，减少大风造成的施工扬尘。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7）及时清运垃圾、渣土：严格按照渣土管理有关规定，运输车辆不得超载，被运渣土不得含水太多，造成沿途泥浆滴漏，从而影响城市道路整洁，渣土必须及时清运并按照制定的运输路线行驶，运往制定的倾倒地点，以减少由于渣土产生的扬尘对环境空气质量的影响。建筑垃圾、工程渣土在 48 小时内不能完成清运的，在施工工地内设置临时堆放场，临时堆场采取围挡、遮盖等防尘措施。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（8）施工期在建筑工地必须做到“两个禁止 ”，即禁止现场搅拌混凝土、禁止现场配制砂浆。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（9）施工工地开工前必须做到“六个到位 ”，即“审批到位、报备到位、治理方案到位、配套措施到位、监控到位、人员（施工单位管理人员、责任部门监管人员）到位”。</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10）规范运输：严格按照渣土管理有关规定，运输车辆不得超载，被运渣土不得含水太多．以防造成沿途泥浆滴漏，影响道路整洁，渣土必须及时清运并按照制定的运输路线行驶，运往制定的倾倒地点，以减少由于渣土产生的扬尘对环境空气质量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11）设置施工告知牌：明确施工内容、施工工期、施工进度，对施工扬尘采取的环境管理措施，并配备专职环境保护人员，其职责是指导和管理施工现场的工程弃土、建筑垃圾、建筑材料的处置、清运、堆放，场地恢复和硬化，清除进出施工现场道路上的泥土、弃料以及轮胎上的泥土，防止二次扬尘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经过现场勘查，距离本项目最近的居民区是</w:t>
      </w:r>
      <w:r>
        <w:rPr>
          <w:rFonts w:hint="default" w:ascii="Times New Roman" w:hAnsi="Times New Roman" w:cs="Times New Roman"/>
          <w:sz w:val="24"/>
          <w:szCs w:val="24"/>
          <w:lang w:eastAsia="zh-CN"/>
        </w:rPr>
        <w:t>东南侧</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m的马庄村住户和西北侧1</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8m的官庄村住户</w:t>
      </w:r>
      <w:r>
        <w:rPr>
          <w:rFonts w:hint="default" w:ascii="Times New Roman" w:hAnsi="Times New Roman" w:cs="Times New Roman"/>
          <w:sz w:val="24"/>
          <w:szCs w:val="24"/>
        </w:rPr>
        <w:t>，但由于项目四周主要为农田和荒地，植物对扬尘等颗粒物有一定的净化作用；此外本项目主体工程采用钢架结构，土地开挖量小，施工期较短，采取上述措施后，本项目施工期施工扬尘对村庄居民影响较小。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sz w:val="28"/>
          <w:szCs w:val="28"/>
        </w:rPr>
      </w:pPr>
      <w:bookmarkStart w:id="336" w:name="bookmark88"/>
      <w:bookmarkEnd w:id="336"/>
      <w:r>
        <w:rPr>
          <w:rFonts w:ascii="Times New Roman" w:hAnsi="Times New Roman" w:eastAsia="Times New Roman" w:cs="Times New Roman"/>
          <w:spacing w:val="-1"/>
          <w:sz w:val="28"/>
          <w:szCs w:val="28"/>
        </w:rPr>
        <w:t>5.1.2</w:t>
      </w:r>
      <w:r>
        <w:rPr>
          <w:rFonts w:ascii="楷体" w:hAnsi="楷体" w:eastAsia="楷体" w:cs="楷体"/>
          <w:spacing w:val="-1"/>
          <w:sz w:val="28"/>
          <w:szCs w:val="28"/>
        </w:rPr>
        <w:t>施工期废水影响分析</w:t>
      </w:r>
    </w:p>
    <w:p>
      <w:pPr>
        <w:keepNext w:val="0"/>
        <w:keepLines w:val="0"/>
        <w:pageBreakBefore w:val="0"/>
        <w:widowControl/>
        <w:kinsoku w:val="0"/>
        <w:wordWrap/>
        <w:overflowPunct/>
        <w:topLinePunct w:val="0"/>
        <w:autoSpaceDE w:val="0"/>
        <w:autoSpaceDN w:val="0"/>
        <w:bidi w:val="0"/>
        <w:adjustRightInd w:val="0"/>
        <w:snapToGrid w:val="0"/>
        <w:spacing w:before="15" w:line="360" w:lineRule="auto"/>
        <w:ind w:left="601"/>
        <w:textAlignment w:val="baseline"/>
        <w:rPr>
          <w:rFonts w:ascii="宋体" w:hAnsi="宋体" w:eastAsia="宋体" w:cs="宋体"/>
          <w:sz w:val="24"/>
          <w:szCs w:val="24"/>
        </w:rPr>
      </w:pPr>
      <w:r>
        <w:rPr>
          <w:rFonts w:ascii="宋体" w:hAnsi="宋体" w:eastAsia="宋体" w:cs="宋体"/>
          <w:spacing w:val="-1"/>
          <w:sz w:val="24"/>
          <w:szCs w:val="24"/>
        </w:rPr>
        <w:t>本项目施工期废水包括施工建筑废水和施工人员生活污水。</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25" w:right="113" w:firstLine="476"/>
        <w:textAlignment w:val="baseline"/>
        <w:rPr>
          <w:rFonts w:ascii="宋体" w:hAnsi="宋体" w:eastAsia="宋体" w:cs="宋体"/>
          <w:sz w:val="24"/>
          <w:szCs w:val="24"/>
        </w:rPr>
      </w:pPr>
      <w:r>
        <w:rPr>
          <w:rFonts w:ascii="宋体" w:hAnsi="宋体" w:eastAsia="宋体" w:cs="宋体"/>
          <w:spacing w:val="2"/>
          <w:sz w:val="24"/>
          <w:szCs w:val="24"/>
        </w:rPr>
        <w:t>施工期的建筑废水主要为施工机械冲洗废水，废水主要污染物为水泥碎粒、沙土，采取设置临时储水池收集，沉淀后回用于工程建设或场区洒水抑尘，最终无外</w:t>
      </w:r>
      <w:r>
        <w:rPr>
          <w:rFonts w:ascii="宋体" w:hAnsi="宋体" w:eastAsia="宋体" w:cs="宋体"/>
          <w:spacing w:val="-5"/>
          <w:sz w:val="24"/>
          <w:szCs w:val="24"/>
        </w:rPr>
        <w:t>排。</w:t>
      </w:r>
      <w:r>
        <w:rPr>
          <w:rFonts w:ascii="宋体" w:hAnsi="宋体" w:eastAsia="宋体" w:cs="宋体"/>
          <w:sz w:val="24"/>
          <w:szCs w:val="24"/>
        </w:rPr>
        <w:t>施工期施工人员</w:t>
      </w:r>
      <w:r>
        <w:rPr>
          <w:rFonts w:hint="eastAsia" w:ascii="宋体" w:hAnsi="宋体" w:eastAsia="宋体" w:cs="宋体"/>
          <w:sz w:val="24"/>
          <w:szCs w:val="24"/>
          <w:lang w:eastAsia="zh-CN"/>
        </w:rPr>
        <w:t>盥洗</w:t>
      </w:r>
      <w:r>
        <w:rPr>
          <w:rFonts w:ascii="宋体" w:hAnsi="宋体" w:eastAsia="宋体" w:cs="宋体"/>
          <w:sz w:val="24"/>
          <w:szCs w:val="24"/>
        </w:rPr>
        <w:t>为</w:t>
      </w:r>
      <w:r>
        <w:rPr>
          <w:rFonts w:hint="eastAsia" w:ascii="宋体" w:hAnsi="宋体" w:eastAsia="宋体" w:cs="宋体"/>
          <w:sz w:val="24"/>
          <w:szCs w:val="24"/>
          <w:lang w:eastAsia="zh-CN"/>
        </w:rPr>
        <w:t>使用</w:t>
      </w:r>
      <w:r>
        <w:rPr>
          <w:rFonts w:hint="eastAsia" w:ascii="宋体" w:hAnsi="宋体" w:eastAsia="宋体" w:cs="宋体"/>
          <w:sz w:val="24"/>
          <w:szCs w:val="24"/>
          <w:lang w:val="en-US" w:eastAsia="zh-CN"/>
        </w:rPr>
        <w:t>河南省平顶山市迪可（集团）</w:t>
      </w:r>
      <w:r>
        <w:rPr>
          <w:rFonts w:hint="eastAsia" w:ascii="宋体" w:hAnsi="宋体" w:eastAsia="宋体" w:cs="宋体"/>
          <w:sz w:val="24"/>
          <w:szCs w:val="24"/>
          <w:lang w:eastAsia="zh-CN"/>
        </w:rPr>
        <w:t>食品有限公司的卫生间</w:t>
      </w:r>
      <w:r>
        <w:rPr>
          <w:rFonts w:ascii="宋体" w:hAnsi="宋体" w:eastAsia="宋体" w:cs="宋体"/>
          <w:sz w:val="24"/>
          <w:szCs w:val="24"/>
        </w:rPr>
        <w:t>，</w:t>
      </w:r>
      <w:r>
        <w:rPr>
          <w:rFonts w:hint="eastAsia" w:ascii="宋体" w:hAnsi="宋体" w:eastAsia="宋体" w:cs="宋体"/>
          <w:sz w:val="24"/>
          <w:szCs w:val="24"/>
          <w:lang w:eastAsia="zh-CN"/>
        </w:rPr>
        <w:t>该废水</w:t>
      </w:r>
      <w:r>
        <w:rPr>
          <w:rFonts w:ascii="宋体" w:hAnsi="宋体" w:eastAsia="宋体" w:cs="宋体"/>
          <w:sz w:val="24"/>
          <w:szCs w:val="24"/>
        </w:rPr>
        <w:t>由专业人士定</w:t>
      </w:r>
      <w:r>
        <w:rPr>
          <w:rFonts w:ascii="宋体" w:hAnsi="宋体" w:eastAsia="宋体" w:cs="宋体"/>
          <w:spacing w:val="-1"/>
          <w:sz w:val="24"/>
          <w:szCs w:val="24"/>
        </w:rPr>
        <w:t>期清掏用于农田施肥。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综上所述，项目工程施工期所有废水均可得到妥善处置，不会对周边地表水环境质量造成影响。</w:t>
      </w:r>
    </w:p>
    <w:p>
      <w:pPr>
        <w:keepNext w:val="0"/>
        <w:keepLines w:val="0"/>
        <w:pageBreakBefore w:val="0"/>
        <w:widowControl/>
        <w:kinsoku w:val="0"/>
        <w:wordWrap/>
        <w:overflowPunct/>
        <w:topLinePunct w:val="0"/>
        <w:autoSpaceDE w:val="0"/>
        <w:autoSpaceDN w:val="0"/>
        <w:bidi w:val="0"/>
        <w:adjustRightInd w:val="0"/>
        <w:snapToGrid w:val="0"/>
        <w:spacing w:before="58" w:line="224" w:lineRule="auto"/>
        <w:textAlignment w:val="baseline"/>
        <w:outlineLvl w:val="3"/>
        <w:rPr>
          <w:rFonts w:ascii="楷体" w:hAnsi="楷体" w:eastAsia="楷体" w:cs="楷体"/>
          <w:sz w:val="28"/>
          <w:szCs w:val="28"/>
        </w:rPr>
      </w:pPr>
      <w:bookmarkStart w:id="337" w:name="bookmark89"/>
      <w:bookmarkEnd w:id="337"/>
      <w:r>
        <w:rPr>
          <w:rFonts w:ascii="Times New Roman" w:hAnsi="Times New Roman" w:eastAsia="Times New Roman" w:cs="Times New Roman"/>
          <w:spacing w:val="-1"/>
          <w:sz w:val="28"/>
          <w:szCs w:val="28"/>
        </w:rPr>
        <w:t>5.1.3</w:t>
      </w:r>
      <w:r>
        <w:rPr>
          <w:rFonts w:ascii="楷体" w:hAnsi="楷体" w:eastAsia="楷体" w:cs="楷体"/>
          <w:spacing w:val="-1"/>
          <w:sz w:val="28"/>
          <w:szCs w:val="28"/>
        </w:rPr>
        <w:t>施工期噪声影响分析</w:t>
      </w:r>
    </w:p>
    <w:p>
      <w:pPr>
        <w:spacing w:before="231" w:line="220" w:lineRule="auto"/>
        <w:ind w:left="621"/>
        <w:rPr>
          <w:rFonts w:ascii="宋体" w:hAnsi="宋体" w:eastAsia="宋体" w:cs="宋体"/>
          <w:sz w:val="24"/>
          <w:szCs w:val="24"/>
        </w:rPr>
      </w:pPr>
      <w:r>
        <w:rPr>
          <w:rFonts w:hint="eastAsia" w:ascii="Times New Roman" w:hAnsi="Times New Roman" w:eastAsia="宋体" w:cs="Times New Roman"/>
          <w:spacing w:val="-34"/>
          <w:sz w:val="24"/>
          <w:szCs w:val="24"/>
          <w:lang w:eastAsia="zh-CN"/>
        </w:rPr>
        <w:t>（</w:t>
      </w:r>
      <w:r>
        <w:rPr>
          <w:rFonts w:ascii="Times New Roman" w:hAnsi="Times New Roman" w:eastAsia="Times New Roman" w:cs="Times New Roman"/>
          <w:spacing w:val="-5"/>
          <w:sz w:val="24"/>
          <w:szCs w:val="24"/>
        </w:rPr>
        <w:t>1</w:t>
      </w:r>
      <w:r>
        <w:rPr>
          <w:rFonts w:hint="eastAsia" w:ascii="Times New Roman" w:hAnsi="Times New Roman" w:eastAsia="宋体" w:cs="Times New Roman"/>
          <w:spacing w:val="-34"/>
          <w:sz w:val="24"/>
          <w:szCs w:val="24"/>
          <w:lang w:eastAsia="zh-CN"/>
        </w:rPr>
        <w:t>）</w:t>
      </w:r>
      <w:r>
        <w:rPr>
          <w:rFonts w:ascii="宋体" w:hAnsi="宋体" w:eastAsia="宋体" w:cs="宋体"/>
          <w:spacing w:val="-5"/>
          <w:sz w:val="24"/>
          <w:szCs w:val="24"/>
        </w:rPr>
        <w:t>施工期噪声环境影响</w:t>
      </w:r>
    </w:p>
    <w:p>
      <w:pPr>
        <w:spacing w:before="213" w:line="384" w:lineRule="auto"/>
        <w:ind w:left="126" w:right="113" w:firstLine="480"/>
        <w:rPr>
          <w:rFonts w:ascii="宋体" w:hAnsi="宋体" w:eastAsia="宋体" w:cs="宋体"/>
          <w:sz w:val="24"/>
          <w:szCs w:val="24"/>
        </w:rPr>
      </w:pPr>
      <w:r>
        <w:rPr>
          <w:rFonts w:ascii="宋体" w:hAnsi="宋体" w:eastAsia="宋体" w:cs="宋体"/>
          <w:spacing w:val="2"/>
          <w:sz w:val="24"/>
          <w:szCs w:val="24"/>
        </w:rPr>
        <w:t>项目施工期噪声主要来源于施工机械噪声和运输车辆噪声。在施工过程中，由</w:t>
      </w:r>
      <w:r>
        <w:rPr>
          <w:rFonts w:ascii="宋体" w:hAnsi="宋体" w:eastAsia="宋体" w:cs="宋体"/>
          <w:spacing w:val="-1"/>
          <w:sz w:val="24"/>
          <w:szCs w:val="24"/>
        </w:rPr>
        <w:t>于各种施工机械设备的运转和各类车辆的运行，不可避免地将</w:t>
      </w:r>
      <w:r>
        <w:rPr>
          <w:rFonts w:ascii="宋体" w:hAnsi="宋体" w:eastAsia="宋体" w:cs="宋体"/>
          <w:spacing w:val="-2"/>
          <w:sz w:val="24"/>
          <w:szCs w:val="24"/>
        </w:rPr>
        <w:t>产生噪声污染。根据调查本项目的主要噪声源如下表</w:t>
      </w:r>
      <w:r>
        <w:rPr>
          <w:rFonts w:ascii="Times New Roman" w:hAnsi="Times New Roman" w:eastAsia="Times New Roman" w:cs="Times New Roman"/>
          <w:spacing w:val="-2"/>
          <w:sz w:val="24"/>
          <w:szCs w:val="24"/>
        </w:rPr>
        <w:t>5-3</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95" w:line="219" w:lineRule="auto"/>
        <w:ind w:left="2971"/>
        <w:textAlignment w:val="baseline"/>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1"/>
          <w:sz w:val="24"/>
          <w:szCs w:val="24"/>
        </w:rPr>
        <w:t xml:space="preserve">5-3        </w:t>
      </w:r>
      <w:r>
        <w:rPr>
          <w:rFonts w:ascii="宋体" w:hAnsi="宋体" w:eastAsia="宋体" w:cs="宋体"/>
          <w:spacing w:val="-1"/>
          <w:sz w:val="24"/>
          <w:szCs w:val="24"/>
          <w14:textOutline w14:w="4358" w14:cap="sq" w14:cmpd="sng">
            <w14:solidFill>
              <w14:srgbClr w14:val="000000"/>
            </w14:solidFill>
            <w14:prstDash w14:val="solid"/>
            <w14:bevel/>
          </w14:textOutline>
        </w:rPr>
        <w:t>施工机械噪声源一览表</w:t>
      </w:r>
    </w:p>
    <w:tbl>
      <w:tblPr>
        <w:tblStyle w:val="24"/>
        <w:tblW w:w="8740" w:type="dxa"/>
        <w:jc w:val="center"/>
        <w:tblInd w:w="0" w:type="dxa"/>
        <w:tblBorders>
          <w:top w:val="single" w:color="000000" w:sz="12" w:space="0"/>
          <w:left w:val="single" w:color="000000" w:sz="12" w:space="0"/>
          <w:bottom w:val="single" w:color="000000" w:sz="1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4199"/>
        <w:gridCol w:w="4541"/>
      </w:tblGrid>
      <w:tr>
        <w:tblPrEx>
          <w:tblBorders>
            <w:top w:val="single" w:color="000000" w:sz="12" w:space="0"/>
            <w:left w:val="single" w:color="000000" w:sz="12" w:space="0"/>
            <w:bottom w:val="single" w:color="000000" w:sz="1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4199" w:type="dxa"/>
            <w:tcBorders>
              <w:tl2br w:val="nil"/>
              <w:tr2bl w:val="nil"/>
            </w:tcBorders>
            <w:vAlign w:val="top"/>
          </w:tcPr>
          <w:p>
            <w:pPr>
              <w:pStyle w:val="25"/>
              <w:spacing w:before="56" w:line="228" w:lineRule="auto"/>
              <w:ind w:left="1952"/>
            </w:pPr>
            <w:r>
              <w:rPr>
                <w:spacing w:val="2"/>
              </w:rPr>
              <w:t>声源</w:t>
            </w:r>
          </w:p>
        </w:tc>
        <w:tc>
          <w:tcPr>
            <w:tcW w:w="4541" w:type="dxa"/>
            <w:tcBorders>
              <w:tl2br w:val="nil"/>
              <w:tr2bl w:val="nil"/>
            </w:tcBorders>
            <w:vAlign w:val="top"/>
          </w:tcPr>
          <w:p>
            <w:pPr>
              <w:pStyle w:val="25"/>
              <w:spacing w:before="56" w:line="221" w:lineRule="auto"/>
              <w:ind w:left="1598"/>
              <w:rPr>
                <w:rFonts w:ascii="Times New Roman" w:hAnsi="Times New Roman" w:eastAsia="Times New Roman" w:cs="Times New Roman"/>
              </w:rPr>
            </w:pPr>
            <w:r>
              <w:rPr>
                <w:spacing w:val="6"/>
              </w:rPr>
              <w:t>噪声源强</w:t>
            </w:r>
            <w:r>
              <w:rPr>
                <w:rFonts w:ascii="Times New Roman" w:hAnsi="Times New Roman" w:eastAsia="Times New Roman" w:cs="Times New Roman"/>
              </w:rPr>
              <w:t>dB</w:t>
            </w:r>
            <w:r>
              <w:rPr>
                <w:rFonts w:ascii="Times New Roman" w:hAnsi="Times New Roman" w:eastAsia="Times New Roman" w:cs="Times New Roman"/>
                <w:spacing w:val="6"/>
              </w:rPr>
              <w:t>(A)</w:t>
            </w:r>
          </w:p>
        </w:tc>
      </w:tr>
      <w:tr>
        <w:tblPrEx>
          <w:tblBorders>
            <w:top w:val="single" w:color="000000" w:sz="12" w:space="0"/>
            <w:left w:val="single" w:color="000000" w:sz="12" w:space="0"/>
            <w:bottom w:val="single" w:color="000000" w:sz="1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4199" w:type="dxa"/>
            <w:tcBorders>
              <w:tl2br w:val="nil"/>
              <w:tr2bl w:val="nil"/>
            </w:tcBorders>
            <w:vAlign w:val="top"/>
          </w:tcPr>
          <w:p>
            <w:pPr>
              <w:pStyle w:val="25"/>
              <w:spacing w:before="51" w:line="227" w:lineRule="auto"/>
              <w:ind w:left="1842"/>
            </w:pPr>
            <w:r>
              <w:rPr>
                <w:spacing w:val="6"/>
              </w:rPr>
              <w:t>装载机</w:t>
            </w:r>
          </w:p>
        </w:tc>
        <w:tc>
          <w:tcPr>
            <w:tcW w:w="4541" w:type="dxa"/>
            <w:tcBorders>
              <w:tl2br w:val="nil"/>
              <w:tr2bl w:val="nil"/>
            </w:tcBorders>
            <w:vAlign w:val="top"/>
          </w:tcPr>
          <w:p>
            <w:pPr>
              <w:spacing w:before="87" w:line="195" w:lineRule="auto"/>
              <w:ind w:left="2224"/>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r>
      <w:tr>
        <w:tblPrEx>
          <w:tblBorders>
            <w:top w:val="single" w:color="000000" w:sz="12" w:space="0"/>
            <w:left w:val="single" w:color="000000" w:sz="12" w:space="0"/>
            <w:bottom w:val="single" w:color="000000" w:sz="1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4199" w:type="dxa"/>
            <w:tcBorders>
              <w:tl2br w:val="nil"/>
              <w:tr2bl w:val="nil"/>
            </w:tcBorders>
            <w:vAlign w:val="top"/>
          </w:tcPr>
          <w:p>
            <w:pPr>
              <w:pStyle w:val="25"/>
              <w:spacing w:before="52" w:line="227" w:lineRule="auto"/>
              <w:ind w:left="1841"/>
            </w:pPr>
            <w:r>
              <w:rPr>
                <w:spacing w:val="7"/>
              </w:rPr>
              <w:t>挖掘机</w:t>
            </w:r>
          </w:p>
        </w:tc>
        <w:tc>
          <w:tcPr>
            <w:tcW w:w="4541" w:type="dxa"/>
            <w:tcBorders>
              <w:tl2br w:val="nil"/>
              <w:tr2bl w:val="nil"/>
            </w:tcBorders>
            <w:vAlign w:val="top"/>
          </w:tcPr>
          <w:p>
            <w:pPr>
              <w:spacing w:before="88" w:line="195" w:lineRule="auto"/>
              <w:ind w:left="2224"/>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r>
      <w:tr>
        <w:tblPrEx>
          <w:tblBorders>
            <w:top w:val="single" w:color="000000" w:sz="12" w:space="0"/>
            <w:left w:val="single" w:color="000000" w:sz="12" w:space="0"/>
            <w:bottom w:val="single" w:color="000000" w:sz="1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4199" w:type="dxa"/>
            <w:tcBorders>
              <w:tl2br w:val="nil"/>
              <w:tr2bl w:val="nil"/>
            </w:tcBorders>
            <w:vAlign w:val="top"/>
          </w:tcPr>
          <w:p>
            <w:pPr>
              <w:pStyle w:val="25"/>
              <w:spacing w:before="55" w:line="227" w:lineRule="auto"/>
              <w:ind w:left="1842"/>
            </w:pPr>
            <w:r>
              <w:rPr>
                <w:spacing w:val="6"/>
              </w:rPr>
              <w:t>推土机</w:t>
            </w:r>
          </w:p>
        </w:tc>
        <w:tc>
          <w:tcPr>
            <w:tcW w:w="4541" w:type="dxa"/>
            <w:tcBorders>
              <w:tl2br w:val="nil"/>
              <w:tr2bl w:val="nil"/>
            </w:tcBorders>
            <w:vAlign w:val="top"/>
          </w:tcPr>
          <w:p>
            <w:pPr>
              <w:spacing w:before="91" w:line="195" w:lineRule="auto"/>
              <w:ind w:left="2224"/>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tblPrEx>
          <w:tblBorders>
            <w:top w:val="single" w:color="000000" w:sz="12" w:space="0"/>
            <w:left w:val="single" w:color="000000" w:sz="12" w:space="0"/>
            <w:bottom w:val="single" w:color="000000" w:sz="1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4199" w:type="dxa"/>
            <w:tcBorders>
              <w:tl2br w:val="nil"/>
              <w:tr2bl w:val="nil"/>
            </w:tcBorders>
            <w:vAlign w:val="top"/>
          </w:tcPr>
          <w:p>
            <w:pPr>
              <w:pStyle w:val="25"/>
              <w:spacing w:before="55" w:line="230" w:lineRule="auto"/>
              <w:ind w:left="1972"/>
            </w:pPr>
            <w:r>
              <w:rPr>
                <w:spacing w:val="-8"/>
              </w:rPr>
              <w:t>电锯</w:t>
            </w:r>
          </w:p>
        </w:tc>
        <w:tc>
          <w:tcPr>
            <w:tcW w:w="4541" w:type="dxa"/>
            <w:tcBorders>
              <w:tl2br w:val="nil"/>
              <w:tr2bl w:val="nil"/>
            </w:tcBorders>
            <w:vAlign w:val="top"/>
          </w:tcPr>
          <w:p>
            <w:pPr>
              <w:spacing w:before="91" w:line="195" w:lineRule="auto"/>
              <w:ind w:left="2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tblPrEx>
          <w:tblBorders>
            <w:top w:val="single" w:color="000000" w:sz="12" w:space="0"/>
            <w:left w:val="single" w:color="000000" w:sz="12" w:space="0"/>
            <w:bottom w:val="single" w:color="000000" w:sz="1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4199" w:type="dxa"/>
            <w:tcBorders>
              <w:tl2br w:val="nil"/>
              <w:tr2bl w:val="nil"/>
            </w:tcBorders>
            <w:vAlign w:val="top"/>
          </w:tcPr>
          <w:p>
            <w:pPr>
              <w:pStyle w:val="25"/>
              <w:spacing w:before="56" w:line="233" w:lineRule="auto"/>
              <w:ind w:left="1972"/>
            </w:pPr>
            <w:r>
              <w:rPr>
                <w:spacing w:val="-8"/>
              </w:rPr>
              <w:t>电锤</w:t>
            </w:r>
          </w:p>
        </w:tc>
        <w:tc>
          <w:tcPr>
            <w:tcW w:w="4541" w:type="dxa"/>
            <w:tcBorders>
              <w:tl2br w:val="nil"/>
              <w:tr2bl w:val="nil"/>
            </w:tcBorders>
            <w:vAlign w:val="top"/>
          </w:tcPr>
          <w:p>
            <w:pPr>
              <w:spacing w:before="92" w:line="195" w:lineRule="auto"/>
              <w:ind w:left="2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tblPrEx>
          <w:tblBorders>
            <w:top w:val="single" w:color="000000" w:sz="12" w:space="0"/>
            <w:left w:val="single" w:color="000000" w:sz="12" w:space="0"/>
            <w:bottom w:val="single" w:color="000000" w:sz="1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4199" w:type="dxa"/>
            <w:tcBorders>
              <w:tl2br w:val="nil"/>
              <w:tr2bl w:val="nil"/>
            </w:tcBorders>
            <w:vAlign w:val="top"/>
          </w:tcPr>
          <w:p>
            <w:pPr>
              <w:pStyle w:val="25"/>
              <w:spacing w:before="56" w:line="231" w:lineRule="auto"/>
              <w:ind w:left="1972"/>
            </w:pPr>
            <w:r>
              <w:rPr>
                <w:spacing w:val="-8"/>
              </w:rPr>
              <w:t>电刨</w:t>
            </w:r>
          </w:p>
        </w:tc>
        <w:tc>
          <w:tcPr>
            <w:tcW w:w="4541" w:type="dxa"/>
            <w:tcBorders>
              <w:tl2br w:val="nil"/>
              <w:tr2bl w:val="nil"/>
            </w:tcBorders>
            <w:vAlign w:val="top"/>
          </w:tcPr>
          <w:p>
            <w:pPr>
              <w:spacing w:before="92" w:line="195" w:lineRule="auto"/>
              <w:ind w:left="2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bl>
    <w:p>
      <w:pPr>
        <w:spacing w:before="131" w:line="383" w:lineRule="auto"/>
        <w:ind w:left="125" w:right="113" w:firstLine="476"/>
        <w:jc w:val="both"/>
        <w:rPr>
          <w:rFonts w:ascii="宋体" w:hAnsi="宋体" w:eastAsia="宋体" w:cs="宋体"/>
          <w:sz w:val="24"/>
          <w:szCs w:val="24"/>
        </w:rPr>
      </w:pPr>
      <w:r>
        <w:rPr>
          <w:rFonts w:ascii="宋体" w:hAnsi="宋体" w:eastAsia="宋体" w:cs="宋体"/>
          <w:spacing w:val="2"/>
          <w:sz w:val="24"/>
          <w:szCs w:val="24"/>
        </w:rPr>
        <w:t>施工中使用的各种施工机械、运输车辆等都是噪声的产生源。假设所有设备均</w:t>
      </w:r>
      <w:r>
        <w:rPr>
          <w:rFonts w:ascii="宋体" w:hAnsi="宋体" w:eastAsia="宋体" w:cs="宋体"/>
          <w:spacing w:val="11"/>
          <w:sz w:val="24"/>
          <w:szCs w:val="24"/>
        </w:rPr>
        <w:t xml:space="preserve"> </w:t>
      </w:r>
      <w:r>
        <w:rPr>
          <w:rFonts w:ascii="宋体" w:hAnsi="宋体" w:eastAsia="宋体" w:cs="宋体"/>
          <w:spacing w:val="2"/>
          <w:sz w:val="24"/>
          <w:szCs w:val="24"/>
        </w:rPr>
        <w:t>为稳态连续发声状态，在不考虑任何声屏障情况下，各设备采用最大噪声值进行预</w:t>
      </w:r>
      <w:r>
        <w:rPr>
          <w:rFonts w:ascii="宋体" w:hAnsi="宋体" w:eastAsia="宋体" w:cs="宋体"/>
          <w:spacing w:val="-1"/>
          <w:sz w:val="24"/>
          <w:szCs w:val="24"/>
        </w:rPr>
        <w:t>测，根据声环境导则无指向性点源几何发散衰减模式：</w:t>
      </w:r>
    </w:p>
    <w:p>
      <w:pPr>
        <w:spacing w:before="240" w:line="631" w:lineRule="exact"/>
        <w:ind w:firstLine="2708"/>
      </w:pPr>
      <w:r>
        <w:rPr>
          <w:position w:val="-12"/>
        </w:rPr>
        <w:drawing>
          <wp:inline distT="0" distB="0" distL="0" distR="0">
            <wp:extent cx="2247900" cy="400685"/>
            <wp:effectExtent l="0" t="0" r="0" b="18415"/>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39"/>
                    <a:stretch>
                      <a:fillRect/>
                    </a:stretch>
                  </pic:blipFill>
                  <pic:spPr>
                    <a:xfrm>
                      <a:off x="0" y="0"/>
                      <a:ext cx="2247900" cy="400811"/>
                    </a:xfrm>
                    <a:prstGeom prst="rect">
                      <a:avLst/>
                    </a:prstGeom>
                  </pic:spPr>
                </pic:pic>
              </a:graphicData>
            </a:graphic>
          </wp:inline>
        </w:drawing>
      </w:r>
    </w:p>
    <w:p>
      <w:pPr>
        <w:spacing w:before="279" w:line="220" w:lineRule="auto"/>
        <w:ind w:left="607"/>
        <w:rPr>
          <w:rFonts w:ascii="宋体" w:hAnsi="宋体" w:eastAsia="宋体" w:cs="宋体"/>
          <w:sz w:val="24"/>
          <w:szCs w:val="24"/>
        </w:rPr>
      </w:pPr>
      <w:r>
        <w:rPr>
          <w:rFonts w:ascii="宋体" w:hAnsi="宋体" w:eastAsia="宋体" w:cs="宋体"/>
          <w:spacing w:val="-5"/>
          <w:sz w:val="24"/>
          <w:szCs w:val="24"/>
        </w:rPr>
        <w:t>式中：</w:t>
      </w:r>
    </w:p>
    <w:p>
      <w:pPr>
        <w:spacing w:before="213" w:line="502" w:lineRule="exact"/>
        <w:ind w:left="598"/>
        <w:rPr>
          <w:rFonts w:ascii="Times New Roman" w:hAnsi="Times New Roman" w:eastAsia="Times New Roman" w:cs="Times New Roman"/>
          <w:sz w:val="24"/>
          <w:szCs w:val="24"/>
        </w:rPr>
      </w:pPr>
      <w:r>
        <w:rPr>
          <w:rFonts w:ascii="Times New Roman" w:hAnsi="Times New Roman" w:eastAsia="Times New Roman" w:cs="Times New Roman"/>
          <w:spacing w:val="-1"/>
          <w:position w:val="20"/>
          <w:sz w:val="24"/>
          <w:szCs w:val="24"/>
        </w:rPr>
        <w:t>Lp(r)——</w:t>
      </w:r>
      <w:r>
        <w:rPr>
          <w:rFonts w:ascii="宋体" w:hAnsi="宋体" w:eastAsia="宋体" w:cs="宋体"/>
          <w:spacing w:val="-1"/>
          <w:position w:val="20"/>
          <w:sz w:val="24"/>
          <w:szCs w:val="24"/>
        </w:rPr>
        <w:t>距声源</w:t>
      </w:r>
      <w:r>
        <w:rPr>
          <w:rFonts w:ascii="宋体" w:hAnsi="宋体" w:eastAsia="宋体" w:cs="宋体"/>
          <w:spacing w:val="-48"/>
          <w:position w:val="20"/>
          <w:sz w:val="24"/>
          <w:szCs w:val="24"/>
        </w:rPr>
        <w:t xml:space="preserve"> </w:t>
      </w:r>
      <w:r>
        <w:rPr>
          <w:rFonts w:ascii="Times New Roman" w:hAnsi="Times New Roman" w:eastAsia="Times New Roman" w:cs="Times New Roman"/>
          <w:spacing w:val="-1"/>
          <w:position w:val="20"/>
          <w:sz w:val="24"/>
          <w:szCs w:val="24"/>
        </w:rPr>
        <w:t xml:space="preserve">r </w:t>
      </w:r>
      <w:r>
        <w:rPr>
          <w:rFonts w:ascii="宋体" w:hAnsi="宋体" w:eastAsia="宋体" w:cs="宋体"/>
          <w:spacing w:val="-1"/>
          <w:position w:val="20"/>
          <w:sz w:val="24"/>
          <w:szCs w:val="24"/>
        </w:rPr>
        <w:t>处的</w:t>
      </w:r>
      <w:r>
        <w:rPr>
          <w:rFonts w:ascii="宋体" w:hAnsi="宋体" w:eastAsia="宋体" w:cs="宋体"/>
          <w:spacing w:val="-58"/>
          <w:position w:val="20"/>
          <w:sz w:val="24"/>
          <w:szCs w:val="24"/>
        </w:rPr>
        <w:t xml:space="preserve"> </w:t>
      </w:r>
      <w:r>
        <w:rPr>
          <w:rFonts w:ascii="Times New Roman" w:hAnsi="Times New Roman" w:eastAsia="Times New Roman" w:cs="Times New Roman"/>
          <w:spacing w:val="-1"/>
          <w:position w:val="20"/>
          <w:sz w:val="24"/>
          <w:szCs w:val="24"/>
        </w:rPr>
        <w:t xml:space="preserve">A </w:t>
      </w:r>
      <w:r>
        <w:rPr>
          <w:rFonts w:ascii="宋体" w:hAnsi="宋体" w:eastAsia="宋体" w:cs="宋体"/>
          <w:spacing w:val="-1"/>
          <w:position w:val="20"/>
          <w:sz w:val="24"/>
          <w:szCs w:val="24"/>
        </w:rPr>
        <w:t>声级，</w:t>
      </w:r>
      <w:r>
        <w:rPr>
          <w:rFonts w:ascii="Times New Roman" w:hAnsi="Times New Roman" w:eastAsia="Times New Roman" w:cs="Times New Roman"/>
          <w:spacing w:val="-1"/>
          <w:position w:val="20"/>
          <w:sz w:val="24"/>
          <w:szCs w:val="24"/>
        </w:rPr>
        <w:t>dB</w:t>
      </w:r>
    </w:p>
    <w:p>
      <w:pPr>
        <w:spacing w:line="210" w:lineRule="auto"/>
        <w:ind w:left="59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Lp</w:t>
      </w:r>
      <w:r>
        <w:rPr>
          <w:rFonts w:ascii="宋体" w:hAnsi="宋体" w:eastAsia="宋体" w:cs="宋体"/>
          <w:spacing w:val="-1"/>
          <w:sz w:val="24"/>
          <w:szCs w:val="24"/>
        </w:rPr>
        <w:t>（</w:t>
      </w:r>
      <w:r>
        <w:rPr>
          <w:rFonts w:ascii="Times New Roman" w:hAnsi="Times New Roman" w:eastAsia="Times New Roman" w:cs="Times New Roman"/>
          <w:spacing w:val="-1"/>
          <w:sz w:val="24"/>
          <w:szCs w:val="24"/>
        </w:rPr>
        <w:t>r0</w:t>
      </w:r>
      <w:r>
        <w:rPr>
          <w:rFonts w:ascii="宋体" w:hAnsi="宋体" w:eastAsia="宋体" w:cs="宋体"/>
          <w:spacing w:val="-1"/>
          <w:sz w:val="24"/>
          <w:szCs w:val="24"/>
        </w:rPr>
        <w:t>）</w:t>
      </w:r>
      <w:r>
        <w:rPr>
          <w:rFonts w:ascii="Times New Roman" w:hAnsi="Times New Roman" w:eastAsia="Times New Roman" w:cs="Times New Roman"/>
          <w:spacing w:val="-1"/>
          <w:sz w:val="24"/>
          <w:szCs w:val="24"/>
        </w:rPr>
        <w:t>——</w:t>
      </w:r>
      <w:r>
        <w:rPr>
          <w:rFonts w:ascii="宋体" w:hAnsi="宋体" w:eastAsia="宋体" w:cs="宋体"/>
          <w:spacing w:val="-1"/>
          <w:sz w:val="24"/>
          <w:szCs w:val="24"/>
        </w:rPr>
        <w:t>声源噪声功率级，</w:t>
      </w:r>
      <w:r>
        <w:rPr>
          <w:rFonts w:ascii="Times New Roman" w:hAnsi="Times New Roman" w:eastAsia="Times New Roman" w:cs="Times New Roman"/>
          <w:spacing w:val="-1"/>
          <w:sz w:val="24"/>
          <w:szCs w:val="24"/>
        </w:rPr>
        <w:t>dB</w:t>
      </w:r>
    </w:p>
    <w:p>
      <w:pPr>
        <w:spacing w:before="226" w:line="220" w:lineRule="auto"/>
        <w:ind w:left="5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r ——</w:t>
      </w:r>
      <w:r>
        <w:rPr>
          <w:rFonts w:ascii="宋体" w:hAnsi="宋体" w:eastAsia="宋体" w:cs="宋体"/>
          <w:spacing w:val="-1"/>
          <w:sz w:val="24"/>
          <w:szCs w:val="24"/>
        </w:rPr>
        <w:t>受声点与声源距离，</w:t>
      </w:r>
      <w:r>
        <w:rPr>
          <w:rFonts w:ascii="Times New Roman" w:hAnsi="Times New Roman" w:eastAsia="Times New Roman" w:cs="Times New Roman"/>
          <w:spacing w:val="-1"/>
          <w:sz w:val="24"/>
          <w:szCs w:val="24"/>
        </w:rPr>
        <w:t>m</w:t>
      </w:r>
    </w:p>
    <w:p>
      <w:pPr>
        <w:spacing w:before="211" w:line="220" w:lineRule="auto"/>
        <w:ind w:left="615"/>
        <w:rPr>
          <w:rFonts w:ascii="宋体" w:hAnsi="宋体" w:eastAsia="宋体" w:cs="宋体"/>
          <w:sz w:val="24"/>
          <w:szCs w:val="24"/>
        </w:rPr>
      </w:pPr>
      <w:r>
        <w:rPr>
          <w:rFonts w:ascii="宋体" w:hAnsi="宋体" w:eastAsia="宋体" w:cs="宋体"/>
          <w:spacing w:val="-2"/>
          <w:sz w:val="24"/>
          <w:szCs w:val="24"/>
        </w:rPr>
        <w:t>点声源距离衰减情况如下表所示：</w:t>
      </w:r>
    </w:p>
    <w:p>
      <w:pPr>
        <w:spacing w:before="213" w:line="220" w:lineRule="auto"/>
        <w:ind w:left="3090"/>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 xml:space="preserve">5-4        </w:t>
      </w:r>
      <w:r>
        <w:rPr>
          <w:rFonts w:ascii="宋体" w:hAnsi="宋体" w:eastAsia="宋体" w:cs="宋体"/>
          <w:spacing w:val="-1"/>
          <w:sz w:val="24"/>
          <w:szCs w:val="24"/>
          <w14:textOutline w14:w="4358" w14:cap="sq" w14:cmpd="sng">
            <w14:solidFill>
              <w14:srgbClr w14:val="000000"/>
            </w14:solidFill>
            <w14:prstDash w14:val="solid"/>
            <w14:bevel/>
          </w14:textOutline>
        </w:rPr>
        <w:t>点声源距离衰减情况</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815"/>
        <w:gridCol w:w="715"/>
        <w:gridCol w:w="794"/>
        <w:gridCol w:w="819"/>
        <w:gridCol w:w="819"/>
        <w:gridCol w:w="819"/>
        <w:gridCol w:w="819"/>
        <w:gridCol w:w="820"/>
        <w:gridCol w:w="820"/>
        <w:gridCol w:w="82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886" w:type="dxa"/>
            <w:tcBorders>
              <w:tl2br w:val="nil"/>
              <w:tr2bl w:val="nil"/>
            </w:tcBorders>
            <w:vAlign w:val="top"/>
          </w:tcPr>
          <w:p>
            <w:pPr>
              <w:pStyle w:val="25"/>
              <w:spacing w:before="55" w:line="231" w:lineRule="auto"/>
              <w:ind w:left="238"/>
            </w:pPr>
            <w:r>
              <w:rPr>
                <w:spacing w:val="5"/>
              </w:rPr>
              <w:t>源强</w:t>
            </w:r>
          </w:p>
        </w:tc>
        <w:tc>
          <w:tcPr>
            <w:tcW w:w="8064" w:type="dxa"/>
            <w:gridSpan w:val="10"/>
            <w:tcBorders>
              <w:tl2br w:val="nil"/>
              <w:tr2bl w:val="nil"/>
            </w:tcBorders>
            <w:vAlign w:val="top"/>
          </w:tcPr>
          <w:p>
            <w:pPr>
              <w:pStyle w:val="25"/>
              <w:spacing w:before="56" w:line="234" w:lineRule="auto"/>
              <w:ind w:left="3485"/>
            </w:pPr>
            <w:r>
              <w:rPr>
                <w:rFonts w:ascii="Times New Roman" w:hAnsi="Times New Roman" w:eastAsia="Times New Roman" w:cs="Times New Roman"/>
                <w:spacing w:val="3"/>
              </w:rPr>
              <w:t>100</w:t>
            </w:r>
            <w:r>
              <w:rPr>
                <w:rFonts w:ascii="Times New Roman" w:hAnsi="Times New Roman" w:eastAsia="Times New Roman" w:cs="Times New Roman"/>
              </w:rPr>
              <w:t>dB</w:t>
            </w:r>
            <w:r>
              <w:rPr>
                <w:spacing w:val="3"/>
              </w:rPr>
              <w:t>（</w:t>
            </w:r>
            <w:r>
              <w:rPr>
                <w:rFonts w:ascii="Times New Roman" w:hAnsi="Times New Roman" w:eastAsia="Times New Roman" w:cs="Times New Roman"/>
                <w:spacing w:val="3"/>
              </w:rPr>
              <w:t>A</w:t>
            </w:r>
            <w:r>
              <w:rPr>
                <w:spacing w:val="3"/>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886" w:type="dxa"/>
            <w:tcBorders>
              <w:tl2br w:val="nil"/>
              <w:tr2bl w:val="nil"/>
            </w:tcBorders>
            <w:vAlign w:val="top"/>
          </w:tcPr>
          <w:p>
            <w:pPr>
              <w:pStyle w:val="25"/>
              <w:spacing w:before="53" w:line="228" w:lineRule="auto"/>
              <w:ind w:left="238"/>
            </w:pPr>
            <w:r>
              <w:rPr>
                <w:spacing w:val="5"/>
              </w:rPr>
              <w:t>距离</w:t>
            </w:r>
          </w:p>
        </w:tc>
        <w:tc>
          <w:tcPr>
            <w:tcW w:w="815" w:type="dxa"/>
            <w:tcBorders>
              <w:tl2br w:val="nil"/>
              <w:tr2bl w:val="nil"/>
            </w:tcBorders>
            <w:vAlign w:val="top"/>
          </w:tcPr>
          <w:p>
            <w:pPr>
              <w:spacing w:before="8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15" w:type="dxa"/>
            <w:tcBorders>
              <w:tl2br w:val="nil"/>
              <w:tr2bl w:val="nil"/>
            </w:tcBorders>
            <w:vAlign w:val="top"/>
          </w:tcPr>
          <w:p>
            <w:pPr>
              <w:spacing w:before="8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94" w:type="dxa"/>
            <w:tcBorders>
              <w:tl2br w:val="nil"/>
              <w:tr2bl w:val="nil"/>
            </w:tcBorders>
            <w:vAlign w:val="top"/>
          </w:tcPr>
          <w:p>
            <w:pPr>
              <w:spacing w:before="8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819" w:type="dxa"/>
            <w:tcBorders>
              <w:tl2br w:val="nil"/>
              <w:tr2bl w:val="nil"/>
            </w:tcBorders>
            <w:vAlign w:val="top"/>
          </w:tcPr>
          <w:p>
            <w:pPr>
              <w:spacing w:before="8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819" w:type="dxa"/>
            <w:tcBorders>
              <w:tl2br w:val="nil"/>
              <w:tr2bl w:val="nil"/>
            </w:tcBorders>
            <w:vAlign w:val="top"/>
          </w:tcPr>
          <w:p>
            <w:pPr>
              <w:spacing w:before="8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819" w:type="dxa"/>
            <w:tcBorders>
              <w:tl2br w:val="nil"/>
              <w:tr2bl w:val="nil"/>
            </w:tcBorders>
            <w:vAlign w:val="top"/>
          </w:tcPr>
          <w:p>
            <w:pPr>
              <w:spacing w:before="8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19" w:type="dxa"/>
            <w:tcBorders>
              <w:tl2br w:val="nil"/>
              <w:tr2bl w:val="nil"/>
            </w:tcBorders>
            <w:vAlign w:val="top"/>
          </w:tcPr>
          <w:p>
            <w:pPr>
              <w:spacing w:before="8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820" w:type="dxa"/>
            <w:tcBorders>
              <w:tl2br w:val="nil"/>
              <w:tr2bl w:val="nil"/>
            </w:tcBorders>
            <w:vAlign w:val="top"/>
          </w:tcPr>
          <w:p>
            <w:pPr>
              <w:spacing w:before="8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820" w:type="dxa"/>
            <w:tcBorders>
              <w:tl2br w:val="nil"/>
              <w:tr2bl w:val="nil"/>
            </w:tcBorders>
            <w:vAlign w:val="top"/>
          </w:tcPr>
          <w:p>
            <w:pPr>
              <w:spacing w:before="8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824" w:type="dxa"/>
            <w:tcBorders>
              <w:tl2br w:val="nil"/>
              <w:tr2bl w:val="nil"/>
            </w:tcBorders>
            <w:vAlign w:val="top"/>
          </w:tcPr>
          <w:p>
            <w:pPr>
              <w:spacing w:before="8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886" w:type="dxa"/>
            <w:tcBorders>
              <w:tl2br w:val="nil"/>
              <w:tr2bl w:val="nil"/>
            </w:tcBorders>
            <w:vAlign w:val="top"/>
          </w:tcPr>
          <w:p>
            <w:pPr>
              <w:pStyle w:val="25"/>
              <w:spacing w:before="53" w:line="228" w:lineRule="auto"/>
              <w:ind w:left="136"/>
            </w:pPr>
            <w:r>
              <w:rPr>
                <w:spacing w:val="6"/>
              </w:rPr>
              <w:t>贡献值</w:t>
            </w:r>
          </w:p>
        </w:tc>
        <w:tc>
          <w:tcPr>
            <w:tcW w:w="815" w:type="dxa"/>
            <w:tcBorders>
              <w:tl2br w:val="nil"/>
              <w:tr2bl w:val="nil"/>
            </w:tcBorders>
            <w:vAlign w:val="top"/>
          </w:tcPr>
          <w:p>
            <w:pPr>
              <w:spacing w:before="90"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70.45</w:t>
            </w:r>
          </w:p>
        </w:tc>
        <w:tc>
          <w:tcPr>
            <w:tcW w:w="715" w:type="dxa"/>
            <w:tcBorders>
              <w:tl2br w:val="nil"/>
              <w:tr2bl w:val="nil"/>
            </w:tcBorders>
            <w:vAlign w:val="top"/>
          </w:tcPr>
          <w:p>
            <w:pPr>
              <w:spacing w:before="90"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66.02</w:t>
            </w:r>
          </w:p>
        </w:tc>
        <w:tc>
          <w:tcPr>
            <w:tcW w:w="794" w:type="dxa"/>
            <w:tcBorders>
              <w:tl2br w:val="nil"/>
              <w:tr2bl w:val="nil"/>
            </w:tcBorders>
            <w:vAlign w:val="top"/>
          </w:tcPr>
          <w:p>
            <w:pPr>
              <w:spacing w:before="9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19" w:type="dxa"/>
            <w:tcBorders>
              <w:tl2br w:val="nil"/>
              <w:tr2bl w:val="nil"/>
            </w:tcBorders>
            <w:vAlign w:val="top"/>
          </w:tcPr>
          <w:p>
            <w:pPr>
              <w:spacing w:before="90"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56.48</w:t>
            </w:r>
          </w:p>
        </w:tc>
        <w:tc>
          <w:tcPr>
            <w:tcW w:w="819" w:type="dxa"/>
            <w:tcBorders>
              <w:tl2br w:val="nil"/>
              <w:tr2bl w:val="nil"/>
            </w:tcBorders>
            <w:vAlign w:val="top"/>
          </w:tcPr>
          <w:p>
            <w:pPr>
              <w:spacing w:before="90"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53.97</w:t>
            </w:r>
          </w:p>
        </w:tc>
        <w:tc>
          <w:tcPr>
            <w:tcW w:w="819" w:type="dxa"/>
            <w:tcBorders>
              <w:tl2br w:val="nil"/>
              <w:tr2bl w:val="nil"/>
            </w:tcBorders>
            <w:vAlign w:val="top"/>
          </w:tcPr>
          <w:p>
            <w:pPr>
              <w:spacing w:before="9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50.45</w:t>
            </w:r>
          </w:p>
        </w:tc>
        <w:tc>
          <w:tcPr>
            <w:tcW w:w="819" w:type="dxa"/>
            <w:tcBorders>
              <w:tl2br w:val="nil"/>
              <w:tr2bl w:val="nil"/>
            </w:tcBorders>
            <w:vAlign w:val="top"/>
          </w:tcPr>
          <w:p>
            <w:pPr>
              <w:spacing w:before="9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47.96</w:t>
            </w:r>
          </w:p>
        </w:tc>
        <w:tc>
          <w:tcPr>
            <w:tcW w:w="820" w:type="dxa"/>
            <w:tcBorders>
              <w:tl2br w:val="nil"/>
              <w:tr2bl w:val="nil"/>
            </w:tcBorders>
            <w:vAlign w:val="top"/>
          </w:tcPr>
          <w:p>
            <w:pPr>
              <w:spacing w:before="90"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46.02</w:t>
            </w:r>
          </w:p>
        </w:tc>
        <w:tc>
          <w:tcPr>
            <w:tcW w:w="820" w:type="dxa"/>
            <w:tcBorders>
              <w:tl2br w:val="nil"/>
              <w:tr2bl w:val="nil"/>
            </w:tcBorders>
            <w:vAlign w:val="top"/>
          </w:tcPr>
          <w:p>
            <w:pPr>
              <w:spacing w:before="9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44.43</w:t>
            </w:r>
          </w:p>
        </w:tc>
        <w:tc>
          <w:tcPr>
            <w:tcW w:w="824" w:type="dxa"/>
            <w:tcBorders>
              <w:tl2br w:val="nil"/>
              <w:tr2bl w:val="nil"/>
            </w:tcBorders>
            <w:vAlign w:val="top"/>
          </w:tcPr>
          <w:p>
            <w:pPr>
              <w:spacing w:before="9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43.09</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建筑施工场界环境噪声排放标准》（GB12523-2011）的规定，施工噪声控制在昼间70dB（A），夜间控制在55dB（A）。项目施工机械最大声功率级按100dB（A）计算，白天衰减至70dB（A）时需要满足的衰减距离为30m，夜间衰减至55dB（A）时需要满足的衰减距离为230m。</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在严格控制夜间不施工的前提下，采用低噪声设备、对设备进行隔声、减振处理，本项目施工期间产生的噪声不会对周围环境造成明显影响，其施工场界声环境可满足《建筑施工场界环境噪声排放标准》（GB12523-2011）要求，对区域声环境不会产生显著性不良影响。因生产工艺要求或者因特殊需要须昼 夜连续作业的，施工单位必须报环境保护行政主管部门审批，公告周边居民，并采 取有效措施，避免噪声扰民。未经批准，不得在夜间使用产生严重噪声污染的大型施工机具。施工现场夜间禁止使用电锯、风镐等高噪声设备。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为减轻施工期噪声对周边居民的影响，要求建设单位在施工期采取以下相应措施：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首先从噪声源强进行控制：建设单位在与施工单位签订合同时，应要求其使用的主要机械设备为低噪声设备作为合同内容的一部分。尽量选低噪声液压施工机械替代气压机械。如采用液压挖掘机；不使用汽锤打桩机。采用长螺旋钻机；使用商品混凝土，不使用混凝土搅拌机。同时，高噪声设备合理布局，尽量布置于施工 场地西北侧，在高噪声设备周围设置屏障减轻噪声对周围环境的影响，控制施工场界噪声不超过《建筑施工场界环境噪声排放标准》(GB12523-2011)。</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在施工过程中施工单位应设专人对设备进行定期保养和维护，并负责对现场工作人员进行培训，严格按操作规范使用各类机械对动力机械设备定期进行维修和养护，避免因松动部件振动或消声器损坏而加大设备工作时的声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③合理布置施工现场，应尽量避免在施工现场的同一地点安排大量的高噪声设备，造成局部声级过高。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④将有固定工作地点的施工机械尽量设置在距西侧、北侧居民区较远的位置，同时尽量将其入棚操作，可适当建立声屏障，施工场地四周建2.5m高的围挡。</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⑤闲置不用的设备应立即关闭，运输车辆进入现场应减速慢行，并禁止各种车 辆在施工场地鸣笛、超载，施工现场设置限速、禁止鸣笛、超载的标志牌；禁止用哨子、高音喇叭等指挥作业，减少人为噪声。同时，合理安排施工过程，不得在午间12时至14时和夜间22时至次日6时从事打桩、搅拌或浇注混凝土等高噪声作业，夜间禁止使用高噪设备，若必须夜间施工时，须先向环保部门申报并征得许可，同时事先通知周围居民，以取得谅解。</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⑥产生振动的大型设备的底座安装减振器，通过基础减振来降低噪声影响。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⑦安装局部隔声罩和部分吸声结构，以降低高噪声设备噪声传播的强度，并通过车间隔声来降低噪声传播的强度。</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⑧完善生态绿地系统，建设噪声防护绿带，在临近道路侧加强绿化植树，建设护林带，建筑物积极进行垂直绿化，减少施工期噪声对周围环境的影响。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⑨建设单位应将施工噪声控制纳入施工承包内容，并在施工和工程监理过程中设置专门管理小组，专人负责管理，以确保噪声措施的实施。同时，经常派专人对施工人员进行环保法制宣传，保证施工单位严格遵守环评提出的环保要求，加强现场科学管理，做好施工人员的环境保护意识，提倡文明施工，降低人为因素造成的施工噪声加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施工单位要对现场施工人员进行严格管理，做到文明施工，将施工期噪声影响降到最低限度。同时安排专人负责对周围居民进行沟通调节工作，一旦发生噪声扰民现象应立即停止施工，并做好调解解释工作。尽量减少施工噪声对周围居民的影响，施工期的影响是暂时的，随着施工期的结束而消失，采取以上措施，其影响在可接受的范围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车辆运输噪声影响分析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本项目位于</w:t>
      </w:r>
      <w:r>
        <w:rPr>
          <w:rFonts w:hint="default" w:ascii="Times New Roman" w:hAnsi="Times New Roman" w:cs="Times New Roman"/>
          <w:sz w:val="24"/>
          <w:szCs w:val="24"/>
          <w:lang w:eastAsia="zh-CN"/>
        </w:rPr>
        <w:t>叶县马庄乡张庄村</w:t>
      </w:r>
      <w:r>
        <w:rPr>
          <w:rFonts w:hint="default" w:ascii="Times New Roman" w:hAnsi="Times New Roman" w:cs="Times New Roman"/>
          <w:sz w:val="24"/>
          <w:szCs w:val="24"/>
        </w:rPr>
        <w:t>，为了降低车辆交通噪声对运输道路两侧居民的噪声影响，运输道路路面要经常维护修补，汽车也应经常维修保养，维持良好的车况。据加利福利亚大学运输系统测定，依照速度限制，车速每降低40公里/小时，交通噪声水平可减少5dB（A）。需要注意的是不要设置减速带，因为这将造成车辆反复加减速，油门噪声变大，还会造成车辆颠簸，产生更刺耳的噪声。企业应对经常对运输车辆进行维修保养，维持其良好的车库，并派专人维护路面平整，在敏感点附近路段两端设置限速标准等措施，运输时段为昼间，严禁夜间运输，以最大限度的减轻交通噪声对沿线居民的影响。</w:t>
      </w:r>
    </w:p>
    <w:p>
      <w:pPr>
        <w:keepNext w:val="0"/>
        <w:keepLines w:val="0"/>
        <w:pageBreakBefore w:val="0"/>
        <w:widowControl/>
        <w:kinsoku w:val="0"/>
        <w:wordWrap/>
        <w:overflowPunct/>
        <w:topLinePunct w:val="0"/>
        <w:autoSpaceDE w:val="0"/>
        <w:autoSpaceDN w:val="0"/>
        <w:bidi w:val="0"/>
        <w:adjustRightInd w:val="0"/>
        <w:snapToGrid w:val="0"/>
        <w:spacing w:before="92" w:line="360" w:lineRule="auto"/>
        <w:textAlignment w:val="baseline"/>
        <w:outlineLvl w:val="3"/>
        <w:rPr>
          <w:rFonts w:ascii="楷体" w:hAnsi="楷体" w:eastAsia="楷体" w:cs="楷体"/>
          <w:sz w:val="28"/>
          <w:szCs w:val="28"/>
        </w:rPr>
      </w:pPr>
      <w:bookmarkStart w:id="338" w:name="bookmark90"/>
      <w:bookmarkEnd w:id="338"/>
      <w:r>
        <w:rPr>
          <w:rFonts w:ascii="Times New Roman" w:hAnsi="Times New Roman" w:eastAsia="Times New Roman" w:cs="Times New Roman"/>
          <w:spacing w:val="-1"/>
          <w:sz w:val="28"/>
          <w:szCs w:val="28"/>
        </w:rPr>
        <w:t>5.1.4</w:t>
      </w:r>
      <w:r>
        <w:rPr>
          <w:rFonts w:ascii="楷体" w:hAnsi="楷体" w:eastAsia="楷体" w:cs="楷体"/>
          <w:spacing w:val="-1"/>
          <w:sz w:val="28"/>
          <w:szCs w:val="28"/>
        </w:rPr>
        <w:t>施工期固体废物影响分析</w:t>
      </w:r>
    </w:p>
    <w:p>
      <w:pPr>
        <w:keepNext w:val="0"/>
        <w:keepLines w:val="0"/>
        <w:pageBreakBefore w:val="0"/>
        <w:widowControl/>
        <w:kinsoku w:val="0"/>
        <w:wordWrap/>
        <w:overflowPunct/>
        <w:topLinePunct w:val="0"/>
        <w:autoSpaceDE w:val="0"/>
        <w:autoSpaceDN w:val="0"/>
        <w:bidi w:val="0"/>
        <w:adjustRightInd w:val="0"/>
        <w:snapToGrid w:val="0"/>
        <w:spacing w:before="40" w:line="360" w:lineRule="auto"/>
        <w:ind w:left="0" w:firstLine="476"/>
        <w:textAlignment w:val="baseline"/>
        <w:rPr>
          <w:rFonts w:ascii="宋体" w:hAnsi="宋体" w:eastAsia="宋体" w:cs="宋体"/>
          <w:sz w:val="24"/>
          <w:szCs w:val="24"/>
        </w:rPr>
      </w:pPr>
      <w:r>
        <w:rPr>
          <w:rFonts w:ascii="宋体" w:hAnsi="宋体" w:eastAsia="宋体" w:cs="宋体"/>
          <w:spacing w:val="2"/>
          <w:sz w:val="24"/>
          <w:szCs w:val="24"/>
        </w:rPr>
        <w:t>施工期间，产生的固体废物主要有：施工产生的废弃物料等建筑垃圾，建筑垃</w:t>
      </w:r>
      <w:r>
        <w:rPr>
          <w:rFonts w:ascii="宋体" w:hAnsi="宋体" w:eastAsia="宋体" w:cs="宋体"/>
          <w:spacing w:val="11"/>
          <w:sz w:val="24"/>
          <w:szCs w:val="24"/>
        </w:rPr>
        <w:t xml:space="preserve"> </w:t>
      </w:r>
      <w:r>
        <w:rPr>
          <w:rFonts w:ascii="宋体" w:hAnsi="宋体" w:eastAsia="宋体" w:cs="宋体"/>
          <w:spacing w:val="2"/>
          <w:sz w:val="24"/>
          <w:szCs w:val="24"/>
        </w:rPr>
        <w:t>圾主要是一些包装袋、包装箱、碎木块、废水泥、浇注件等；施工人员产生的生活</w:t>
      </w:r>
    </w:p>
    <w:p>
      <w:pPr>
        <w:spacing w:line="219" w:lineRule="auto"/>
        <w:ind w:left="2"/>
        <w:rPr>
          <w:rFonts w:ascii="宋体" w:hAnsi="宋体" w:eastAsia="宋体" w:cs="宋体"/>
          <w:sz w:val="24"/>
          <w:szCs w:val="24"/>
        </w:rPr>
      </w:pPr>
      <w:r>
        <w:rPr>
          <w:rFonts w:ascii="宋体" w:hAnsi="宋体" w:eastAsia="宋体" w:cs="宋体"/>
          <w:spacing w:val="-3"/>
          <w:sz w:val="24"/>
          <w:szCs w:val="24"/>
        </w:rPr>
        <w:t>垃圾等。</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施工单位应按照国家有关建筑垃圾处置管理的规定，及时清运至指定的堆放场所。在施工期固体废物的处置过程中，采取如下管理措施：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（1）根据需要设置容量足够的和有覆盖措施的堆放场地和设施，分类存放，加强管理。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（2）须外运的建筑废料应运至专门的建筑垃圾堆放场。生活垃圾应及时由环卫部门统一处置。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（3）在工程竣工以后，施工单位应同时拆除各种临时施工设施，并负责将工地 的剩余建筑垃圾处理干净，做到“工完、料尽、场地清 ”。建设单位应负责督促施工单位的固体废物处置清理工作。</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综上所述，只要加强管理，并采取相应措施，施工期固体废弃物对环境的不利影响是可以缓解或消除的。</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sz w:val="28"/>
          <w:szCs w:val="28"/>
        </w:rPr>
      </w:pPr>
      <w:bookmarkStart w:id="339" w:name="bookmark91"/>
      <w:bookmarkEnd w:id="339"/>
      <w:r>
        <w:rPr>
          <w:rFonts w:ascii="Times New Roman" w:hAnsi="Times New Roman" w:eastAsia="Times New Roman" w:cs="Times New Roman"/>
          <w:spacing w:val="-1"/>
          <w:sz w:val="28"/>
          <w:szCs w:val="28"/>
        </w:rPr>
        <w:t>5.1.5</w:t>
      </w:r>
      <w:r>
        <w:rPr>
          <w:rFonts w:ascii="楷体" w:hAnsi="楷体" w:eastAsia="楷体" w:cs="楷体"/>
          <w:spacing w:val="-1"/>
          <w:sz w:val="28"/>
          <w:szCs w:val="28"/>
        </w:rPr>
        <w:t>施工期生态环境影响分析</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该项目场址周围大部分都为农田，地形平坦，植被以农作物为主，植被较单一，地面有裸露。</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施工期对场内土地的平整、土石方的开挖，均会造成局部地面植被的破坏。项目施工过程中应减少土石方量，对场址周围受到破坏的植被进行修复。施工临时性的占地可以通过绿化进行补偿，在项目建设完成后对裸露地面进行植被恢复。在项目建设完成后对场区四周、道路两边及空地进行绿化，提高植被覆盖率，以最大限度降低项目对生态环境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施工单位可采取以下措施降低生态环境影响：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（1）及时作好现场场地平整，即使在雨季，也能控制现场不积水，有积水的地方及时沙土回填。</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（2）现场作好排水措施，保证现场的雨水顺利排放。雨季雨水可疏导致施工场地沉淀池内储存，可用于施工场地。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（3）作好路面硬化措施，防止车辆碾压造成土质疏松。天气干燥时，派专人洒水，防止扬尘。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（4）认真核算土石方量，尽量避免弃土，及时回填压实，避免雨季形成水土流失现象。</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（5）基础开挖施工时，挖出的土方及时运往土方堆积场，不在现场堆放，施工现场车辆行驶的过程中也应当进行洒水压尘。每天收车后，派专人清扫马路，并适量洒水压尘，达到环卫要求。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（6）施工现场主要施工道路每天设专人用洒水车随时进行洒水压尘。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（7）施工现场进行分区管理，责任到人。</w:t>
      </w:r>
    </w:p>
    <w:p>
      <w:pPr>
        <w:pStyle w:val="4"/>
        <w:bidi w:val="0"/>
        <w:rPr>
          <w:rFonts w:ascii="黑体" w:hAnsi="黑体" w:eastAsia="黑体" w:cs="黑体"/>
          <w:sz w:val="32"/>
          <w:szCs w:val="32"/>
        </w:rPr>
      </w:pPr>
      <w:bookmarkStart w:id="340" w:name="bookmark92"/>
      <w:bookmarkEnd w:id="340"/>
      <w:bookmarkStart w:id="341" w:name="bookmark87"/>
      <w:bookmarkEnd w:id="341"/>
      <w:bookmarkStart w:id="342" w:name="_Toc18546"/>
      <w:bookmarkStart w:id="343" w:name="_Toc26395"/>
      <w:r>
        <w:rPr>
          <w:rFonts w:ascii="Times New Roman" w:hAnsi="Times New Roman" w:eastAsia="Times New Roman" w:cs="Times New Roman"/>
          <w:spacing w:val="-1"/>
          <w:sz w:val="32"/>
          <w:szCs w:val="32"/>
        </w:rPr>
        <w:t>5.2</w:t>
      </w:r>
      <w:r>
        <w:rPr>
          <w:rFonts w:ascii="黑体" w:hAnsi="黑体" w:eastAsia="黑体" w:cs="黑体"/>
          <w:spacing w:val="-1"/>
          <w:sz w:val="32"/>
          <w:szCs w:val="32"/>
        </w:rPr>
        <w:t>运营期环境影响预测与评价</w:t>
      </w:r>
      <w:bookmarkEnd w:id="342"/>
      <w:bookmarkEnd w:id="343"/>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b/>
          <w:bCs/>
          <w:sz w:val="28"/>
          <w:szCs w:val="28"/>
        </w:rPr>
      </w:pPr>
      <w:bookmarkStart w:id="344" w:name="bookmark93"/>
      <w:bookmarkEnd w:id="344"/>
      <w:r>
        <w:rPr>
          <w:rFonts w:ascii="Times New Roman" w:hAnsi="Times New Roman" w:eastAsia="Times New Roman" w:cs="Times New Roman"/>
          <w:b/>
          <w:bCs/>
          <w:spacing w:val="-5"/>
          <w:sz w:val="28"/>
          <w:szCs w:val="28"/>
        </w:rPr>
        <w:t>5.2.1</w:t>
      </w:r>
      <w:r>
        <w:rPr>
          <w:rFonts w:ascii="楷体" w:hAnsi="楷体" w:eastAsia="楷体" w:cs="楷体"/>
          <w:b/>
          <w:bCs/>
          <w:spacing w:val="-5"/>
          <w:sz w:val="28"/>
          <w:szCs w:val="28"/>
        </w:rPr>
        <w:t>大气环境影响预测与评价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（一）地面气候及气象要素特征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sz w:val="24"/>
          <w:szCs w:val="24"/>
        </w:rPr>
        <w:t>本项目位于</w:t>
      </w:r>
      <w:r>
        <w:rPr>
          <w:rFonts w:hint="default" w:ascii="Times New Roman" w:hAnsi="Times New Roman" w:eastAsia="宋体" w:cs="Times New Roman"/>
          <w:sz w:val="24"/>
          <w:szCs w:val="24"/>
          <w:lang w:val="en-US" w:eastAsia="zh-CN"/>
        </w:rPr>
        <w:t>叶县马庄乡张庄村（河南省平顶山市迪可集团食品有限公司厂区院内）</w:t>
      </w:r>
      <w:r>
        <w:rPr>
          <w:rFonts w:hint="default" w:ascii="Times New Roman" w:hAnsi="Times New Roman" w:eastAsia="宋体" w:cs="Times New Roman"/>
          <w:sz w:val="24"/>
          <w:szCs w:val="24"/>
        </w:rPr>
        <w:t>，地面常规气象资料选</w:t>
      </w:r>
      <w:r>
        <w:rPr>
          <w:rFonts w:hint="default" w:ascii="Times New Roman" w:hAnsi="Times New Roman" w:eastAsia="宋体" w:cs="Times New Roman"/>
          <w:color w:val="000000"/>
          <w:kern w:val="0"/>
          <w:sz w:val="24"/>
          <w:szCs w:val="24"/>
          <w:lang w:bidi="ar"/>
        </w:rPr>
        <w:t>用叶县气象观测站（一般气象站，编号：57184，站点位置：E113.305628、N33.626788，高度87.00m）的观测结果。本次评价收集了叶县气象站近20年的气象观测资料和2020年全年气象资料。</w:t>
      </w: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612"/>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hint="eastAsia" w:ascii="宋体" w:hAnsi="宋体" w:eastAsia="宋体" w:cs="宋体"/>
          <w:spacing w:val="-2"/>
          <w:sz w:val="24"/>
          <w:szCs w:val="24"/>
        </w:rPr>
        <w:t>评价区域气候特征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叶县处于暖温带和亚热带气候交错的边缘地区，具有明显的过渡性特征，其气候类型属暖温带大陆性季风气候。受季风影响，冬季常受西伯利亚极地冷空气团南下侵袭，气候寒冷，空气干燥，降水稀少。夏季为低气压系统控制，气候炎热，空气湿润，易产生强阵性降水。春秋季节属冬夏的过渡时期，时间短促，气候较为温和</w:t>
      </w:r>
      <w:r>
        <w:rPr>
          <w:rFonts w:hint="default" w:ascii="Times New Roman" w:hAnsi="Times New Roman" w:eastAsia="宋体" w:cs="Times New Roman"/>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1" w:line="360" w:lineRule="auto"/>
        <w:ind w:left="612"/>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hint="eastAsia" w:ascii="宋体" w:hAnsi="宋体" w:eastAsia="宋体" w:cs="宋体"/>
          <w:spacing w:val="-2"/>
          <w:sz w:val="24"/>
          <w:szCs w:val="24"/>
        </w:rPr>
        <w:t>地面气象特征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叶县属暖温带大陆性季风气候，四季分明，降雨量年际变率大，形成了以干旱为主的气候特点。夏季常处于太平洋副热带高压后部，多吹偏东北风，暖湿气流势力较强，容易产生阵性降水，为全年的主要降水季节；冬季常受西伯利亚冷空气团南下影响，多吹偏西风，气候寒冷，空气干燥，降水稀少。根据该地近20年气象资料统计结果整编表如表</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rPr>
        <w:t>所示：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24"/>
          <w:szCs w:val="24"/>
        </w:rPr>
      </w:pPr>
      <w:r>
        <w:rPr>
          <w:rFonts w:hint="eastAsia"/>
          <w:b/>
          <w:bCs/>
          <w:sz w:val="24"/>
          <w:szCs w:val="24"/>
        </w:rPr>
        <w:t>表</w:t>
      </w:r>
      <w:r>
        <w:rPr>
          <w:rFonts w:hint="eastAsia" w:eastAsia="宋体"/>
          <w:b/>
          <w:bCs/>
          <w:sz w:val="24"/>
          <w:szCs w:val="24"/>
          <w:lang w:val="en-US" w:eastAsia="zh-CN"/>
        </w:rPr>
        <w:t>5-5</w:t>
      </w:r>
      <w:r>
        <w:rPr>
          <w:b/>
          <w:bCs/>
          <w:sz w:val="24"/>
          <w:szCs w:val="24"/>
        </w:rPr>
        <w:t xml:space="preserve"> </w:t>
      </w:r>
      <w:r>
        <w:rPr>
          <w:rFonts w:hint="eastAsia" w:eastAsia="宋体"/>
          <w:b/>
          <w:bCs/>
          <w:sz w:val="24"/>
          <w:szCs w:val="24"/>
          <w:lang w:val="en-US" w:eastAsia="zh-CN"/>
        </w:rPr>
        <w:t xml:space="preserve">  </w:t>
      </w:r>
      <w:r>
        <w:rPr>
          <w:rFonts w:hint="eastAsia"/>
          <w:b/>
          <w:bCs/>
          <w:sz w:val="24"/>
          <w:szCs w:val="24"/>
        </w:rPr>
        <w:t xml:space="preserve"> 叶县多年气象数据统计表</w:t>
      </w:r>
    </w:p>
    <w:tbl>
      <w:tblPr>
        <w:tblStyle w:val="21"/>
        <w:tblW w:w="893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233"/>
        <w:gridCol w:w="2233"/>
        <w:gridCol w:w="22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参数</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vMerge w:val="restart"/>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气温</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年平均气温</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vMerge w:val="continue"/>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极端最高气温</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vMerge w:val="continue"/>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极端最低气温</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气压</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年平均气压</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hPa</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1005.8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vMerge w:val="restart"/>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降水量</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年平均降水量</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mm</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vMerge w:val="continue"/>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年最大降水量</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mm</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1323.3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vMerge w:val="continue"/>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年最小降水量</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mm</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蒸发量</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年平均蒸发量</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mm</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湿度</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年相对湿度</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日照</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年平均年日照时数</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h</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2145.9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vMerge w:val="restart"/>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风速</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多年平均风速</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m/s</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vMerge w:val="continue"/>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年最大风速</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m/s</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风向</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年主导风向</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NE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无霜期</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年平均无霜期</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d</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冰冻期</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年平均冰冻期</w:t>
            </w:r>
          </w:p>
        </w:tc>
        <w:tc>
          <w:tcPr>
            <w:tcW w:w="2233"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d</w:t>
            </w:r>
          </w:p>
        </w:tc>
        <w:tc>
          <w:tcPr>
            <w:tcW w:w="2234" w:type="dxa"/>
            <w:tcBorders>
              <w:tl2br w:val="nil"/>
              <w:tr2bl w:val="nil"/>
            </w:tcBorders>
            <w:vAlign w:val="center"/>
          </w:tcPr>
          <w:p>
            <w:pPr>
              <w:widowControl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70</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ind w:firstLine="482"/>
        <w:textAlignment w:val="baseline"/>
        <w:rPr>
          <w:sz w:val="24"/>
          <w:szCs w:val="24"/>
        </w:rPr>
      </w:pPr>
      <w:r>
        <w:rPr>
          <w:rFonts w:hint="eastAsia"/>
          <w:sz w:val="24"/>
          <w:szCs w:val="24"/>
        </w:rPr>
        <w:t>叶县多年风</w:t>
      </w:r>
      <w:r>
        <w:rPr>
          <w:rFonts w:hint="eastAsia" w:eastAsia="宋体"/>
          <w:sz w:val="24"/>
          <w:szCs w:val="24"/>
          <w:lang w:eastAsia="zh-CN"/>
        </w:rPr>
        <w:t>频</w:t>
      </w:r>
      <w:r>
        <w:rPr>
          <w:rFonts w:hint="eastAsia"/>
          <w:sz w:val="24"/>
          <w:szCs w:val="24"/>
        </w:rPr>
        <w:t>玫瑰图见图</w:t>
      </w:r>
      <w:r>
        <w:rPr>
          <w:rFonts w:hint="eastAsia" w:eastAsia="宋体"/>
          <w:sz w:val="24"/>
          <w:szCs w:val="24"/>
          <w:lang w:val="en-US" w:eastAsia="zh-CN"/>
        </w:rPr>
        <w:t>5</w:t>
      </w:r>
      <w:r>
        <w:rPr>
          <w:sz w:val="24"/>
          <w:szCs w:val="24"/>
        </w:rPr>
        <w:t>-1</w:t>
      </w:r>
      <w:r>
        <w:rPr>
          <w:rFonts w:hint="eastAsia"/>
          <w:sz w:val="24"/>
          <w:szCs w:val="24"/>
        </w:rPr>
        <w:t>。</w:t>
      </w:r>
    </w:p>
    <w:p>
      <w:pPr>
        <w:pStyle w:val="8"/>
        <w:spacing w:line="274" w:lineRule="auto"/>
        <w:jc w:val="center"/>
        <w:rPr>
          <w:rFonts w:hint="eastAsia" w:eastAsia="宋体"/>
          <w:lang w:eastAsia="zh-CN"/>
        </w:rPr>
      </w:pPr>
      <w:r>
        <w:rPr>
          <w:rFonts w:hint="eastAsia" w:eastAsia="宋体"/>
          <w:lang w:eastAsia="zh-CN"/>
        </w:rPr>
        <w:drawing>
          <wp:inline distT="0" distB="0" distL="114300" distR="114300">
            <wp:extent cx="1547495" cy="2115820"/>
            <wp:effectExtent l="0" t="0" r="14605" b="17780"/>
            <wp:docPr id="102" name="图片 102" descr="微信图片_2023121913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31219132755"/>
                    <pic:cNvPicPr>
                      <a:picLocks noChangeAspect="1"/>
                    </pic:cNvPicPr>
                  </pic:nvPicPr>
                  <pic:blipFill>
                    <a:blip r:embed="rId40"/>
                    <a:srcRect l="29303" t="6186" r="28419" b="37093"/>
                    <a:stretch>
                      <a:fillRect/>
                    </a:stretch>
                  </pic:blipFill>
                  <pic:spPr>
                    <a:xfrm>
                      <a:off x="0" y="0"/>
                      <a:ext cx="1547495" cy="2115820"/>
                    </a:xfrm>
                    <a:prstGeom prst="rect">
                      <a:avLst/>
                    </a:prstGeom>
                  </pic:spPr>
                </pic:pic>
              </a:graphicData>
            </a:graphic>
          </wp:inline>
        </w:drawing>
      </w:r>
    </w:p>
    <w:p>
      <w:pPr>
        <w:pStyle w:val="8"/>
        <w:spacing w:line="274" w:lineRule="auto"/>
        <w:jc w:val="center"/>
        <w:rPr>
          <w:rFonts w:hint="eastAsia"/>
          <w:b/>
          <w:bCs/>
          <w:sz w:val="24"/>
          <w:szCs w:val="24"/>
        </w:rPr>
      </w:pPr>
      <w:r>
        <w:rPr>
          <w:rFonts w:hint="eastAsia"/>
          <w:b/>
          <w:bCs/>
          <w:sz w:val="24"/>
          <w:szCs w:val="24"/>
        </w:rPr>
        <w:t>图</w:t>
      </w:r>
      <w:r>
        <w:rPr>
          <w:rFonts w:hint="eastAsia" w:eastAsia="宋体"/>
          <w:b/>
          <w:bCs/>
          <w:sz w:val="24"/>
          <w:szCs w:val="24"/>
          <w:lang w:val="en-US" w:eastAsia="zh-CN"/>
        </w:rPr>
        <w:t>5</w:t>
      </w:r>
      <w:r>
        <w:rPr>
          <w:rFonts w:hint="eastAsia"/>
          <w:b/>
          <w:bCs/>
          <w:sz w:val="24"/>
          <w:szCs w:val="24"/>
        </w:rPr>
        <w:t xml:space="preserve">-1  </w:t>
      </w:r>
      <w:r>
        <w:rPr>
          <w:rFonts w:hint="eastAsia" w:eastAsia="宋体"/>
          <w:b/>
          <w:bCs/>
          <w:sz w:val="24"/>
          <w:szCs w:val="24"/>
          <w:lang w:val="en-US" w:eastAsia="zh-CN"/>
        </w:rPr>
        <w:t xml:space="preserve">  </w:t>
      </w:r>
      <w:r>
        <w:rPr>
          <w:rFonts w:hint="eastAsia"/>
          <w:b/>
          <w:bCs/>
          <w:sz w:val="24"/>
          <w:szCs w:val="24"/>
        </w:rPr>
        <w:t>叶县风</w:t>
      </w:r>
      <w:r>
        <w:rPr>
          <w:rFonts w:hint="eastAsia" w:eastAsia="宋体"/>
          <w:b/>
          <w:bCs/>
          <w:sz w:val="24"/>
          <w:szCs w:val="24"/>
          <w:lang w:eastAsia="zh-CN"/>
        </w:rPr>
        <w:t>频</w:t>
      </w:r>
      <w:r>
        <w:rPr>
          <w:rFonts w:hint="eastAsia"/>
          <w:b/>
          <w:bCs/>
          <w:sz w:val="24"/>
          <w:szCs w:val="24"/>
        </w:rPr>
        <w:t>玫瑰图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3</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基准年地面气象要素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本次评价近年地面气象资料采用年2020叶县气象观测站逐时逐次的观测数据。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①温度</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2020年叶县平均气温15.49℃，其中1月至4月、10月至12月的平均气温在平均值以下，以1月份最低，为2.25℃，5月至9月份的平均气温在年均值以上，以8月份最高，为26.56℃。各月平均气温统计结果分别见表</w:t>
      </w:r>
      <w:r>
        <w:rPr>
          <w:rFonts w:hint="eastAsia" w:ascii="Times New Roman" w:hAnsi="Times New Roman" w:eastAsia="宋体" w:cs="Times New Roman"/>
          <w:sz w:val="24"/>
          <w:szCs w:val="24"/>
          <w:lang w:val="en-US" w:eastAsia="zh-CN"/>
        </w:rPr>
        <w:t>5-2</w:t>
      </w:r>
      <w:r>
        <w:rPr>
          <w:rFonts w:hint="default" w:ascii="Times New Roman" w:hAnsi="Times New Roman" w:eastAsia="宋体" w:cs="Times New Roman"/>
          <w:sz w:val="24"/>
          <w:szCs w:val="24"/>
        </w:rPr>
        <w:t>和图</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-2。</w:t>
      </w:r>
    </w:p>
    <w:p>
      <w:pPr>
        <w:jc w:val="center"/>
        <w:rPr>
          <w:b/>
          <w:bCs/>
          <w:sz w:val="24"/>
          <w:szCs w:val="24"/>
        </w:rPr>
      </w:pPr>
      <w:r>
        <w:rPr>
          <w:rFonts w:hint="eastAsia"/>
          <w:b/>
          <w:bCs/>
          <w:sz w:val="24"/>
          <w:szCs w:val="24"/>
        </w:rPr>
        <w:t>表</w:t>
      </w:r>
      <w:r>
        <w:rPr>
          <w:rFonts w:hint="eastAsia" w:eastAsia="宋体"/>
          <w:b/>
          <w:bCs/>
          <w:sz w:val="24"/>
          <w:szCs w:val="24"/>
          <w:lang w:val="en-US" w:eastAsia="zh-CN"/>
        </w:rPr>
        <w:t>5-6</w:t>
      </w:r>
      <w:r>
        <w:rPr>
          <w:b/>
          <w:bCs/>
          <w:sz w:val="24"/>
          <w:szCs w:val="24"/>
        </w:rPr>
        <w:t xml:space="preserve"> </w:t>
      </w:r>
      <w:r>
        <w:rPr>
          <w:rFonts w:hint="eastAsia" w:eastAsia="宋体"/>
          <w:b/>
          <w:bCs/>
          <w:sz w:val="24"/>
          <w:szCs w:val="24"/>
          <w:lang w:val="en-US" w:eastAsia="zh-CN"/>
        </w:rPr>
        <w:t xml:space="preserve">  </w:t>
      </w:r>
      <w:r>
        <w:rPr>
          <w:rFonts w:hint="eastAsia"/>
          <w:b/>
          <w:bCs/>
          <w:sz w:val="24"/>
          <w:szCs w:val="24"/>
        </w:rPr>
        <w:t xml:space="preserve"> 平均气温的月变化（℃）</w:t>
      </w:r>
    </w:p>
    <w:tbl>
      <w:tblPr>
        <w:tblStyle w:val="21"/>
        <w:tblW w:w="893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685"/>
        <w:gridCol w:w="564"/>
        <w:gridCol w:w="719"/>
        <w:gridCol w:w="659"/>
        <w:gridCol w:w="667"/>
        <w:gridCol w:w="719"/>
        <w:gridCol w:w="711"/>
        <w:gridCol w:w="703"/>
        <w:gridCol w:w="711"/>
        <w:gridCol w:w="667"/>
        <w:gridCol w:w="721"/>
        <w:gridCol w:w="6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8"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月份</w:t>
            </w:r>
          </w:p>
        </w:tc>
        <w:tc>
          <w:tcPr>
            <w:tcW w:w="68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1月</w:t>
            </w:r>
          </w:p>
        </w:tc>
        <w:tc>
          <w:tcPr>
            <w:tcW w:w="56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2月</w:t>
            </w:r>
          </w:p>
        </w:tc>
        <w:tc>
          <w:tcPr>
            <w:tcW w:w="71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3月</w:t>
            </w:r>
          </w:p>
        </w:tc>
        <w:tc>
          <w:tcPr>
            <w:tcW w:w="65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4月</w:t>
            </w:r>
          </w:p>
        </w:tc>
        <w:tc>
          <w:tcPr>
            <w:tcW w:w="66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5月</w:t>
            </w:r>
          </w:p>
        </w:tc>
        <w:tc>
          <w:tcPr>
            <w:tcW w:w="71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6月</w:t>
            </w:r>
          </w:p>
        </w:tc>
        <w:tc>
          <w:tcPr>
            <w:tcW w:w="711"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7月</w:t>
            </w:r>
          </w:p>
        </w:tc>
        <w:tc>
          <w:tcPr>
            <w:tcW w:w="70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8月</w:t>
            </w:r>
          </w:p>
        </w:tc>
        <w:tc>
          <w:tcPr>
            <w:tcW w:w="711"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9月</w:t>
            </w:r>
          </w:p>
        </w:tc>
        <w:tc>
          <w:tcPr>
            <w:tcW w:w="66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10月</w:t>
            </w:r>
          </w:p>
        </w:tc>
        <w:tc>
          <w:tcPr>
            <w:tcW w:w="721"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11月</w:t>
            </w:r>
          </w:p>
        </w:tc>
        <w:tc>
          <w:tcPr>
            <w:tcW w:w="66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8"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温度</w:t>
            </w:r>
          </w:p>
        </w:tc>
        <w:tc>
          <w:tcPr>
            <w:tcW w:w="68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2.25</w:t>
            </w:r>
          </w:p>
        </w:tc>
        <w:tc>
          <w:tcPr>
            <w:tcW w:w="56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5.89</w:t>
            </w:r>
          </w:p>
        </w:tc>
        <w:tc>
          <w:tcPr>
            <w:tcW w:w="71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11.06</w:t>
            </w:r>
          </w:p>
        </w:tc>
        <w:tc>
          <w:tcPr>
            <w:tcW w:w="65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14.96</w:t>
            </w:r>
          </w:p>
        </w:tc>
        <w:tc>
          <w:tcPr>
            <w:tcW w:w="66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23.16</w:t>
            </w:r>
          </w:p>
        </w:tc>
        <w:tc>
          <w:tcPr>
            <w:tcW w:w="71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25.83</w:t>
            </w:r>
          </w:p>
        </w:tc>
        <w:tc>
          <w:tcPr>
            <w:tcW w:w="711"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25.31</w:t>
            </w:r>
          </w:p>
        </w:tc>
        <w:tc>
          <w:tcPr>
            <w:tcW w:w="70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26.56</w:t>
            </w:r>
          </w:p>
        </w:tc>
        <w:tc>
          <w:tcPr>
            <w:tcW w:w="711"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22.15</w:t>
            </w:r>
          </w:p>
        </w:tc>
        <w:tc>
          <w:tcPr>
            <w:tcW w:w="667"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15.03</w:t>
            </w:r>
          </w:p>
        </w:tc>
        <w:tc>
          <w:tcPr>
            <w:tcW w:w="721"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10.61</w:t>
            </w:r>
          </w:p>
        </w:tc>
        <w:tc>
          <w:tcPr>
            <w:tcW w:w="66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2.81</w:t>
            </w:r>
          </w:p>
        </w:tc>
      </w:tr>
    </w:tbl>
    <w:p>
      <w:pPr>
        <w:ind w:firstLine="0" w:firstLineChars="0"/>
        <w:jc w:val="center"/>
      </w:pPr>
    </w:p>
    <w:p>
      <w:pPr>
        <w:ind w:firstLine="0" w:firstLineChars="0"/>
        <w:jc w:val="center"/>
      </w:pPr>
      <w:r>
        <w:drawing>
          <wp:inline distT="0" distB="0" distL="114300" distR="114300">
            <wp:extent cx="5543550" cy="2971800"/>
            <wp:effectExtent l="0" t="0" r="0" b="0"/>
            <wp:docPr id="1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
                    <pic:cNvPicPr>
                      <a:picLocks noChangeAspect="1"/>
                    </pic:cNvPicPr>
                  </pic:nvPicPr>
                  <pic:blipFill>
                    <a:blip r:embed="rId41"/>
                    <a:stretch>
                      <a:fillRect/>
                    </a:stretch>
                  </pic:blipFill>
                  <pic:spPr>
                    <a:xfrm>
                      <a:off x="0" y="0"/>
                      <a:ext cx="5543550" cy="2971800"/>
                    </a:xfrm>
                    <a:prstGeom prst="rect">
                      <a:avLst/>
                    </a:prstGeom>
                    <a:noFill/>
                    <a:ln>
                      <a:noFill/>
                    </a:ln>
                  </pic:spPr>
                </pic:pic>
              </a:graphicData>
            </a:graphic>
          </wp:inline>
        </w:drawing>
      </w:r>
    </w:p>
    <w:p>
      <w:pPr>
        <w:ind w:firstLine="482"/>
        <w:jc w:val="center"/>
        <w:rPr>
          <w:b/>
          <w:bCs/>
        </w:rPr>
      </w:pPr>
      <w:r>
        <w:rPr>
          <w:rFonts w:hint="eastAsia"/>
          <w:b/>
          <w:bCs/>
        </w:rPr>
        <w:t>图</w:t>
      </w:r>
      <w:r>
        <w:rPr>
          <w:rFonts w:hint="eastAsia" w:eastAsia="宋体"/>
          <w:b/>
          <w:bCs/>
          <w:lang w:val="en-US" w:eastAsia="zh-CN"/>
        </w:rPr>
        <w:t>5</w:t>
      </w:r>
      <w:r>
        <w:rPr>
          <w:b/>
          <w:bCs/>
        </w:rPr>
        <w:t>-</w:t>
      </w:r>
      <w:r>
        <w:rPr>
          <w:rFonts w:hint="eastAsia"/>
          <w:b/>
          <w:bCs/>
        </w:rPr>
        <w:t>2</w:t>
      </w:r>
      <w:r>
        <w:rPr>
          <w:b/>
          <w:bCs/>
        </w:rPr>
        <w:t xml:space="preserve"> </w:t>
      </w:r>
      <w:r>
        <w:rPr>
          <w:rFonts w:hint="eastAsia"/>
          <w:b/>
          <w:bCs/>
        </w:rPr>
        <w:t xml:space="preserve"> </w:t>
      </w:r>
      <w:r>
        <w:rPr>
          <w:rFonts w:hint="eastAsia" w:eastAsia="宋体"/>
          <w:b/>
          <w:bCs/>
          <w:lang w:val="en-US" w:eastAsia="zh-CN"/>
        </w:rPr>
        <w:t xml:space="preserve">  </w:t>
      </w:r>
      <w:r>
        <w:rPr>
          <w:rFonts w:hint="eastAsia"/>
          <w:b/>
          <w:bCs/>
        </w:rPr>
        <w:t>区域2020年平均气温月变化曲线</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jc w:val="left"/>
        <w:textAlignment w:val="baseline"/>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②风速</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jc w:val="left"/>
        <w:textAlignment w:val="baseline"/>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2020年各月平均风速统计结果见表</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cs="Times New Roman"/>
          <w:color w:val="000000"/>
          <w:kern w:val="0"/>
          <w:sz w:val="24"/>
          <w:szCs w:val="24"/>
          <w:lang w:bidi="ar"/>
        </w:rPr>
        <w:t>-</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cs="Times New Roman"/>
          <w:color w:val="000000"/>
          <w:kern w:val="0"/>
          <w:sz w:val="24"/>
          <w:szCs w:val="24"/>
          <w:lang w:bidi="ar"/>
        </w:rPr>
        <w:t>、图</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cs="Times New Roman"/>
          <w:color w:val="000000"/>
          <w:kern w:val="0"/>
          <w:sz w:val="24"/>
          <w:szCs w:val="24"/>
          <w:lang w:bidi="ar"/>
        </w:rPr>
        <w:t>-3。</w:t>
      </w:r>
    </w:p>
    <w:p>
      <w:pPr>
        <w:ind w:firstLine="482"/>
        <w:jc w:val="center"/>
        <w:rPr>
          <w:b/>
          <w:bCs/>
          <w:sz w:val="24"/>
          <w:szCs w:val="24"/>
        </w:rPr>
      </w:pPr>
      <w:r>
        <w:rPr>
          <w:rFonts w:hint="eastAsia"/>
          <w:b/>
          <w:bCs/>
          <w:sz w:val="24"/>
          <w:szCs w:val="24"/>
        </w:rPr>
        <w:t>表</w:t>
      </w:r>
      <w:r>
        <w:rPr>
          <w:rFonts w:hint="eastAsia" w:eastAsia="宋体"/>
          <w:b/>
          <w:bCs/>
          <w:sz w:val="24"/>
          <w:szCs w:val="24"/>
          <w:lang w:val="en-US" w:eastAsia="zh-CN"/>
        </w:rPr>
        <w:t>5</w:t>
      </w:r>
      <w:r>
        <w:rPr>
          <w:b/>
          <w:bCs/>
          <w:sz w:val="24"/>
          <w:szCs w:val="24"/>
        </w:rPr>
        <w:t>-</w:t>
      </w:r>
      <w:r>
        <w:rPr>
          <w:rFonts w:hint="eastAsia" w:eastAsia="宋体"/>
          <w:b/>
          <w:bCs/>
          <w:sz w:val="24"/>
          <w:szCs w:val="24"/>
          <w:lang w:val="en-US" w:eastAsia="zh-CN"/>
        </w:rPr>
        <w:t>7</w:t>
      </w:r>
      <w:r>
        <w:rPr>
          <w:b/>
          <w:bCs/>
          <w:sz w:val="24"/>
          <w:szCs w:val="24"/>
        </w:rPr>
        <w:t xml:space="preserve"> </w:t>
      </w:r>
      <w:r>
        <w:rPr>
          <w:rFonts w:hint="eastAsia"/>
          <w:b/>
          <w:bCs/>
          <w:sz w:val="24"/>
          <w:szCs w:val="24"/>
        </w:rPr>
        <w:t xml:space="preserve"> </w:t>
      </w:r>
      <w:r>
        <w:rPr>
          <w:rFonts w:hint="eastAsia" w:eastAsia="宋体"/>
          <w:b/>
          <w:bCs/>
          <w:sz w:val="24"/>
          <w:szCs w:val="24"/>
          <w:lang w:val="en-US" w:eastAsia="zh-CN"/>
        </w:rPr>
        <w:t xml:space="preserve">  </w:t>
      </w:r>
      <w:r>
        <w:rPr>
          <w:b/>
          <w:bCs/>
          <w:sz w:val="24"/>
          <w:szCs w:val="24"/>
        </w:rPr>
        <w:t>20</w:t>
      </w:r>
      <w:r>
        <w:rPr>
          <w:rFonts w:hint="eastAsia"/>
          <w:b/>
          <w:bCs/>
          <w:sz w:val="24"/>
          <w:szCs w:val="24"/>
        </w:rPr>
        <w:t>20年月平均风速（</w:t>
      </w:r>
      <w:r>
        <w:rPr>
          <w:b/>
          <w:bCs/>
          <w:sz w:val="24"/>
          <w:szCs w:val="24"/>
        </w:rPr>
        <w:t>m/s</w:t>
      </w:r>
      <w:r>
        <w:rPr>
          <w:rFonts w:hint="eastAsia"/>
          <w:b/>
          <w:bCs/>
          <w:sz w:val="24"/>
          <w:szCs w:val="24"/>
        </w:rPr>
        <w:t>）</w:t>
      </w:r>
    </w:p>
    <w:tbl>
      <w:tblPr>
        <w:tblStyle w:val="21"/>
        <w:tblW w:w="893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3"/>
        <w:gridCol w:w="658"/>
        <w:gridCol w:w="659"/>
        <w:gridCol w:w="639"/>
        <w:gridCol w:w="622"/>
        <w:gridCol w:w="694"/>
        <w:gridCol w:w="640"/>
        <w:gridCol w:w="703"/>
        <w:gridCol w:w="640"/>
        <w:gridCol w:w="730"/>
        <w:gridCol w:w="685"/>
        <w:gridCol w:w="666"/>
        <w:gridCol w:w="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3"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月份</w:t>
            </w:r>
          </w:p>
        </w:tc>
        <w:tc>
          <w:tcPr>
            <w:tcW w:w="658"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1月</w:t>
            </w:r>
          </w:p>
        </w:tc>
        <w:tc>
          <w:tcPr>
            <w:tcW w:w="659"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2月</w:t>
            </w:r>
          </w:p>
        </w:tc>
        <w:tc>
          <w:tcPr>
            <w:tcW w:w="639"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3月</w:t>
            </w:r>
          </w:p>
        </w:tc>
        <w:tc>
          <w:tcPr>
            <w:tcW w:w="622"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4月</w:t>
            </w:r>
          </w:p>
        </w:tc>
        <w:tc>
          <w:tcPr>
            <w:tcW w:w="694"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5月</w:t>
            </w:r>
          </w:p>
        </w:tc>
        <w:tc>
          <w:tcPr>
            <w:tcW w:w="640"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6月</w:t>
            </w:r>
          </w:p>
        </w:tc>
        <w:tc>
          <w:tcPr>
            <w:tcW w:w="703"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7月</w:t>
            </w:r>
          </w:p>
        </w:tc>
        <w:tc>
          <w:tcPr>
            <w:tcW w:w="640"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8月</w:t>
            </w:r>
          </w:p>
        </w:tc>
        <w:tc>
          <w:tcPr>
            <w:tcW w:w="730"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9月</w:t>
            </w:r>
          </w:p>
        </w:tc>
        <w:tc>
          <w:tcPr>
            <w:tcW w:w="685"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10月</w:t>
            </w:r>
          </w:p>
        </w:tc>
        <w:tc>
          <w:tcPr>
            <w:tcW w:w="666"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11月</w:t>
            </w:r>
          </w:p>
        </w:tc>
        <w:tc>
          <w:tcPr>
            <w:tcW w:w="704"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3"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风速</w:t>
            </w:r>
          </w:p>
        </w:tc>
        <w:tc>
          <w:tcPr>
            <w:tcW w:w="658"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1.92</w:t>
            </w:r>
          </w:p>
        </w:tc>
        <w:tc>
          <w:tcPr>
            <w:tcW w:w="659"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3.04</w:t>
            </w:r>
          </w:p>
        </w:tc>
        <w:tc>
          <w:tcPr>
            <w:tcW w:w="639"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2.68</w:t>
            </w:r>
          </w:p>
        </w:tc>
        <w:tc>
          <w:tcPr>
            <w:tcW w:w="622"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2.53</w:t>
            </w:r>
          </w:p>
        </w:tc>
        <w:tc>
          <w:tcPr>
            <w:tcW w:w="694"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2.73</w:t>
            </w:r>
          </w:p>
        </w:tc>
        <w:tc>
          <w:tcPr>
            <w:tcW w:w="640"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2.48</w:t>
            </w:r>
          </w:p>
        </w:tc>
        <w:tc>
          <w:tcPr>
            <w:tcW w:w="703"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1.75</w:t>
            </w:r>
          </w:p>
        </w:tc>
        <w:tc>
          <w:tcPr>
            <w:tcW w:w="640"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1.72</w:t>
            </w:r>
          </w:p>
        </w:tc>
        <w:tc>
          <w:tcPr>
            <w:tcW w:w="730"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1.61</w:t>
            </w:r>
          </w:p>
        </w:tc>
        <w:tc>
          <w:tcPr>
            <w:tcW w:w="685"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1.59</w:t>
            </w:r>
          </w:p>
        </w:tc>
        <w:tc>
          <w:tcPr>
            <w:tcW w:w="666"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2.11</w:t>
            </w:r>
          </w:p>
        </w:tc>
        <w:tc>
          <w:tcPr>
            <w:tcW w:w="704"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2.33</w:t>
            </w:r>
          </w:p>
        </w:tc>
      </w:tr>
    </w:tbl>
    <w:p>
      <w:pPr>
        <w:ind w:firstLine="0" w:firstLineChars="0"/>
        <w:jc w:val="center"/>
      </w:pPr>
    </w:p>
    <w:p>
      <w:pPr>
        <w:ind w:firstLine="0" w:firstLineChars="0"/>
        <w:jc w:val="center"/>
      </w:pPr>
      <w:r>
        <w:drawing>
          <wp:inline distT="0" distB="0" distL="114300" distR="114300">
            <wp:extent cx="5543550" cy="3028950"/>
            <wp:effectExtent l="0" t="0" r="0" b="0"/>
            <wp:docPr id="1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
                    <pic:cNvPicPr>
                      <a:picLocks noChangeAspect="1"/>
                    </pic:cNvPicPr>
                  </pic:nvPicPr>
                  <pic:blipFill>
                    <a:blip r:embed="rId42"/>
                    <a:stretch>
                      <a:fillRect/>
                    </a:stretch>
                  </pic:blipFill>
                  <pic:spPr>
                    <a:xfrm>
                      <a:off x="0" y="0"/>
                      <a:ext cx="5543550" cy="302895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after="0" w:afterLines="50"/>
        <w:ind w:firstLine="482"/>
        <w:jc w:val="center"/>
        <w:textAlignment w:val="baseline"/>
        <w:rPr>
          <w:b/>
          <w:bCs/>
        </w:rPr>
      </w:pPr>
      <w:r>
        <w:rPr>
          <w:rFonts w:hint="eastAsia"/>
          <w:b/>
          <w:bCs/>
        </w:rPr>
        <w:t>图</w:t>
      </w:r>
      <w:r>
        <w:rPr>
          <w:rFonts w:hint="eastAsia" w:eastAsia="宋体"/>
          <w:b/>
          <w:bCs/>
          <w:lang w:val="en-US" w:eastAsia="zh-CN"/>
        </w:rPr>
        <w:t>5</w:t>
      </w:r>
      <w:r>
        <w:rPr>
          <w:b/>
          <w:bCs/>
        </w:rPr>
        <w:t>-</w:t>
      </w:r>
      <w:r>
        <w:rPr>
          <w:rFonts w:hint="eastAsia"/>
          <w:b/>
          <w:bCs/>
        </w:rPr>
        <w:t>3</w:t>
      </w:r>
      <w:r>
        <w:rPr>
          <w:b/>
          <w:bCs/>
        </w:rPr>
        <w:t xml:space="preserve"> </w:t>
      </w:r>
      <w:r>
        <w:rPr>
          <w:rFonts w:hint="eastAsia"/>
          <w:b/>
          <w:bCs/>
        </w:rPr>
        <w:t xml:space="preserve"> </w:t>
      </w:r>
      <w:r>
        <w:rPr>
          <w:rFonts w:hint="eastAsia" w:eastAsia="宋体"/>
          <w:b/>
          <w:bCs/>
          <w:lang w:val="en-US" w:eastAsia="zh-CN"/>
        </w:rPr>
        <w:t xml:space="preserve">  </w:t>
      </w:r>
      <w:r>
        <w:rPr>
          <w:b/>
          <w:bCs/>
        </w:rPr>
        <w:t>20</w:t>
      </w:r>
      <w:r>
        <w:rPr>
          <w:rFonts w:hint="eastAsia"/>
          <w:b/>
          <w:bCs/>
        </w:rPr>
        <w:t>20</w:t>
      </w:r>
      <w:r>
        <w:rPr>
          <w:b/>
          <w:bCs/>
        </w:rPr>
        <w:t xml:space="preserve"> </w:t>
      </w:r>
      <w:r>
        <w:rPr>
          <w:rFonts w:hint="eastAsia"/>
          <w:b/>
          <w:bCs/>
        </w:rPr>
        <w:t>年平均风速的月变化曲线</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jc w:val="left"/>
        <w:textAlignment w:val="baseline"/>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bidi="ar"/>
        </w:rPr>
        <w:t>由表</w:t>
      </w:r>
      <w:r>
        <w:rPr>
          <w:rFonts w:hint="eastAsia" w:ascii="Times New Roman" w:hAnsi="Times New Roman" w:eastAsia="宋体" w:cs="Times New Roman"/>
          <w:color w:val="000000"/>
          <w:kern w:val="0"/>
          <w:sz w:val="24"/>
          <w:szCs w:val="24"/>
          <w:lang w:val="en-US" w:eastAsia="zh-CN" w:bidi="ar"/>
        </w:rPr>
        <w:t>5-7</w:t>
      </w:r>
      <w:r>
        <w:rPr>
          <w:rFonts w:hint="default" w:ascii="Times New Roman" w:hAnsi="Times New Roman" w:eastAsia="宋体" w:cs="Times New Roman"/>
          <w:color w:val="000000"/>
          <w:kern w:val="0"/>
          <w:sz w:val="24"/>
          <w:szCs w:val="24"/>
          <w:lang w:bidi="ar"/>
        </w:rPr>
        <w:t>、图</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bidi="ar"/>
        </w:rPr>
        <w:t>-3可知：2020年叶县平均风速2.21m/s，1月～4月份的风速最大，10月份的风速较小。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jc w:val="left"/>
        <w:textAlignment w:val="baseline"/>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bidi="ar"/>
        </w:rPr>
        <w:t>③季小时平均风速的日变化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left"/>
        <w:textAlignment w:val="baseline"/>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bidi="ar"/>
        </w:rPr>
        <w:t>根据叶县气象观测站记录资料，2020年各季小时平均风速的日变化详见表</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bidi="ar"/>
        </w:rPr>
        <w:t>-</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bidi="ar"/>
        </w:rPr>
        <w:t>、图</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bidi="ar"/>
        </w:rPr>
        <w:t>-4。</w:t>
      </w:r>
    </w:p>
    <w:p>
      <w:pPr>
        <w:ind w:firstLine="482"/>
        <w:jc w:val="center"/>
        <w:rPr>
          <w:b/>
          <w:bCs/>
        </w:rPr>
      </w:pPr>
      <w:r>
        <w:rPr>
          <w:rFonts w:hint="eastAsia"/>
          <w:b/>
          <w:bCs/>
        </w:rPr>
        <w:t>表</w:t>
      </w:r>
      <w:r>
        <w:rPr>
          <w:rFonts w:hint="eastAsia" w:eastAsia="宋体"/>
          <w:b/>
          <w:bCs/>
          <w:lang w:val="en-US" w:eastAsia="zh-CN"/>
        </w:rPr>
        <w:t>5</w:t>
      </w:r>
      <w:r>
        <w:rPr>
          <w:b/>
          <w:bCs/>
        </w:rPr>
        <w:t>-</w:t>
      </w:r>
      <w:r>
        <w:rPr>
          <w:rFonts w:hint="eastAsia" w:eastAsia="宋体"/>
          <w:b/>
          <w:bCs/>
          <w:lang w:val="en-US" w:eastAsia="zh-CN"/>
        </w:rPr>
        <w:t xml:space="preserve">8  </w:t>
      </w:r>
      <w:r>
        <w:rPr>
          <w:rFonts w:hint="eastAsia"/>
          <w:b/>
          <w:bCs/>
        </w:rPr>
        <w:t xml:space="preserve"> </w:t>
      </w:r>
      <w:r>
        <w:rPr>
          <w:b/>
          <w:bCs/>
        </w:rPr>
        <w:t xml:space="preserve"> </w:t>
      </w:r>
      <w:r>
        <w:rPr>
          <w:rFonts w:hint="eastAsia"/>
          <w:b/>
          <w:bCs/>
        </w:rPr>
        <w:t>叶县</w:t>
      </w:r>
      <w:r>
        <w:rPr>
          <w:b/>
          <w:bCs/>
        </w:rPr>
        <w:t>20</w:t>
      </w:r>
      <w:r>
        <w:rPr>
          <w:rFonts w:hint="eastAsia"/>
          <w:b/>
          <w:bCs/>
        </w:rPr>
        <w:t>20年各季小时平均风速的日变化单位：</w:t>
      </w:r>
      <w:r>
        <w:rPr>
          <w:b/>
          <w:bCs/>
        </w:rPr>
        <w:t>m/s</w:t>
      </w:r>
    </w:p>
    <w:p>
      <w:pPr>
        <w:ind w:firstLine="0" w:firstLineChars="0"/>
        <w:jc w:val="center"/>
      </w:pPr>
      <w:r>
        <w:drawing>
          <wp:inline distT="0" distB="0" distL="114300" distR="114300">
            <wp:extent cx="5758180" cy="2832100"/>
            <wp:effectExtent l="0" t="0" r="13970" b="6350"/>
            <wp:docPr id="1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
                    <pic:cNvPicPr>
                      <a:picLocks noChangeAspect="1"/>
                    </pic:cNvPicPr>
                  </pic:nvPicPr>
                  <pic:blipFill>
                    <a:blip r:embed="rId43"/>
                    <a:stretch>
                      <a:fillRect/>
                    </a:stretch>
                  </pic:blipFill>
                  <pic:spPr>
                    <a:xfrm>
                      <a:off x="0" y="0"/>
                      <a:ext cx="5758180" cy="283210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bidi="ar"/>
        </w:rPr>
        <w:t>从月平均风速统计资料中可以看出叶县各季小时月平均风速统计资料中可以看出叶县在春季最高，秋季风速最低，一天内12：00～15：00的风速较高。</w:t>
      </w:r>
    </w:p>
    <w:p>
      <w:pPr>
        <w:ind w:firstLine="0" w:firstLineChars="0"/>
        <w:jc w:val="center"/>
      </w:pPr>
      <w:r>
        <w:drawing>
          <wp:inline distT="0" distB="0" distL="114300" distR="114300">
            <wp:extent cx="5543550" cy="2714625"/>
            <wp:effectExtent l="0" t="0" r="0" b="9525"/>
            <wp:docPr id="1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6"/>
                    <pic:cNvPicPr>
                      <a:picLocks noChangeAspect="1"/>
                    </pic:cNvPicPr>
                  </pic:nvPicPr>
                  <pic:blipFill>
                    <a:blip r:embed="rId44"/>
                    <a:stretch>
                      <a:fillRect/>
                    </a:stretch>
                  </pic:blipFill>
                  <pic:spPr>
                    <a:xfrm>
                      <a:off x="0" y="0"/>
                      <a:ext cx="5543550" cy="271462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jc w:val="center"/>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-4  2020年各季小时平均风速的日变化曲线图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由上表和上图可知，本项目区域内2020年各季节小时平均风速日变化曲线趋势基本一致。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④风速玫瑰图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根据对叶县气象观测站2020年全年逐日地面气象观测资料进行统计，区域风速玫瑰图见图</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bidi="ar"/>
        </w:rPr>
        <w:t>-5。</w:t>
      </w:r>
    </w:p>
    <w:p>
      <w:pPr>
        <w:widowControl/>
        <w:ind w:firstLine="0" w:firstLineChars="0"/>
        <w:jc w:val="center"/>
        <w:rPr>
          <w:rFonts w:ascii="宋体" w:hAnsi="宋体" w:cs="宋体"/>
          <w:color w:val="000000"/>
          <w:kern w:val="0"/>
          <w:lang w:bidi="ar"/>
        </w:rPr>
      </w:pPr>
      <w:r>
        <w:drawing>
          <wp:inline distT="0" distB="0" distL="114300" distR="114300">
            <wp:extent cx="5761355" cy="5904865"/>
            <wp:effectExtent l="0" t="0" r="10795" b="635"/>
            <wp:docPr id="1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7"/>
                    <pic:cNvPicPr>
                      <a:picLocks noChangeAspect="1"/>
                    </pic:cNvPicPr>
                  </pic:nvPicPr>
                  <pic:blipFill>
                    <a:blip r:embed="rId45"/>
                    <a:stretch>
                      <a:fillRect/>
                    </a:stretch>
                  </pic:blipFill>
                  <pic:spPr>
                    <a:xfrm>
                      <a:off x="0" y="0"/>
                      <a:ext cx="5761355" cy="5904865"/>
                    </a:xfrm>
                    <a:prstGeom prst="rect">
                      <a:avLst/>
                    </a:prstGeom>
                    <a:noFill/>
                    <a:ln>
                      <a:noFill/>
                    </a:ln>
                  </pic:spPr>
                </pic:pic>
              </a:graphicData>
            </a:graphic>
          </wp:inline>
        </w:drawing>
      </w:r>
    </w:p>
    <w:p>
      <w:pPr>
        <w:widowControl/>
        <w:ind w:firstLine="0" w:firstLineChars="0"/>
        <w:jc w:val="center"/>
        <w:rPr>
          <w:rFonts w:ascii="宋体" w:hAnsi="宋体" w:cs="宋体"/>
          <w:color w:val="000000"/>
          <w:kern w:val="0"/>
          <w:lang w:bidi="ar"/>
        </w:rPr>
      </w:pPr>
      <w:r>
        <w:drawing>
          <wp:inline distT="0" distB="0" distL="114300" distR="114300">
            <wp:extent cx="1289050" cy="1334135"/>
            <wp:effectExtent l="0" t="0" r="6350" b="18415"/>
            <wp:docPr id="1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8"/>
                    <pic:cNvPicPr>
                      <a:picLocks noChangeAspect="1"/>
                    </pic:cNvPicPr>
                  </pic:nvPicPr>
                  <pic:blipFill>
                    <a:blip r:embed="rId46"/>
                    <a:stretch>
                      <a:fillRect/>
                    </a:stretch>
                  </pic:blipFill>
                  <pic:spPr>
                    <a:xfrm>
                      <a:off x="0" y="0"/>
                      <a:ext cx="1289050" cy="1334135"/>
                    </a:xfrm>
                    <a:prstGeom prst="rect">
                      <a:avLst/>
                    </a:prstGeom>
                    <a:noFill/>
                    <a:ln>
                      <a:noFill/>
                    </a:ln>
                  </pic:spPr>
                </pic:pic>
              </a:graphicData>
            </a:graphic>
          </wp:inline>
        </w:drawing>
      </w:r>
    </w:p>
    <w:p>
      <w:pPr>
        <w:jc w:val="center"/>
        <w:rPr>
          <w:b/>
          <w:bCs/>
          <w:sz w:val="24"/>
          <w:szCs w:val="24"/>
        </w:rPr>
      </w:pPr>
      <w:r>
        <w:rPr>
          <w:rFonts w:hint="eastAsia"/>
          <w:b/>
          <w:bCs/>
          <w:sz w:val="24"/>
          <w:szCs w:val="24"/>
        </w:rPr>
        <w:t>图</w:t>
      </w:r>
      <w:r>
        <w:rPr>
          <w:rFonts w:hint="eastAsia" w:eastAsia="宋体"/>
          <w:b/>
          <w:bCs/>
          <w:sz w:val="24"/>
          <w:szCs w:val="24"/>
          <w:lang w:val="en-US" w:eastAsia="zh-CN"/>
        </w:rPr>
        <w:t>5</w:t>
      </w:r>
      <w:r>
        <w:rPr>
          <w:rFonts w:hint="eastAsia"/>
          <w:b/>
          <w:bCs/>
          <w:sz w:val="24"/>
          <w:szCs w:val="24"/>
        </w:rPr>
        <w:t>-5</w:t>
      </w:r>
      <w:r>
        <w:rPr>
          <w:b/>
          <w:bCs/>
          <w:sz w:val="24"/>
          <w:szCs w:val="24"/>
        </w:rPr>
        <w:t xml:space="preserve"> </w:t>
      </w:r>
      <w:r>
        <w:rPr>
          <w:rFonts w:hint="eastAsia"/>
          <w:b/>
          <w:bCs/>
          <w:sz w:val="24"/>
          <w:szCs w:val="24"/>
        </w:rPr>
        <w:t xml:space="preserve"> 叶县</w:t>
      </w:r>
      <w:r>
        <w:rPr>
          <w:rFonts w:hint="eastAsia" w:eastAsia="宋体"/>
          <w:b/>
          <w:bCs/>
          <w:sz w:val="24"/>
          <w:szCs w:val="24"/>
          <w:lang w:val="en-US" w:eastAsia="zh-CN"/>
        </w:rPr>
        <w:t>2020</w:t>
      </w:r>
      <w:r>
        <w:rPr>
          <w:rFonts w:hint="eastAsia" w:eastAsia="宋体"/>
          <w:b/>
          <w:bCs/>
          <w:sz w:val="24"/>
          <w:szCs w:val="24"/>
          <w:lang w:eastAsia="zh-CN"/>
        </w:rPr>
        <w:t>风速</w:t>
      </w:r>
      <w:r>
        <w:rPr>
          <w:rFonts w:hint="eastAsia"/>
          <w:b/>
          <w:bCs/>
          <w:sz w:val="24"/>
          <w:szCs w:val="24"/>
        </w:rPr>
        <w:t>玫瑰图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⑤风向、风频</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Times New Roman" w:hAnsi="Times New Roman" w:eastAsia="宋体" w:cs="Times New Roman"/>
          <w:color w:val="000000"/>
          <w:kern w:val="0"/>
          <w:sz w:val="24"/>
          <w:szCs w:val="24"/>
          <w:lang w:bidi="ar"/>
        </w:rPr>
        <w:sectPr>
          <w:pgSz w:w="11906" w:h="16839"/>
          <w:pgMar w:top="1431" w:right="1590" w:bottom="1278" w:left="1599" w:header="567" w:footer="964" w:gutter="0"/>
          <w:pgBorders>
            <w:top w:val="none" w:sz="0" w:space="0"/>
            <w:left w:val="none" w:sz="0" w:space="0"/>
            <w:bottom w:val="none" w:sz="0" w:space="0"/>
            <w:right w:val="none" w:sz="0" w:space="0"/>
          </w:pgBorders>
          <w:pgNumType w:fmt="numberInDash"/>
          <w:cols w:space="720" w:num="1"/>
        </w:sectPr>
      </w:pPr>
      <w:r>
        <w:rPr>
          <w:rFonts w:hint="default" w:ascii="Times New Roman" w:hAnsi="Times New Roman" w:eastAsia="宋体" w:cs="Times New Roman"/>
          <w:color w:val="000000"/>
          <w:kern w:val="0"/>
          <w:sz w:val="24"/>
          <w:szCs w:val="24"/>
          <w:lang w:bidi="ar"/>
        </w:rPr>
        <w:t>2020年各月各风向出现频率结果见表</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bidi="ar"/>
        </w:rPr>
        <w:t>-</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bidi="ar"/>
        </w:rPr>
        <w:t>，各季各风向频率统计结果见表</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bidi="ar"/>
        </w:rPr>
        <w:t>-</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bidi="ar"/>
        </w:rPr>
        <w:t>，全年及各季风向频率见图</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bidi="ar"/>
        </w:rPr>
        <w:t>-6、</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bidi="ar"/>
        </w:rPr>
        <w:t>-7。</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sz w:val="24"/>
          <w:szCs w:val="24"/>
        </w:rPr>
      </w:pPr>
      <w:bookmarkStart w:id="345" w:name="_Toc23398"/>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 xml:space="preserve">5-9  </w:t>
      </w:r>
      <w:r>
        <w:rPr>
          <w:rFonts w:hint="default" w:ascii="Times New Roman" w:hAnsi="Times New Roman" w:eastAsia="黑体" w:cs="Times New Roman"/>
          <w:sz w:val="24"/>
          <w:szCs w:val="24"/>
        </w:rPr>
        <w:t xml:space="preserve">  各月风向出现频率    单位：%</w:t>
      </w:r>
      <w:bookmarkEnd w:id="345"/>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8891905" cy="3213100"/>
            <wp:effectExtent l="0" t="0" r="4445" b="6350"/>
            <wp:docPr id="1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9"/>
                    <pic:cNvPicPr>
                      <a:picLocks noChangeAspect="1"/>
                    </pic:cNvPicPr>
                  </pic:nvPicPr>
                  <pic:blipFill>
                    <a:blip r:embed="rId47"/>
                    <a:stretch>
                      <a:fillRect/>
                    </a:stretch>
                  </pic:blipFill>
                  <pic:spPr>
                    <a:xfrm>
                      <a:off x="0" y="0"/>
                      <a:ext cx="8891905" cy="3213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50"/>
        <w:ind w:firstLine="0" w:firstLineChars="0"/>
        <w:jc w:val="center"/>
        <w:textAlignment w:val="auto"/>
        <w:rPr>
          <w:rFonts w:hint="default" w:ascii="Times New Roman" w:hAnsi="Times New Roman" w:eastAsia="黑体" w:cs="Times New Roman"/>
          <w:sz w:val="24"/>
          <w:szCs w:val="24"/>
        </w:rPr>
      </w:pPr>
      <w:bookmarkStart w:id="346" w:name="_Toc29941"/>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5-10</w:t>
      </w:r>
      <w:r>
        <w:rPr>
          <w:rFonts w:hint="default" w:ascii="Times New Roman" w:hAnsi="Times New Roman" w:eastAsia="黑体" w:cs="Times New Roman"/>
          <w:sz w:val="24"/>
          <w:szCs w:val="24"/>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全年及各季度风向出现频率    单位：%</w:t>
      </w:r>
      <w:bookmarkEnd w:id="346"/>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spacing w:val="-2"/>
          <w:sz w:val="24"/>
          <w:szCs w:val="24"/>
          <w14:textOutline w14:w="4358" w14:cap="sq" w14:cmpd="sng">
            <w14:solidFill>
              <w14:srgbClr w14:val="000000"/>
            </w14:solidFill>
            <w14:prstDash w14:val="solid"/>
            <w14:bevel/>
          </w14:textOutline>
        </w:rPr>
        <w:sectPr>
          <w:headerReference r:id="rId13" w:type="default"/>
          <w:footerReference r:id="rId14" w:type="default"/>
          <w:pgSz w:w="16839" w:h="11906" w:orient="landscape"/>
          <w:pgMar w:top="1440" w:right="1080" w:bottom="1440" w:left="1080" w:header="0" w:footer="567" w:gutter="0"/>
          <w:pgBorders>
            <w:top w:val="none" w:sz="0" w:space="0"/>
            <w:left w:val="none" w:sz="0" w:space="0"/>
            <w:bottom w:val="none" w:sz="0" w:space="0"/>
            <w:right w:val="none" w:sz="0" w:space="0"/>
          </w:pgBorders>
          <w:pgNumType w:fmt="numberInDash"/>
          <w:cols w:space="720" w:num="1"/>
        </w:sectPr>
      </w:pPr>
      <w:r>
        <w:drawing>
          <wp:inline distT="0" distB="0" distL="114300" distR="114300">
            <wp:extent cx="8890635" cy="1513205"/>
            <wp:effectExtent l="0" t="0" r="5715" b="10795"/>
            <wp:docPr id="1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0"/>
                    <pic:cNvPicPr>
                      <a:picLocks noChangeAspect="1"/>
                    </pic:cNvPicPr>
                  </pic:nvPicPr>
                  <pic:blipFill>
                    <a:blip r:embed="rId48"/>
                    <a:stretch>
                      <a:fillRect/>
                    </a:stretch>
                  </pic:blipFill>
                  <pic:spPr>
                    <a:xfrm>
                      <a:off x="0" y="0"/>
                      <a:ext cx="8890635" cy="1513205"/>
                    </a:xfrm>
                    <a:prstGeom prst="rect">
                      <a:avLst/>
                    </a:prstGeom>
                    <a:noFill/>
                    <a:ln>
                      <a:noFill/>
                    </a:ln>
                  </pic:spPr>
                </pic:pic>
              </a:graphicData>
            </a:graphic>
          </wp:inline>
        </w:drawing>
      </w:r>
    </w:p>
    <w:p>
      <w:pPr>
        <w:widowControl/>
        <w:ind w:firstLine="0" w:firstLineChars="0"/>
        <w:rPr>
          <w:rFonts w:ascii="宋体" w:hAnsi="宋体" w:cs="宋体"/>
          <w:color w:val="000000"/>
          <w:kern w:val="0"/>
          <w:lang w:bidi="ar"/>
        </w:rPr>
      </w:pPr>
      <w:r>
        <w:drawing>
          <wp:inline distT="0" distB="0" distL="114300" distR="114300">
            <wp:extent cx="5760085" cy="5708015"/>
            <wp:effectExtent l="0" t="0" r="12065" b="6985"/>
            <wp:docPr id="1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1"/>
                    <pic:cNvPicPr>
                      <a:picLocks noChangeAspect="1"/>
                    </pic:cNvPicPr>
                  </pic:nvPicPr>
                  <pic:blipFill>
                    <a:blip r:embed="rId49"/>
                    <a:stretch>
                      <a:fillRect/>
                    </a:stretch>
                  </pic:blipFill>
                  <pic:spPr>
                    <a:xfrm>
                      <a:off x="0" y="0"/>
                      <a:ext cx="5760085" cy="570801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b/>
          <w:bCs/>
          <w:sz w:val="24"/>
          <w:szCs w:val="24"/>
        </w:rPr>
      </w:pPr>
      <w:r>
        <w:rPr>
          <w:rFonts w:hint="eastAsia"/>
          <w:b/>
          <w:bCs/>
          <w:sz w:val="24"/>
          <w:szCs w:val="24"/>
        </w:rPr>
        <w:t>图</w:t>
      </w:r>
      <w:r>
        <w:rPr>
          <w:rFonts w:hint="eastAsia" w:eastAsia="宋体"/>
          <w:b/>
          <w:bCs/>
          <w:sz w:val="24"/>
          <w:szCs w:val="24"/>
          <w:lang w:val="en-US" w:eastAsia="zh-CN"/>
        </w:rPr>
        <w:t>5</w:t>
      </w:r>
      <w:r>
        <w:rPr>
          <w:rFonts w:hint="eastAsia"/>
          <w:b/>
          <w:bCs/>
          <w:sz w:val="24"/>
          <w:szCs w:val="24"/>
        </w:rPr>
        <w:t>-6</w:t>
      </w:r>
      <w:r>
        <w:rPr>
          <w:b/>
          <w:bCs/>
          <w:sz w:val="24"/>
          <w:szCs w:val="24"/>
        </w:rPr>
        <w:t xml:space="preserve"> </w:t>
      </w:r>
      <w:r>
        <w:rPr>
          <w:rFonts w:hint="eastAsia"/>
          <w:b/>
          <w:bCs/>
          <w:sz w:val="24"/>
          <w:szCs w:val="24"/>
        </w:rPr>
        <w:t xml:space="preserve"> 各月、各季节的风频玫瑰图</w:t>
      </w:r>
    </w:p>
    <w:p>
      <w:pPr>
        <w:widowControl/>
        <w:ind w:firstLine="0" w:firstLineChars="0"/>
        <w:jc w:val="center"/>
        <w:rPr>
          <w:rFonts w:ascii="宋体" w:hAnsi="宋体" w:cs="宋体"/>
          <w:color w:val="000000"/>
          <w:kern w:val="0"/>
          <w:lang w:bidi="ar"/>
        </w:rPr>
      </w:pPr>
      <w:r>
        <w:drawing>
          <wp:inline distT="0" distB="0" distL="114300" distR="114300">
            <wp:extent cx="1647825" cy="1647825"/>
            <wp:effectExtent l="0" t="0" r="9525" b="9525"/>
            <wp:docPr id="1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2"/>
                    <pic:cNvPicPr>
                      <a:picLocks noChangeAspect="1"/>
                    </pic:cNvPicPr>
                  </pic:nvPicPr>
                  <pic:blipFill>
                    <a:blip r:embed="rId50"/>
                    <a:stretch>
                      <a:fillRect/>
                    </a:stretch>
                  </pic:blipFill>
                  <pic:spPr>
                    <a:xfrm>
                      <a:off x="0" y="0"/>
                      <a:ext cx="1647825" cy="164782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center"/>
        <w:textAlignment w:val="baseline"/>
        <w:rPr>
          <w:b/>
          <w:bCs/>
          <w:sz w:val="24"/>
          <w:szCs w:val="24"/>
        </w:rPr>
      </w:pPr>
      <w:r>
        <w:rPr>
          <w:rFonts w:hint="eastAsia"/>
          <w:b/>
          <w:bCs/>
          <w:sz w:val="24"/>
          <w:szCs w:val="24"/>
        </w:rPr>
        <w:t>图</w:t>
      </w:r>
      <w:r>
        <w:rPr>
          <w:rFonts w:hint="eastAsia" w:eastAsia="宋体"/>
          <w:b/>
          <w:bCs/>
          <w:sz w:val="24"/>
          <w:szCs w:val="24"/>
          <w:lang w:val="en-US" w:eastAsia="zh-CN"/>
        </w:rPr>
        <w:t>5</w:t>
      </w:r>
      <w:r>
        <w:rPr>
          <w:rFonts w:hint="eastAsia"/>
          <w:b/>
          <w:bCs/>
          <w:sz w:val="24"/>
          <w:szCs w:val="24"/>
        </w:rPr>
        <w:t>-7</w:t>
      </w:r>
      <w:r>
        <w:rPr>
          <w:b/>
          <w:bCs/>
          <w:sz w:val="24"/>
          <w:szCs w:val="24"/>
        </w:rPr>
        <w:t xml:space="preserve"> </w:t>
      </w:r>
      <w:r>
        <w:rPr>
          <w:rFonts w:hint="eastAsia"/>
          <w:b/>
          <w:bCs/>
          <w:sz w:val="24"/>
          <w:szCs w:val="24"/>
        </w:rPr>
        <w:t xml:space="preserve"> </w:t>
      </w:r>
      <w:r>
        <w:rPr>
          <w:rFonts w:hint="eastAsia" w:eastAsia="宋体"/>
          <w:b/>
          <w:bCs/>
          <w:sz w:val="24"/>
          <w:szCs w:val="24"/>
          <w:lang w:eastAsia="zh-CN"/>
        </w:rPr>
        <w:t>叶县</w:t>
      </w:r>
      <w:r>
        <w:rPr>
          <w:rFonts w:hint="eastAsia" w:eastAsia="宋体"/>
          <w:b/>
          <w:bCs/>
          <w:sz w:val="24"/>
          <w:szCs w:val="24"/>
          <w:lang w:val="en-US" w:eastAsia="zh-CN"/>
        </w:rPr>
        <w:t>2020</w:t>
      </w:r>
      <w:r>
        <w:rPr>
          <w:rFonts w:hint="eastAsia"/>
          <w:b/>
          <w:bCs/>
          <w:sz w:val="24"/>
          <w:szCs w:val="24"/>
        </w:rPr>
        <w:t>风频玫瑰图</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根据统计结果可知，该地近年全年最多风向为S风，频率为8.59%；次多风向为NE风，频率为6.84%。就各季节而言，春季最多风向为S风，频率为11.14%，次多风向为SSE风，频率为7.70%；夏季最多风向为E风，频率为10.1%，次多风向为S风，频率为9.65%；秋季最多风向为W风，频率为8.93%，次多风向为NW风，频率为7.65%；冬季最多风向均为NE风，频率为7.97%，次多风向为S风，频率为7.92%。该地区全年静风频率为7.43%，以夏季、秋季较多，春季最少。综上所述，全年主导风向不明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88"/>
        <w:textAlignment w:val="baseline"/>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（二）评价工作等级的确定</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根据《环境影响评价技术导则-大气环境》（HJ2.2-2018）中的有关规定，将大气环境影响评价工作分为一、二、三级，划分依据见表5-</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w:t>
      </w:r>
    </w:p>
    <w:p>
      <w:pPr>
        <w:spacing w:before="78" w:line="219" w:lineRule="auto"/>
        <w:ind w:left="589"/>
        <w:rPr>
          <w:rFonts w:ascii="宋体" w:hAnsi="宋体" w:eastAsia="宋体" w:cs="宋体"/>
          <w:sz w:val="24"/>
          <w:szCs w:val="24"/>
        </w:rPr>
      </w:pPr>
      <w:r>
        <w:rPr>
          <w:rFonts w:ascii="宋体" w:hAnsi="宋体" w:eastAsia="宋体" w:cs="宋体"/>
          <w:spacing w:val="-8"/>
          <w:sz w:val="24"/>
          <w:szCs w:val="24"/>
        </w:rPr>
        <w:t>各污染物的最大地面浓度占标率</w:t>
      </w:r>
      <w:r>
        <w:rPr>
          <w:rFonts w:ascii="Times New Roman" w:hAnsi="Times New Roman" w:eastAsia="Times New Roman" w:cs="Times New Roman"/>
          <w:spacing w:val="-8"/>
          <w:sz w:val="24"/>
          <w:szCs w:val="24"/>
        </w:rPr>
        <w:t>Pi</w:t>
      </w:r>
      <w:r>
        <w:rPr>
          <w:rFonts w:ascii="宋体" w:hAnsi="宋体" w:eastAsia="宋体" w:cs="宋体"/>
          <w:spacing w:val="-8"/>
          <w:sz w:val="24"/>
          <w:szCs w:val="24"/>
        </w:rPr>
        <w:t>的计算：</w:t>
      </w:r>
    </w:p>
    <w:p>
      <w:pPr>
        <w:spacing w:before="148" w:line="924" w:lineRule="exact"/>
        <w:ind w:firstLine="3463"/>
      </w:pPr>
      <w:r>
        <w:rPr>
          <w:position w:val="-18"/>
        </w:rPr>
        <w:drawing>
          <wp:inline distT="0" distB="0" distL="0" distR="0">
            <wp:extent cx="1287145" cy="58674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51"/>
                    <a:stretch>
                      <a:fillRect/>
                    </a:stretch>
                  </pic:blipFill>
                  <pic:spPr>
                    <a:xfrm>
                      <a:off x="0" y="0"/>
                      <a:ext cx="1287779" cy="586740"/>
                    </a:xfrm>
                    <a:prstGeom prst="rect">
                      <a:avLst/>
                    </a:prstGeom>
                  </pic:spPr>
                </pic:pic>
              </a:graphicData>
            </a:graphic>
          </wp:inline>
        </w:drawing>
      </w:r>
    </w:p>
    <w:p>
      <w:pPr>
        <w:spacing w:before="114" w:line="219" w:lineRule="auto"/>
        <w:ind w:left="607"/>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Pi——</w:t>
      </w:r>
      <w:r>
        <w:rPr>
          <w:rFonts w:ascii="宋体" w:hAnsi="宋体" w:eastAsia="宋体" w:cs="宋体"/>
          <w:spacing w:val="-1"/>
          <w:sz w:val="24"/>
          <w:szCs w:val="24"/>
        </w:rPr>
        <w:t>第</w:t>
      </w:r>
      <w:r>
        <w:rPr>
          <w:rFonts w:ascii="Times New Roman" w:hAnsi="Times New Roman" w:eastAsia="Times New Roman" w:cs="Times New Roman"/>
          <w:spacing w:val="-1"/>
          <w:sz w:val="24"/>
          <w:szCs w:val="24"/>
        </w:rPr>
        <w:t>i</w:t>
      </w:r>
      <w:r>
        <w:rPr>
          <w:rFonts w:ascii="宋体" w:hAnsi="宋体" w:eastAsia="宋体" w:cs="宋体"/>
          <w:spacing w:val="-1"/>
          <w:sz w:val="24"/>
          <w:szCs w:val="24"/>
        </w:rPr>
        <w:t>个污染物的最大地面浓度占标率，</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pPr>
        <w:spacing w:before="182" w:line="468" w:lineRule="exact"/>
        <w:ind w:left="602"/>
        <w:rPr>
          <w:rFonts w:ascii="宋体" w:hAnsi="宋体" w:eastAsia="宋体" w:cs="宋体"/>
          <w:sz w:val="24"/>
          <w:szCs w:val="24"/>
        </w:rPr>
      </w:pPr>
      <w:r>
        <w:rPr>
          <w:rFonts w:ascii="Times New Roman" w:hAnsi="Times New Roman" w:eastAsia="Times New Roman" w:cs="Times New Roman"/>
          <w:position w:val="17"/>
          <w:sz w:val="24"/>
          <w:szCs w:val="24"/>
        </w:rPr>
        <w:t>Ci——</w:t>
      </w:r>
      <w:r>
        <w:rPr>
          <w:rFonts w:ascii="宋体" w:hAnsi="宋体" w:eastAsia="宋体" w:cs="宋体"/>
          <w:position w:val="17"/>
          <w:sz w:val="24"/>
          <w:szCs w:val="24"/>
        </w:rPr>
        <w:t>采用估算模式计算出的第</w:t>
      </w:r>
      <w:r>
        <w:rPr>
          <w:rFonts w:ascii="Times New Roman" w:hAnsi="Times New Roman" w:eastAsia="Times New Roman" w:cs="Times New Roman"/>
          <w:position w:val="17"/>
          <w:sz w:val="24"/>
          <w:szCs w:val="24"/>
        </w:rPr>
        <w:t>i</w:t>
      </w:r>
      <w:r>
        <w:rPr>
          <w:rFonts w:ascii="宋体" w:hAnsi="宋体" w:eastAsia="宋体" w:cs="宋体"/>
          <w:position w:val="17"/>
          <w:sz w:val="24"/>
          <w:szCs w:val="24"/>
        </w:rPr>
        <w:t>个污染物的最大地面</w:t>
      </w:r>
      <w:r>
        <w:rPr>
          <w:rFonts w:ascii="宋体" w:hAnsi="宋体" w:eastAsia="宋体" w:cs="宋体"/>
          <w:spacing w:val="-1"/>
          <w:position w:val="17"/>
          <w:sz w:val="24"/>
          <w:szCs w:val="24"/>
        </w:rPr>
        <w:t>浓度，</w:t>
      </w:r>
      <w:r>
        <w:rPr>
          <w:rFonts w:ascii="Times New Roman" w:hAnsi="Times New Roman" w:eastAsia="Times New Roman" w:cs="Times New Roman"/>
          <w:spacing w:val="-1"/>
          <w:position w:val="17"/>
          <w:sz w:val="24"/>
          <w:szCs w:val="24"/>
        </w:rPr>
        <w:t>mg/m</w:t>
      </w:r>
      <w:r>
        <w:rPr>
          <w:rFonts w:ascii="Times New Roman" w:hAnsi="Times New Roman" w:eastAsia="Times New Roman" w:cs="Times New Roman"/>
          <w:spacing w:val="-1"/>
          <w:position w:val="24"/>
          <w:sz w:val="15"/>
          <w:szCs w:val="15"/>
        </w:rPr>
        <w:t>3</w:t>
      </w:r>
      <w:r>
        <w:rPr>
          <w:rFonts w:ascii="宋体" w:hAnsi="宋体" w:eastAsia="宋体" w:cs="宋体"/>
          <w:spacing w:val="-1"/>
          <w:position w:val="17"/>
          <w:sz w:val="24"/>
          <w:szCs w:val="24"/>
        </w:rPr>
        <w:t>；</w:t>
      </w:r>
    </w:p>
    <w:p>
      <w:pPr>
        <w:spacing w:line="212" w:lineRule="auto"/>
        <w:ind w:left="602"/>
        <w:rPr>
          <w:rFonts w:ascii="宋体" w:hAnsi="宋体" w:eastAsia="宋体" w:cs="宋体"/>
          <w:sz w:val="24"/>
          <w:szCs w:val="24"/>
        </w:rPr>
      </w:pPr>
      <w:r>
        <w:rPr>
          <w:rFonts w:ascii="Times New Roman" w:hAnsi="Times New Roman" w:eastAsia="Times New Roman" w:cs="Times New Roman"/>
          <w:spacing w:val="-1"/>
          <w:sz w:val="24"/>
          <w:szCs w:val="24"/>
        </w:rPr>
        <w:t>Coi——</w:t>
      </w:r>
      <w:r>
        <w:rPr>
          <w:rFonts w:ascii="宋体" w:hAnsi="宋体" w:eastAsia="宋体" w:cs="宋体"/>
          <w:spacing w:val="-1"/>
          <w:sz w:val="24"/>
          <w:szCs w:val="24"/>
        </w:rPr>
        <w:t>第</w:t>
      </w:r>
      <w:r>
        <w:rPr>
          <w:rFonts w:ascii="Times New Roman" w:hAnsi="Times New Roman" w:eastAsia="Times New Roman" w:cs="Times New Roman"/>
          <w:spacing w:val="-1"/>
          <w:sz w:val="24"/>
          <w:szCs w:val="24"/>
        </w:rPr>
        <w:t>i</w:t>
      </w:r>
      <w:r>
        <w:rPr>
          <w:rFonts w:ascii="宋体" w:hAnsi="宋体" w:eastAsia="宋体" w:cs="宋体"/>
          <w:spacing w:val="-1"/>
          <w:sz w:val="24"/>
          <w:szCs w:val="24"/>
        </w:rPr>
        <w:t>个污染物的环境空气质量标准，</w:t>
      </w:r>
      <w:r>
        <w:rPr>
          <w:rFonts w:ascii="Times New Roman" w:hAnsi="Times New Roman" w:eastAsia="Times New Roman" w:cs="Times New Roman"/>
          <w:spacing w:val="-1"/>
          <w:sz w:val="24"/>
          <w:szCs w:val="24"/>
        </w:rPr>
        <w:t>mg/m</w:t>
      </w:r>
      <w:r>
        <w:rPr>
          <w:rFonts w:ascii="Times New Roman" w:hAnsi="Times New Roman" w:eastAsia="Times New Roman" w:cs="Times New Roman"/>
          <w:spacing w:val="-1"/>
          <w:position w:val="7"/>
          <w:sz w:val="15"/>
          <w:szCs w:val="15"/>
        </w:rPr>
        <w:t>3</w:t>
      </w:r>
      <w:r>
        <w:rPr>
          <w:rFonts w:ascii="宋体" w:hAnsi="宋体" w:eastAsia="宋体" w:cs="宋体"/>
          <w:spacing w:val="-1"/>
          <w:sz w:val="24"/>
          <w:szCs w:val="24"/>
        </w:rPr>
        <w:t>。</w:t>
      </w:r>
    </w:p>
    <w:p>
      <w:pPr>
        <w:spacing w:before="208" w:line="218" w:lineRule="auto"/>
        <w:ind w:left="1946"/>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11</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大气环境评价工作级别（一、二、三</w:t>
      </w:r>
      <w:r>
        <w:rPr>
          <w:rFonts w:ascii="宋体" w:hAnsi="宋体" w:eastAsia="宋体" w:cs="宋体"/>
          <w:spacing w:val="-1"/>
          <w:sz w:val="24"/>
          <w:szCs w:val="24"/>
          <w14:textOutline w14:w="4358" w14:cap="sq" w14:cmpd="sng">
            <w14:solidFill>
              <w14:srgbClr w14:val="000000"/>
            </w14:solidFill>
            <w14:prstDash w14:val="solid"/>
            <w14:bevel/>
          </w14:textOutline>
        </w:rPr>
        <w:t>级）</w:t>
      </w:r>
    </w:p>
    <w:tbl>
      <w:tblPr>
        <w:tblStyle w:val="24"/>
        <w:tblW w:w="8770" w:type="dxa"/>
        <w:tblInd w:w="9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3682"/>
        <w:gridCol w:w="508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83" w:hRule="atLeast"/>
        </w:trPr>
        <w:tc>
          <w:tcPr>
            <w:tcW w:w="3682" w:type="dxa"/>
            <w:tcBorders>
              <w:tl2br w:val="nil"/>
              <w:tr2bl w:val="nil"/>
            </w:tcBorders>
            <w:vAlign w:val="top"/>
          </w:tcPr>
          <w:p>
            <w:pPr>
              <w:pStyle w:val="25"/>
              <w:spacing w:before="56" w:line="226" w:lineRule="auto"/>
              <w:ind w:left="1216"/>
            </w:pPr>
            <w:r>
              <w:rPr>
                <w:spacing w:val="8"/>
              </w:rPr>
              <w:t>评价工作等级</w:t>
            </w:r>
          </w:p>
        </w:tc>
        <w:tc>
          <w:tcPr>
            <w:tcW w:w="5088" w:type="dxa"/>
            <w:tcBorders>
              <w:tl2br w:val="nil"/>
              <w:tr2bl w:val="nil"/>
            </w:tcBorders>
            <w:vAlign w:val="top"/>
          </w:tcPr>
          <w:p>
            <w:pPr>
              <w:pStyle w:val="25"/>
              <w:spacing w:before="56" w:line="226" w:lineRule="auto"/>
              <w:ind w:left="1707"/>
            </w:pPr>
            <w:r>
              <w:rPr>
                <w:spacing w:val="8"/>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7" w:hRule="atLeast"/>
        </w:trPr>
        <w:tc>
          <w:tcPr>
            <w:tcW w:w="3682" w:type="dxa"/>
            <w:tcBorders>
              <w:tl2br w:val="nil"/>
              <w:tr2bl w:val="nil"/>
            </w:tcBorders>
            <w:vAlign w:val="top"/>
          </w:tcPr>
          <w:p>
            <w:pPr>
              <w:pStyle w:val="25"/>
              <w:spacing w:before="52" w:line="230" w:lineRule="auto"/>
              <w:ind w:left="1640"/>
            </w:pPr>
            <w:r>
              <w:rPr>
                <w:spacing w:val="4"/>
              </w:rPr>
              <w:t>一级</w:t>
            </w:r>
          </w:p>
        </w:tc>
        <w:tc>
          <w:tcPr>
            <w:tcW w:w="5088" w:type="dxa"/>
            <w:tcBorders>
              <w:tl2br w:val="nil"/>
              <w:tr2bl w:val="nil"/>
            </w:tcBorders>
            <w:vAlign w:val="top"/>
          </w:tcPr>
          <w:p>
            <w:pPr>
              <w:spacing w:before="87" w:line="196" w:lineRule="auto"/>
              <w:ind w:left="2054"/>
              <w:rPr>
                <w:rFonts w:ascii="Times New Roman" w:hAnsi="Times New Roman" w:eastAsia="Times New Roman" w:cs="Times New Roman"/>
                <w:sz w:val="20"/>
                <w:szCs w:val="20"/>
              </w:rPr>
            </w:pPr>
            <w:r>
              <w:rPr>
                <w:rFonts w:ascii="Times New Roman" w:hAnsi="Times New Roman" w:eastAsia="Times New Roman" w:cs="Times New Roman"/>
                <w:sz w:val="20"/>
                <w:szCs w:val="20"/>
              </w:rPr>
              <w:t>Pmax</w:t>
            </w:r>
            <w:r>
              <w:rPr>
                <w:rFonts w:ascii="Times New Roman" w:hAnsi="Times New Roman" w:eastAsia="Times New Roman" w:cs="Times New Roman"/>
                <w:spacing w:val="10"/>
                <w:sz w:val="20"/>
                <w:szCs w:val="20"/>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80" w:hRule="atLeast"/>
        </w:trPr>
        <w:tc>
          <w:tcPr>
            <w:tcW w:w="3682" w:type="dxa"/>
            <w:tcBorders>
              <w:tl2br w:val="nil"/>
              <w:tr2bl w:val="nil"/>
            </w:tcBorders>
            <w:vAlign w:val="top"/>
          </w:tcPr>
          <w:p>
            <w:pPr>
              <w:pStyle w:val="25"/>
              <w:spacing w:before="54" w:line="230" w:lineRule="auto"/>
              <w:ind w:left="1640"/>
            </w:pPr>
            <w:r>
              <w:rPr>
                <w:spacing w:val="3"/>
              </w:rPr>
              <w:t>二级</w:t>
            </w:r>
          </w:p>
        </w:tc>
        <w:tc>
          <w:tcPr>
            <w:tcW w:w="5088" w:type="dxa"/>
            <w:tcBorders>
              <w:tl2br w:val="nil"/>
              <w:tr2bl w:val="nil"/>
            </w:tcBorders>
            <w:vAlign w:val="top"/>
          </w:tcPr>
          <w:p>
            <w:pPr>
              <w:pStyle w:val="25"/>
              <w:spacing w:before="53" w:line="232" w:lineRule="auto"/>
              <w:ind w:left="1830"/>
              <w:rPr>
                <w:rFonts w:ascii="Times New Roman" w:hAnsi="Times New Roman" w:eastAsia="Times New Roman" w:cs="Times New Roman"/>
              </w:rPr>
            </w:pPr>
            <w:r>
              <w:rPr>
                <w:rFonts w:ascii="Times New Roman" w:hAnsi="Times New Roman" w:eastAsia="Times New Roman" w:cs="Times New Roman"/>
                <w:spacing w:val="6"/>
              </w:rPr>
              <w:t>1%≤</w:t>
            </w:r>
            <w:r>
              <w:rPr>
                <w:rFonts w:ascii="Times New Roman" w:hAnsi="Times New Roman" w:eastAsia="Times New Roman" w:cs="Times New Roman"/>
              </w:rPr>
              <w:t>Pmax</w:t>
            </w:r>
            <w:r>
              <w:rPr>
                <w:spacing w:val="6"/>
              </w:rPr>
              <w:t>＜</w:t>
            </w:r>
            <w:r>
              <w:rPr>
                <w:rFonts w:ascii="Times New Roman" w:hAnsi="Times New Roman" w:eastAsia="Times New Roman" w:cs="Times New Roman"/>
                <w:spacing w:val="6"/>
              </w:rPr>
              <w: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81" w:hRule="atLeast"/>
        </w:trPr>
        <w:tc>
          <w:tcPr>
            <w:tcW w:w="3682" w:type="dxa"/>
            <w:tcBorders>
              <w:tl2br w:val="nil"/>
              <w:tr2bl w:val="nil"/>
            </w:tcBorders>
            <w:vAlign w:val="top"/>
          </w:tcPr>
          <w:p>
            <w:pPr>
              <w:pStyle w:val="25"/>
              <w:spacing w:before="55" w:line="230" w:lineRule="auto"/>
              <w:ind w:left="1637"/>
            </w:pPr>
            <w:r>
              <w:rPr>
                <w:spacing w:val="4"/>
              </w:rPr>
              <w:t>三级</w:t>
            </w:r>
          </w:p>
        </w:tc>
        <w:tc>
          <w:tcPr>
            <w:tcW w:w="5088" w:type="dxa"/>
            <w:tcBorders>
              <w:tl2br w:val="nil"/>
              <w:tr2bl w:val="nil"/>
            </w:tcBorders>
            <w:vAlign w:val="top"/>
          </w:tcPr>
          <w:p>
            <w:pPr>
              <w:pStyle w:val="25"/>
              <w:spacing w:before="56" w:line="241" w:lineRule="auto"/>
              <w:ind w:left="2059"/>
              <w:rPr>
                <w:rFonts w:ascii="Times New Roman" w:hAnsi="Times New Roman" w:eastAsia="Times New Roman" w:cs="Times New Roman"/>
              </w:rPr>
            </w:pPr>
            <w:r>
              <w:rPr>
                <w:rFonts w:ascii="Times New Roman" w:hAnsi="Times New Roman" w:eastAsia="Times New Roman" w:cs="Times New Roman"/>
              </w:rPr>
              <w:t>Pmax</w:t>
            </w:r>
            <w:r>
              <w:rPr>
                <w:spacing w:val="14"/>
              </w:rPr>
              <w:t>＜</w:t>
            </w:r>
            <w:r>
              <w:rPr>
                <w:rFonts w:ascii="Times New Roman" w:hAnsi="Times New Roman" w:eastAsia="Times New Roman" w:cs="Times New Roman"/>
                <w:spacing w:val="14"/>
              </w:rPr>
              <w:t>1%</w:t>
            </w:r>
          </w:p>
        </w:tc>
      </w:tr>
    </w:tbl>
    <w:p>
      <w:pPr>
        <w:spacing w:before="129" w:line="218" w:lineRule="auto"/>
        <w:ind w:left="6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（三）评价因子和评价标准的筛选</w:t>
      </w:r>
    </w:p>
    <w:p>
      <w:pPr>
        <w:spacing w:before="216" w:line="220" w:lineRule="auto"/>
        <w:ind w:left="621"/>
        <w:rPr>
          <w:rFonts w:ascii="宋体" w:hAnsi="宋体" w:eastAsia="宋体" w:cs="宋体"/>
          <w:sz w:val="24"/>
          <w:szCs w:val="24"/>
          <w:u w:val="single"/>
        </w:rPr>
      </w:pPr>
      <w:r>
        <w:rPr>
          <w:rFonts w:hint="eastAsia" w:ascii="Times New Roman" w:hAnsi="Times New Roman" w:eastAsia="宋体" w:cs="Times New Roman"/>
          <w:spacing w:val="-30"/>
          <w:sz w:val="24"/>
          <w:szCs w:val="24"/>
          <w:u w:val="single"/>
          <w:lang w:eastAsia="zh-CN"/>
        </w:rPr>
        <w:t>（</w:t>
      </w:r>
      <w:r>
        <w:rPr>
          <w:rFonts w:ascii="Times New Roman" w:hAnsi="Times New Roman" w:eastAsia="Times New Roman" w:cs="Times New Roman"/>
          <w:spacing w:val="-10"/>
          <w:sz w:val="24"/>
          <w:szCs w:val="24"/>
          <w:u w:val="single"/>
        </w:rPr>
        <w:t>1</w:t>
      </w:r>
      <w:r>
        <w:rPr>
          <w:rFonts w:hint="eastAsia" w:ascii="Times New Roman" w:hAnsi="Times New Roman" w:eastAsia="宋体" w:cs="Times New Roman"/>
          <w:spacing w:val="-30"/>
          <w:sz w:val="24"/>
          <w:szCs w:val="24"/>
          <w:u w:val="single"/>
          <w:lang w:eastAsia="zh-CN"/>
        </w:rPr>
        <w:t>）</w:t>
      </w:r>
      <w:r>
        <w:rPr>
          <w:rFonts w:ascii="宋体" w:hAnsi="宋体" w:eastAsia="宋体" w:cs="宋体"/>
          <w:spacing w:val="-10"/>
          <w:sz w:val="24"/>
          <w:szCs w:val="24"/>
          <w:u w:val="single"/>
        </w:rPr>
        <w:t>预测因子</w:t>
      </w:r>
    </w:p>
    <w:p>
      <w:pPr>
        <w:spacing w:before="213" w:line="499" w:lineRule="exact"/>
        <w:ind w:left="603"/>
        <w:rPr>
          <w:rFonts w:ascii="宋体" w:hAnsi="宋体" w:eastAsia="宋体" w:cs="宋体"/>
          <w:sz w:val="24"/>
          <w:szCs w:val="24"/>
          <w:u w:val="single"/>
        </w:rPr>
      </w:pPr>
      <w:r>
        <w:rPr>
          <w:rFonts w:ascii="宋体" w:hAnsi="宋体" w:eastAsia="宋体" w:cs="宋体"/>
          <w:spacing w:val="2"/>
          <w:position w:val="19"/>
          <w:sz w:val="24"/>
          <w:szCs w:val="24"/>
          <w:u w:val="single"/>
        </w:rPr>
        <w:t>本项目营运期产生的废气源主要为</w:t>
      </w:r>
      <w:r>
        <w:rPr>
          <w:rFonts w:hint="eastAsia" w:ascii="宋体" w:hAnsi="宋体" w:eastAsia="宋体" w:cs="宋体"/>
          <w:spacing w:val="2"/>
          <w:position w:val="19"/>
          <w:sz w:val="24"/>
          <w:szCs w:val="24"/>
          <w:u w:val="single"/>
          <w:lang w:eastAsia="zh-CN"/>
        </w:rPr>
        <w:t>牛</w:t>
      </w:r>
      <w:r>
        <w:rPr>
          <w:rFonts w:ascii="宋体" w:hAnsi="宋体" w:eastAsia="宋体" w:cs="宋体"/>
          <w:spacing w:val="2"/>
          <w:position w:val="19"/>
          <w:sz w:val="24"/>
          <w:szCs w:val="24"/>
          <w:u w:val="single"/>
        </w:rPr>
        <w:t>羊待宰区、屠宰车间和污水处理站产生的</w:t>
      </w:r>
    </w:p>
    <w:p>
      <w:pPr>
        <w:spacing w:before="1" w:line="219" w:lineRule="auto"/>
        <w:ind w:left="123"/>
        <w:rPr>
          <w:rFonts w:ascii="宋体" w:hAnsi="宋体" w:eastAsia="宋体" w:cs="宋体"/>
          <w:sz w:val="24"/>
          <w:szCs w:val="24"/>
          <w:u w:val="single"/>
        </w:rPr>
      </w:pPr>
      <w:r>
        <w:rPr>
          <w:rFonts w:ascii="宋体" w:hAnsi="宋体" w:eastAsia="宋体" w:cs="宋体"/>
          <w:spacing w:val="-1"/>
          <w:sz w:val="24"/>
          <w:szCs w:val="24"/>
          <w:u w:val="single"/>
        </w:rPr>
        <w:t>恶臭气体及食堂油烟。大气污染物主要有</w:t>
      </w:r>
      <w:r>
        <w:rPr>
          <w:rFonts w:ascii="Times New Roman" w:hAnsi="Times New Roman" w:eastAsia="Times New Roman" w:cs="Times New Roman"/>
          <w:spacing w:val="-1"/>
          <w:sz w:val="24"/>
          <w:szCs w:val="24"/>
          <w:u w:val="single"/>
        </w:rPr>
        <w:t>NH</w:t>
      </w:r>
      <w:r>
        <w:rPr>
          <w:rFonts w:ascii="Times New Roman" w:hAnsi="Times New Roman" w:eastAsia="Times New Roman" w:cs="Times New Roman"/>
          <w:spacing w:val="-2"/>
          <w:position w:val="-1"/>
          <w:sz w:val="15"/>
          <w:szCs w:val="15"/>
          <w:u w:val="single"/>
        </w:rPr>
        <w:t>3</w:t>
      </w:r>
      <w:r>
        <w:rPr>
          <w:rFonts w:ascii="Times New Roman" w:hAnsi="Times New Roman" w:eastAsia="Times New Roman" w:cs="Times New Roman"/>
          <w:spacing w:val="-12"/>
          <w:position w:val="-1"/>
          <w:sz w:val="15"/>
          <w:szCs w:val="15"/>
          <w:u w:val="single"/>
        </w:rPr>
        <w:t xml:space="preserve"> </w:t>
      </w:r>
      <w:r>
        <w:rPr>
          <w:rFonts w:ascii="宋体" w:hAnsi="宋体" w:eastAsia="宋体" w:cs="宋体"/>
          <w:spacing w:val="-2"/>
          <w:sz w:val="24"/>
          <w:szCs w:val="24"/>
          <w:u w:val="single"/>
        </w:rPr>
        <w:t>、</w:t>
      </w:r>
      <w:r>
        <w:rPr>
          <w:rFonts w:ascii="Times New Roman" w:hAnsi="Times New Roman" w:eastAsia="Times New Roman" w:cs="Times New Roman"/>
          <w:spacing w:val="-2"/>
          <w:sz w:val="24"/>
          <w:szCs w:val="24"/>
          <w:u w:val="single"/>
        </w:rPr>
        <w:t>H</w:t>
      </w:r>
      <w:r>
        <w:rPr>
          <w:rFonts w:ascii="Times New Roman" w:hAnsi="Times New Roman" w:eastAsia="Times New Roman" w:cs="Times New Roman"/>
          <w:spacing w:val="-2"/>
          <w:position w:val="-1"/>
          <w:sz w:val="15"/>
          <w:szCs w:val="15"/>
          <w:u w:val="single"/>
        </w:rPr>
        <w:t>2</w:t>
      </w:r>
      <w:r>
        <w:rPr>
          <w:rFonts w:ascii="Times New Roman" w:hAnsi="Times New Roman" w:eastAsia="Times New Roman" w:cs="Times New Roman"/>
          <w:spacing w:val="-2"/>
          <w:sz w:val="24"/>
          <w:szCs w:val="24"/>
          <w:u w:val="single"/>
        </w:rPr>
        <w:t>S</w:t>
      </w:r>
      <w:r>
        <w:rPr>
          <w:rFonts w:ascii="宋体" w:hAnsi="宋体" w:eastAsia="宋体" w:cs="宋体"/>
          <w:spacing w:val="-2"/>
          <w:sz w:val="24"/>
          <w:szCs w:val="24"/>
          <w:u w:val="single"/>
        </w:rPr>
        <w:t>。</w:t>
      </w:r>
    </w:p>
    <w:p>
      <w:pPr>
        <w:spacing w:before="214" w:line="218" w:lineRule="auto"/>
        <w:ind w:left="605"/>
        <w:rPr>
          <w:rFonts w:ascii="宋体" w:hAnsi="宋体" w:eastAsia="宋体" w:cs="宋体"/>
          <w:sz w:val="24"/>
          <w:szCs w:val="24"/>
          <w:u w:val="single"/>
        </w:rPr>
      </w:pPr>
      <w:r>
        <w:rPr>
          <w:rFonts w:ascii="宋体" w:hAnsi="宋体" w:eastAsia="宋体" w:cs="宋体"/>
          <w:spacing w:val="-1"/>
          <w:sz w:val="24"/>
          <w:szCs w:val="24"/>
          <w:u w:val="single"/>
        </w:rPr>
        <w:t>综上，本项目筛选出的大气环境影响评价因子为：</w:t>
      </w:r>
      <w:r>
        <w:rPr>
          <w:rFonts w:ascii="Times New Roman" w:hAnsi="Times New Roman" w:eastAsia="Times New Roman" w:cs="Times New Roman"/>
          <w:spacing w:val="-1"/>
          <w:sz w:val="24"/>
          <w:szCs w:val="24"/>
          <w:u w:val="single"/>
        </w:rPr>
        <w:t>N</w:t>
      </w:r>
      <w:r>
        <w:rPr>
          <w:rFonts w:ascii="Times New Roman" w:hAnsi="Times New Roman" w:eastAsia="Times New Roman" w:cs="Times New Roman"/>
          <w:spacing w:val="-2"/>
          <w:sz w:val="24"/>
          <w:szCs w:val="24"/>
          <w:u w:val="single"/>
        </w:rPr>
        <w:t>H</w:t>
      </w:r>
      <w:r>
        <w:rPr>
          <w:rFonts w:ascii="Times New Roman" w:hAnsi="Times New Roman" w:eastAsia="Times New Roman" w:cs="Times New Roman"/>
          <w:spacing w:val="-2"/>
          <w:position w:val="-1"/>
          <w:sz w:val="15"/>
          <w:szCs w:val="15"/>
          <w:u w:val="single"/>
        </w:rPr>
        <w:t>3</w:t>
      </w:r>
      <w:r>
        <w:rPr>
          <w:rFonts w:ascii="Times New Roman" w:hAnsi="Times New Roman" w:eastAsia="Times New Roman" w:cs="Times New Roman"/>
          <w:spacing w:val="-12"/>
          <w:position w:val="-1"/>
          <w:sz w:val="15"/>
          <w:szCs w:val="15"/>
          <w:u w:val="single"/>
        </w:rPr>
        <w:t xml:space="preserve"> </w:t>
      </w:r>
      <w:r>
        <w:rPr>
          <w:rFonts w:ascii="宋体" w:hAnsi="宋体" w:eastAsia="宋体" w:cs="宋体"/>
          <w:spacing w:val="-2"/>
          <w:sz w:val="24"/>
          <w:szCs w:val="24"/>
          <w:u w:val="single"/>
        </w:rPr>
        <w:t>、</w:t>
      </w:r>
      <w:r>
        <w:rPr>
          <w:rFonts w:ascii="Times New Roman" w:hAnsi="Times New Roman" w:eastAsia="Times New Roman" w:cs="Times New Roman"/>
          <w:spacing w:val="-2"/>
          <w:sz w:val="24"/>
          <w:szCs w:val="24"/>
          <w:u w:val="single"/>
        </w:rPr>
        <w:t>H</w:t>
      </w:r>
      <w:r>
        <w:rPr>
          <w:rFonts w:ascii="Times New Roman" w:hAnsi="Times New Roman" w:eastAsia="Times New Roman" w:cs="Times New Roman"/>
          <w:spacing w:val="-2"/>
          <w:position w:val="-1"/>
          <w:sz w:val="15"/>
          <w:szCs w:val="15"/>
          <w:u w:val="single"/>
        </w:rPr>
        <w:t>2</w:t>
      </w:r>
      <w:r>
        <w:rPr>
          <w:rFonts w:ascii="Times New Roman" w:hAnsi="Times New Roman" w:eastAsia="Times New Roman" w:cs="Times New Roman"/>
          <w:spacing w:val="-2"/>
          <w:sz w:val="24"/>
          <w:szCs w:val="24"/>
          <w:u w:val="single"/>
        </w:rPr>
        <w:t>S</w:t>
      </w:r>
      <w:r>
        <w:rPr>
          <w:rFonts w:ascii="宋体" w:hAnsi="宋体" w:eastAsia="宋体" w:cs="宋体"/>
          <w:spacing w:val="-2"/>
          <w:sz w:val="24"/>
          <w:szCs w:val="24"/>
          <w:u w:val="single"/>
        </w:rPr>
        <w:t>。</w:t>
      </w:r>
    </w:p>
    <w:p>
      <w:pPr>
        <w:spacing w:before="216" w:line="218" w:lineRule="auto"/>
        <w:ind w:left="598"/>
        <w:rPr>
          <w:rFonts w:ascii="宋体" w:hAnsi="宋体" w:eastAsia="宋体" w:cs="宋体"/>
          <w:sz w:val="24"/>
          <w:szCs w:val="24"/>
          <w:u w:val="single"/>
        </w:rPr>
      </w:pPr>
      <w:r>
        <w:rPr>
          <w:rFonts w:hint="eastAsia" w:ascii="宋体" w:hAnsi="宋体" w:eastAsia="宋体" w:cs="宋体"/>
          <w:spacing w:val="-6"/>
          <w:sz w:val="24"/>
          <w:szCs w:val="24"/>
          <w:u w:val="single"/>
          <w:lang w:eastAsia="zh-CN"/>
        </w:rPr>
        <w:t>（</w:t>
      </w:r>
      <w:r>
        <w:rPr>
          <w:rFonts w:ascii="Times New Roman" w:hAnsi="Times New Roman" w:eastAsia="Times New Roman" w:cs="Times New Roman"/>
          <w:spacing w:val="-6"/>
          <w:sz w:val="24"/>
          <w:szCs w:val="24"/>
          <w:u w:val="single"/>
        </w:rPr>
        <w:t>2</w:t>
      </w:r>
      <w:r>
        <w:rPr>
          <w:rFonts w:hint="eastAsia" w:ascii="宋体" w:hAnsi="宋体" w:eastAsia="宋体" w:cs="宋体"/>
          <w:spacing w:val="-6"/>
          <w:sz w:val="24"/>
          <w:szCs w:val="24"/>
          <w:u w:val="single"/>
          <w:lang w:eastAsia="zh-CN"/>
        </w:rPr>
        <w:t>）</w:t>
      </w:r>
      <w:r>
        <w:rPr>
          <w:rFonts w:ascii="宋体" w:hAnsi="宋体" w:eastAsia="宋体" w:cs="宋体"/>
          <w:spacing w:val="-6"/>
          <w:sz w:val="24"/>
          <w:szCs w:val="24"/>
          <w:u w:val="single"/>
        </w:rPr>
        <w:t>评价标准</w:t>
      </w:r>
    </w:p>
    <w:p>
      <w:pPr>
        <w:spacing w:before="215" w:line="218" w:lineRule="auto"/>
        <w:ind w:left="603"/>
        <w:rPr>
          <w:rFonts w:ascii="宋体" w:hAnsi="宋体" w:eastAsia="宋体" w:cs="宋体"/>
          <w:sz w:val="24"/>
          <w:szCs w:val="24"/>
        </w:rPr>
      </w:pPr>
      <w:r>
        <w:rPr>
          <w:rFonts w:ascii="宋体" w:hAnsi="宋体" w:eastAsia="宋体" w:cs="宋体"/>
          <w:spacing w:val="-2"/>
          <w:sz w:val="24"/>
          <w:szCs w:val="24"/>
        </w:rPr>
        <w:t>本次环境影响预测时采用的大气环境质量评价标准详见表</w:t>
      </w:r>
      <w:r>
        <w:rPr>
          <w:rFonts w:ascii="Times New Roman" w:hAnsi="Times New Roman" w:eastAsia="Times New Roman" w:cs="Times New Roman"/>
          <w:spacing w:val="-2"/>
          <w:sz w:val="24"/>
          <w:szCs w:val="24"/>
        </w:rPr>
        <w:t>5-</w:t>
      </w:r>
      <w:r>
        <w:rPr>
          <w:rFonts w:hint="eastAsia" w:ascii="Times New Roman" w:hAnsi="Times New Roman" w:eastAsia="宋体" w:cs="Times New Roman"/>
          <w:spacing w:val="-2"/>
          <w:sz w:val="24"/>
          <w:szCs w:val="24"/>
          <w:lang w:val="en-US" w:eastAsia="zh-CN"/>
        </w:rPr>
        <w:t>12</w:t>
      </w:r>
      <w:r>
        <w:rPr>
          <w:rFonts w:ascii="宋体" w:hAnsi="宋体" w:eastAsia="宋体" w:cs="宋体"/>
          <w:spacing w:val="-2"/>
          <w:sz w:val="24"/>
          <w:szCs w:val="24"/>
        </w:rPr>
        <w:t>。</w:t>
      </w:r>
    </w:p>
    <w:p>
      <w:pPr>
        <w:spacing w:before="216" w:line="218" w:lineRule="auto"/>
        <w:ind w:left="1466"/>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12</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项目环境影响预测及评价环境质量标准一</w:t>
      </w:r>
      <w:r>
        <w:rPr>
          <w:rFonts w:ascii="宋体" w:hAnsi="宋体" w:eastAsia="宋体" w:cs="宋体"/>
          <w:spacing w:val="-1"/>
          <w:sz w:val="24"/>
          <w:szCs w:val="24"/>
          <w14:textOutline w14:w="4358" w14:cap="sq" w14:cmpd="sng">
            <w14:solidFill>
              <w14:srgbClr w14:val="000000"/>
            </w14:solidFill>
            <w14:prstDash w14:val="solid"/>
            <w14:bevel/>
          </w14:textOutline>
        </w:rPr>
        <w:t>览表</w:t>
      </w:r>
    </w:p>
    <w:tbl>
      <w:tblPr>
        <w:tblStyle w:val="24"/>
        <w:tblW w:w="8948" w:type="dxa"/>
        <w:tblInd w:w="6"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903"/>
        <w:gridCol w:w="1899"/>
        <w:gridCol w:w="1901"/>
        <w:gridCol w:w="324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190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评价因子</w:t>
            </w:r>
          </w:p>
        </w:tc>
        <w:tc>
          <w:tcPr>
            <w:tcW w:w="189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平均时段</w:t>
            </w:r>
          </w:p>
        </w:tc>
        <w:tc>
          <w:tcPr>
            <w:tcW w:w="190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标准值（</w:t>
            </w:r>
            <w:r>
              <w:rPr>
                <w:rFonts w:ascii="Times New Roman" w:hAnsi="Times New Roman" w:eastAsia="Times New Roman" w:cs="Times New Roman"/>
                <w:b/>
                <w:bCs/>
              </w:rPr>
              <w:t>ug</w:t>
            </w:r>
            <w:r>
              <w:rPr>
                <w:rFonts w:ascii="Times New Roman" w:hAnsi="Times New Roman" w:eastAsia="Times New Roman" w:cs="Times New Roman"/>
                <w:b/>
                <w:bCs/>
                <w:spacing w:val="7"/>
              </w:rPr>
              <w:t>/m</w:t>
            </w:r>
            <w:r>
              <w:rPr>
                <w:rFonts w:ascii="Times New Roman" w:hAnsi="Times New Roman" w:eastAsia="Times New Roman" w:cs="Times New Roman"/>
                <w:b/>
                <w:bCs/>
                <w:spacing w:val="7"/>
                <w:position w:val="6"/>
                <w:sz w:val="13"/>
                <w:szCs w:val="13"/>
              </w:rPr>
              <w:t>3</w:t>
            </w:r>
            <w:r>
              <w:rPr>
                <w:spacing w:val="7"/>
                <w14:textOutline w14:w="3795" w14:cap="sq" w14:cmpd="sng">
                  <w14:solidFill>
                    <w14:srgbClr w14:val="000000"/>
                  </w14:solidFill>
                  <w14:prstDash w14:val="solid"/>
                  <w14:bevel/>
                </w14:textOutline>
              </w:rPr>
              <w:t>）</w:t>
            </w:r>
          </w:p>
        </w:tc>
        <w:tc>
          <w:tcPr>
            <w:tcW w:w="324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标准来源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19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position w:val="-1"/>
                <w:sz w:val="13"/>
                <w:szCs w:val="13"/>
              </w:rPr>
              <w:t>3</w:t>
            </w:r>
          </w:p>
        </w:tc>
        <w:tc>
          <w:tcPr>
            <w:tcW w:w="189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1"/>
              </w:rPr>
              <w:t>1h</w:t>
            </w:r>
            <w:r>
              <w:rPr>
                <w:rFonts w:ascii="Times New Roman" w:hAnsi="Times New Roman" w:eastAsia="Times New Roman" w:cs="Times New Roman"/>
                <w:spacing w:val="8"/>
              </w:rPr>
              <w:t xml:space="preserve"> </w:t>
            </w:r>
            <w:r>
              <w:rPr>
                <w:spacing w:val="-1"/>
              </w:rPr>
              <w:t>平均</w:t>
            </w:r>
          </w:p>
        </w:tc>
        <w:tc>
          <w:tcPr>
            <w:tcW w:w="19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324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《环境影响评价技术导则大气</w:t>
            </w:r>
            <w:r>
              <w:rPr>
                <w:spacing w:val="3"/>
              </w:rPr>
              <w:t xml:space="preserve"> </w:t>
            </w:r>
            <w:r>
              <w:rPr>
                <w:spacing w:val="6"/>
              </w:rPr>
              <w:t>环境》（</w:t>
            </w:r>
            <w:r>
              <w:rPr>
                <w:rFonts w:ascii="Times New Roman" w:hAnsi="Times New Roman" w:eastAsia="Times New Roman" w:cs="Times New Roman"/>
              </w:rPr>
              <w:t>HJ</w:t>
            </w:r>
            <w:r>
              <w:rPr>
                <w:rFonts w:ascii="Times New Roman" w:hAnsi="Times New Roman" w:eastAsia="Times New Roman" w:cs="Times New Roman"/>
                <w:spacing w:val="6"/>
              </w:rPr>
              <w:t>2.2-2018</w:t>
            </w:r>
            <w:r>
              <w:rPr>
                <w:spacing w:val="6"/>
              </w:rPr>
              <w:t>）附录</w:t>
            </w:r>
            <w:r>
              <w:rPr>
                <w:rFonts w:ascii="Times New Roman" w:hAnsi="Times New Roman" w:eastAsia="Times New Roman" w:cs="Times New Roman"/>
                <w:spacing w:val="6"/>
              </w:rPr>
              <w:t>D</w:t>
            </w:r>
            <w:r>
              <w:rPr>
                <w:spacing w:val="6"/>
              </w:rPr>
              <w:t>表</w:t>
            </w:r>
            <w:r>
              <w:rPr>
                <w:rFonts w:ascii="Times New Roman" w:hAnsi="Times New Roman" w:eastAsia="Times New Roman" w:cs="Times New Roman"/>
                <w:spacing w:val="7"/>
              </w:rPr>
              <w:t>D.1</w:t>
            </w:r>
            <w:r>
              <w:rPr>
                <w:spacing w:val="7"/>
              </w:rPr>
              <w:t>其他污染物空气质量浓度参</w:t>
            </w:r>
            <w:r>
              <w:rPr>
                <w:spacing w:val="6"/>
              </w:rPr>
              <w:t>考限值</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19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189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1"/>
              </w:rPr>
              <w:t>1h</w:t>
            </w:r>
            <w:r>
              <w:rPr>
                <w:rFonts w:ascii="Times New Roman" w:hAnsi="Times New Roman" w:eastAsia="Times New Roman" w:cs="Times New Roman"/>
                <w:spacing w:val="8"/>
              </w:rPr>
              <w:t xml:space="preserve"> </w:t>
            </w:r>
            <w:r>
              <w:rPr>
                <w:spacing w:val="-1"/>
              </w:rPr>
              <w:t>平均</w:t>
            </w:r>
          </w:p>
        </w:tc>
        <w:tc>
          <w:tcPr>
            <w:tcW w:w="19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2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bl>
    <w:p>
      <w:pPr>
        <w:spacing w:before="130" w:line="218" w:lineRule="auto"/>
        <w:ind w:left="603"/>
        <w:rPr>
          <w:rFonts w:ascii="宋体" w:hAnsi="宋体" w:eastAsia="宋体" w:cs="宋体"/>
          <w:sz w:val="24"/>
          <w:szCs w:val="24"/>
        </w:rPr>
      </w:pPr>
      <w:r>
        <w:rPr>
          <w:rFonts w:hint="eastAsia" w:ascii="Times New Roman" w:hAnsi="Times New Roman" w:eastAsia="宋体" w:cs="Times New Roman"/>
          <w:spacing w:val="-31"/>
          <w:sz w:val="24"/>
          <w:szCs w:val="24"/>
          <w:lang w:eastAsia="zh-CN"/>
        </w:rPr>
        <w:t>（</w:t>
      </w:r>
      <w:r>
        <w:rPr>
          <w:rFonts w:ascii="Times New Roman" w:hAnsi="Times New Roman" w:eastAsia="Times New Roman" w:cs="Times New Roman"/>
          <w:spacing w:val="-5"/>
          <w:sz w:val="24"/>
          <w:szCs w:val="24"/>
        </w:rPr>
        <w:t>3</w:t>
      </w:r>
      <w:r>
        <w:rPr>
          <w:rFonts w:hint="eastAsia" w:ascii="Times New Roman" w:hAnsi="Times New Roman" w:eastAsia="宋体" w:cs="Times New Roman"/>
          <w:spacing w:val="-31"/>
          <w:sz w:val="24"/>
          <w:szCs w:val="24"/>
          <w:lang w:eastAsia="zh-CN"/>
        </w:rPr>
        <w:t>）</w:t>
      </w:r>
      <w:r>
        <w:rPr>
          <w:rFonts w:ascii="宋体" w:hAnsi="宋体" w:eastAsia="宋体" w:cs="宋体"/>
          <w:spacing w:val="-5"/>
          <w:sz w:val="24"/>
          <w:szCs w:val="24"/>
        </w:rPr>
        <w:t>估算模型参数</w:t>
      </w:r>
    </w:p>
    <w:p>
      <w:pPr>
        <w:pStyle w:val="8"/>
        <w:spacing w:line="316" w:lineRule="auto"/>
      </w:pPr>
    </w:p>
    <w:p>
      <w:pPr>
        <w:spacing w:before="78" w:line="218" w:lineRule="auto"/>
        <w:rPr>
          <w:rFonts w:ascii="宋体" w:hAnsi="宋体" w:eastAsia="宋体" w:cs="宋体"/>
          <w:spacing w:val="-1"/>
          <w:sz w:val="24"/>
          <w:szCs w:val="24"/>
          <w14:textOutline w14:w="4358" w14:cap="sq" w14:cmpd="sng">
            <w14:solidFill>
              <w14:srgbClr w14:val="000000"/>
            </w14:solidFill>
            <w14:prstDash w14:val="solid"/>
            <w14:bevel/>
          </w14:textOutline>
        </w:rPr>
      </w:pPr>
    </w:p>
    <w:p>
      <w:pPr>
        <w:spacing w:before="78" w:line="218" w:lineRule="auto"/>
        <w:ind w:left="297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5-</w:t>
      </w:r>
      <w:r>
        <w:rPr>
          <w:rFonts w:hint="eastAsia" w:ascii="Times New Roman" w:hAnsi="Times New Roman" w:eastAsia="宋体" w:cs="Times New Roman"/>
          <w:b/>
          <w:bCs/>
          <w:spacing w:val="-1"/>
          <w:sz w:val="24"/>
          <w:szCs w:val="24"/>
          <w:lang w:val="en-US" w:eastAsia="zh-CN"/>
        </w:rPr>
        <w:t>13</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估算模型参数表</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418"/>
        <w:gridCol w:w="2782"/>
        <w:gridCol w:w="375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0" w:hRule="atLeast"/>
        </w:trPr>
        <w:tc>
          <w:tcPr>
            <w:tcW w:w="5200" w:type="dxa"/>
            <w:gridSpan w:val="2"/>
            <w:tcBorders>
              <w:tl2br w:val="nil"/>
              <w:tr2bl w:val="nil"/>
            </w:tcBorders>
            <w:vAlign w:val="top"/>
          </w:tcPr>
          <w:p>
            <w:pPr>
              <w:pStyle w:val="25"/>
              <w:spacing w:before="81" w:line="228" w:lineRule="auto"/>
              <w:ind w:left="2398"/>
            </w:pPr>
            <w:r>
              <w:rPr>
                <w:spacing w:val="3"/>
              </w:rPr>
              <w:t>参数</w:t>
            </w:r>
          </w:p>
        </w:tc>
        <w:tc>
          <w:tcPr>
            <w:tcW w:w="3750" w:type="dxa"/>
            <w:tcBorders>
              <w:tl2br w:val="nil"/>
              <w:tr2bl w:val="nil"/>
            </w:tcBorders>
            <w:vAlign w:val="top"/>
          </w:tcPr>
          <w:p>
            <w:pPr>
              <w:pStyle w:val="25"/>
              <w:spacing w:before="81" w:line="228" w:lineRule="auto"/>
              <w:ind w:left="1672"/>
            </w:pPr>
            <w:r>
              <w:rPr>
                <w:spacing w:val="3"/>
              </w:rPr>
              <w:t>取值</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2418" w:type="dxa"/>
            <w:tcBorders>
              <w:tl2br w:val="nil"/>
              <w:tr2bl w:val="nil"/>
            </w:tcBorders>
            <w:vAlign w:val="top"/>
          </w:tcPr>
          <w:p>
            <w:pPr>
              <w:pStyle w:val="25"/>
              <w:spacing w:before="78" w:line="227" w:lineRule="auto"/>
              <w:ind w:left="555"/>
            </w:pPr>
            <w:r>
              <w:rPr>
                <w:spacing w:val="7"/>
              </w:rPr>
              <w:t>城市农村</w:t>
            </w:r>
            <w:r>
              <w:rPr>
                <w:rFonts w:ascii="Times New Roman" w:hAnsi="Times New Roman" w:eastAsia="Times New Roman" w:cs="Times New Roman"/>
                <w:spacing w:val="7"/>
              </w:rPr>
              <w:t>/</w:t>
            </w:r>
            <w:r>
              <w:rPr>
                <w:spacing w:val="7"/>
              </w:rPr>
              <w:t>选项</w:t>
            </w:r>
          </w:p>
        </w:tc>
        <w:tc>
          <w:tcPr>
            <w:tcW w:w="2782" w:type="dxa"/>
            <w:tcBorders>
              <w:tl2br w:val="nil"/>
              <w:tr2bl w:val="nil"/>
            </w:tcBorders>
            <w:vAlign w:val="top"/>
          </w:tcPr>
          <w:p>
            <w:pPr>
              <w:pStyle w:val="25"/>
              <w:spacing w:before="78" w:line="227" w:lineRule="auto"/>
              <w:ind w:left="948"/>
            </w:pPr>
            <w:r>
              <w:rPr>
                <w:spacing w:val="6"/>
              </w:rPr>
              <w:t>城市</w:t>
            </w:r>
            <w:r>
              <w:rPr>
                <w:rFonts w:ascii="Times New Roman" w:hAnsi="Times New Roman" w:eastAsia="Times New Roman" w:cs="Times New Roman"/>
                <w:spacing w:val="6"/>
              </w:rPr>
              <w:t>/</w:t>
            </w:r>
            <w:r>
              <w:rPr>
                <w:spacing w:val="6"/>
              </w:rPr>
              <w:t>农村</w:t>
            </w:r>
          </w:p>
        </w:tc>
        <w:tc>
          <w:tcPr>
            <w:tcW w:w="3750" w:type="dxa"/>
            <w:tcBorders>
              <w:tl2br w:val="nil"/>
              <w:tr2bl w:val="nil"/>
            </w:tcBorders>
            <w:vAlign w:val="top"/>
          </w:tcPr>
          <w:p>
            <w:pPr>
              <w:pStyle w:val="25"/>
              <w:spacing w:before="78" w:line="227" w:lineRule="auto"/>
              <w:ind w:left="1670"/>
            </w:pPr>
            <w:r>
              <w:rPr>
                <w:spacing w:val="4"/>
              </w:rPr>
              <w:t>农村</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2418" w:type="dxa"/>
            <w:tcBorders>
              <w:tl2br w:val="nil"/>
              <w:tr2bl w:val="nil"/>
            </w:tcBorders>
            <w:vAlign w:val="top"/>
          </w:tcPr>
          <w:p>
            <w:pPr>
              <w:rPr>
                <w:rFonts w:ascii="Arial"/>
                <w:sz w:val="21"/>
              </w:rPr>
            </w:pPr>
          </w:p>
        </w:tc>
        <w:tc>
          <w:tcPr>
            <w:tcW w:w="2782" w:type="dxa"/>
            <w:tcBorders>
              <w:tl2br w:val="nil"/>
              <w:tr2bl w:val="nil"/>
            </w:tcBorders>
            <w:vAlign w:val="top"/>
          </w:tcPr>
          <w:p>
            <w:pPr>
              <w:pStyle w:val="25"/>
              <w:spacing w:before="81" w:line="226" w:lineRule="auto"/>
              <w:ind w:left="347"/>
            </w:pPr>
            <w:r>
              <w:rPr>
                <w:spacing w:val="7"/>
              </w:rPr>
              <w:t>人口数（城市选项时）</w:t>
            </w:r>
          </w:p>
        </w:tc>
        <w:tc>
          <w:tcPr>
            <w:tcW w:w="3750" w:type="dxa"/>
            <w:tcBorders>
              <w:tl2br w:val="nil"/>
              <w:tr2bl w:val="nil"/>
            </w:tcBorders>
            <w:vAlign w:val="top"/>
          </w:tcPr>
          <w:p>
            <w:pPr>
              <w:spacing w:before="113" w:line="199" w:lineRule="auto"/>
              <w:ind w:left="1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7" w:hRule="atLeast"/>
        </w:trPr>
        <w:tc>
          <w:tcPr>
            <w:tcW w:w="5200" w:type="dxa"/>
            <w:gridSpan w:val="2"/>
            <w:tcBorders>
              <w:tl2br w:val="nil"/>
              <w:tr2bl w:val="nil"/>
            </w:tcBorders>
            <w:vAlign w:val="top"/>
          </w:tcPr>
          <w:p>
            <w:pPr>
              <w:pStyle w:val="25"/>
              <w:spacing w:before="78" w:line="228" w:lineRule="auto"/>
              <w:ind w:left="1842"/>
              <w:rPr>
                <w:rFonts w:ascii="Times New Roman" w:hAnsi="Times New Roman" w:eastAsia="Times New Roman" w:cs="Times New Roman"/>
              </w:rPr>
            </w:pPr>
            <w:r>
              <w:rPr>
                <w:spacing w:val="7"/>
              </w:rPr>
              <w:t>最高环境温度</w:t>
            </w:r>
            <w:r>
              <w:rPr>
                <w:rFonts w:ascii="Times New Roman" w:hAnsi="Times New Roman" w:eastAsia="Times New Roman" w:cs="Times New Roman"/>
                <w:spacing w:val="7"/>
              </w:rPr>
              <w:t>/℃</w:t>
            </w:r>
          </w:p>
        </w:tc>
        <w:tc>
          <w:tcPr>
            <w:tcW w:w="3750" w:type="dxa"/>
            <w:tcBorders>
              <w:tl2br w:val="nil"/>
              <w:tr2bl w:val="nil"/>
            </w:tcBorders>
            <w:vAlign w:val="center"/>
          </w:tcPr>
          <w:p>
            <w:pPr>
              <w:jc w:val="center"/>
              <w:rPr>
                <w:rFonts w:ascii="Times New Roman" w:hAnsi="Times New Roman" w:eastAsia="Times New Roman" w:cs="Times New Roman"/>
                <w:sz w:val="20"/>
                <w:szCs w:val="20"/>
              </w:rPr>
            </w:pPr>
            <w:r>
              <w:rPr>
                <w:rFonts w:hint="default" w:ascii="Times New Roman" w:hAnsi="Times New Roman" w:cs="Times New Roman"/>
                <w:bCs/>
                <w:szCs w:val="21"/>
              </w:rPr>
              <w:t>42.5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7" w:hRule="atLeast"/>
        </w:trPr>
        <w:tc>
          <w:tcPr>
            <w:tcW w:w="5200" w:type="dxa"/>
            <w:gridSpan w:val="2"/>
            <w:tcBorders>
              <w:tl2br w:val="nil"/>
              <w:tr2bl w:val="nil"/>
            </w:tcBorders>
            <w:vAlign w:val="top"/>
          </w:tcPr>
          <w:p>
            <w:pPr>
              <w:pStyle w:val="25"/>
              <w:spacing w:before="78" w:line="226" w:lineRule="auto"/>
              <w:ind w:left="1842"/>
              <w:rPr>
                <w:rFonts w:ascii="Times New Roman" w:hAnsi="Times New Roman" w:eastAsia="Times New Roman" w:cs="Times New Roman"/>
              </w:rPr>
            </w:pPr>
            <w:r>
              <w:rPr>
                <w:spacing w:val="7"/>
              </w:rPr>
              <w:t>最低环境温度</w:t>
            </w:r>
            <w:r>
              <w:rPr>
                <w:rFonts w:ascii="Times New Roman" w:hAnsi="Times New Roman" w:eastAsia="Times New Roman" w:cs="Times New Roman"/>
                <w:spacing w:val="7"/>
              </w:rPr>
              <w:t>/℃</w:t>
            </w:r>
          </w:p>
        </w:tc>
        <w:tc>
          <w:tcPr>
            <w:tcW w:w="3750" w:type="dxa"/>
            <w:tcBorders>
              <w:tl2br w:val="nil"/>
              <w:tr2bl w:val="nil"/>
            </w:tcBorders>
            <w:vAlign w:val="center"/>
          </w:tcPr>
          <w:p>
            <w:pPr>
              <w:jc w:val="center"/>
              <w:rPr>
                <w:rFonts w:ascii="Times New Roman" w:hAnsi="Times New Roman" w:eastAsia="Times New Roman" w:cs="Times New Roman"/>
                <w:sz w:val="20"/>
                <w:szCs w:val="20"/>
              </w:rPr>
            </w:pPr>
            <w:r>
              <w:rPr>
                <w:rFonts w:hint="default" w:ascii="Times New Roman" w:hAnsi="Times New Roman" w:cs="Times New Roman"/>
                <w:bCs/>
                <w:szCs w:val="21"/>
              </w:rPr>
              <w:t>-17.8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5200" w:type="dxa"/>
            <w:gridSpan w:val="2"/>
            <w:tcBorders>
              <w:tl2br w:val="nil"/>
              <w:tr2bl w:val="nil"/>
            </w:tcBorders>
            <w:vAlign w:val="top"/>
          </w:tcPr>
          <w:p>
            <w:pPr>
              <w:pStyle w:val="25"/>
              <w:spacing w:before="78" w:line="228" w:lineRule="auto"/>
              <w:ind w:left="1977"/>
            </w:pPr>
            <w:r>
              <w:rPr>
                <w:spacing w:val="8"/>
              </w:rPr>
              <w:t>土地利用类型</w:t>
            </w:r>
          </w:p>
        </w:tc>
        <w:tc>
          <w:tcPr>
            <w:tcW w:w="3750" w:type="dxa"/>
            <w:tcBorders>
              <w:tl2br w:val="nil"/>
              <w:tr2bl w:val="nil"/>
            </w:tcBorders>
            <w:vAlign w:val="top"/>
          </w:tcPr>
          <w:p>
            <w:pPr>
              <w:pStyle w:val="25"/>
              <w:spacing w:before="78" w:line="228" w:lineRule="auto"/>
              <w:ind w:left="1564"/>
            </w:pPr>
            <w:r>
              <w:rPr>
                <w:rFonts w:hint="default"/>
                <w:spacing w:val="6"/>
              </w:rPr>
              <w:t>农田</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5200" w:type="dxa"/>
            <w:gridSpan w:val="2"/>
            <w:tcBorders>
              <w:tl2br w:val="nil"/>
              <w:tr2bl w:val="nil"/>
            </w:tcBorders>
            <w:vAlign w:val="top"/>
          </w:tcPr>
          <w:p>
            <w:pPr>
              <w:pStyle w:val="25"/>
              <w:spacing w:before="79" w:line="228" w:lineRule="auto"/>
              <w:ind w:left="1992"/>
            </w:pPr>
            <w:r>
              <w:rPr>
                <w:spacing w:val="5"/>
              </w:rPr>
              <w:t>区域湿度条件</w:t>
            </w:r>
          </w:p>
        </w:tc>
        <w:tc>
          <w:tcPr>
            <w:tcW w:w="3750" w:type="dxa"/>
            <w:tcBorders>
              <w:tl2br w:val="nil"/>
              <w:tr2bl w:val="nil"/>
            </w:tcBorders>
            <w:vAlign w:val="top"/>
          </w:tcPr>
          <w:p>
            <w:pPr>
              <w:pStyle w:val="25"/>
              <w:spacing w:before="79" w:line="228" w:lineRule="auto"/>
              <w:ind w:left="1478"/>
            </w:pPr>
            <w:r>
              <w:rPr>
                <w:spacing w:val="2"/>
              </w:rPr>
              <w:t>中等湿度</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7" w:hRule="atLeast"/>
        </w:trPr>
        <w:tc>
          <w:tcPr>
            <w:tcW w:w="2418" w:type="dxa"/>
            <w:vMerge w:val="restart"/>
            <w:tcBorders>
              <w:tl2br w:val="nil"/>
              <w:tr2bl w:val="nil"/>
            </w:tcBorders>
            <w:vAlign w:val="top"/>
          </w:tcPr>
          <w:p>
            <w:pPr>
              <w:pStyle w:val="25"/>
              <w:spacing w:before="265" w:line="227" w:lineRule="auto"/>
              <w:ind w:left="588"/>
            </w:pPr>
            <w:r>
              <w:rPr>
                <w:spacing w:val="7"/>
              </w:rPr>
              <w:t>是否考虑地形</w:t>
            </w:r>
          </w:p>
        </w:tc>
        <w:tc>
          <w:tcPr>
            <w:tcW w:w="2782" w:type="dxa"/>
            <w:tcBorders>
              <w:tl2br w:val="nil"/>
              <w:tr2bl w:val="nil"/>
            </w:tcBorders>
            <w:vAlign w:val="top"/>
          </w:tcPr>
          <w:p>
            <w:pPr>
              <w:pStyle w:val="25"/>
              <w:spacing w:before="78" w:line="227" w:lineRule="auto"/>
              <w:ind w:left="977"/>
            </w:pPr>
            <w:r>
              <w:rPr>
                <w:spacing w:val="7"/>
              </w:rPr>
              <w:t>考虑地形</w:t>
            </w:r>
          </w:p>
        </w:tc>
        <w:tc>
          <w:tcPr>
            <w:tcW w:w="3750" w:type="dxa"/>
            <w:tcBorders>
              <w:tl2br w:val="nil"/>
              <w:tr2bl w:val="nil"/>
            </w:tcBorders>
            <w:vAlign w:val="top"/>
          </w:tcPr>
          <w:p>
            <w:pPr>
              <w:pStyle w:val="25"/>
              <w:spacing w:before="78" w:line="223" w:lineRule="auto"/>
              <w:ind w:left="1492"/>
            </w:pPr>
            <w:r>
              <w:rPr>
                <w:position w:val="-4"/>
              </w:rPr>
              <w:drawing>
                <wp:inline distT="0" distB="0" distL="0" distR="0">
                  <wp:extent cx="108585" cy="13970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52"/>
                          <a:stretch>
                            <a:fillRect/>
                          </a:stretch>
                        </pic:blipFill>
                        <pic:spPr>
                          <a:xfrm>
                            <a:off x="0" y="0"/>
                            <a:ext cx="109094" cy="139748"/>
                          </a:xfrm>
                          <a:prstGeom prst="rect">
                            <a:avLst/>
                          </a:prstGeom>
                        </pic:spPr>
                      </pic:pic>
                    </a:graphicData>
                  </a:graphic>
                </wp:inline>
              </w:drawing>
            </w:r>
            <w:r>
              <w:rPr>
                <w:spacing w:val="21"/>
              </w:rPr>
              <w:t>是</w:t>
            </w:r>
            <w:r>
              <w:rPr>
                <w:position w:val="-4"/>
              </w:rPr>
              <w:drawing>
                <wp:inline distT="0" distB="0" distL="0" distR="0">
                  <wp:extent cx="100965" cy="13970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53"/>
                          <a:stretch>
                            <a:fillRect/>
                          </a:stretch>
                        </pic:blipFill>
                        <pic:spPr>
                          <a:xfrm>
                            <a:off x="0" y="0"/>
                            <a:ext cx="101251" cy="139748"/>
                          </a:xfrm>
                          <a:prstGeom prst="rect">
                            <a:avLst/>
                          </a:prstGeom>
                        </pic:spPr>
                      </pic:pic>
                    </a:graphicData>
                  </a:graphic>
                </wp:inline>
              </w:drawing>
            </w:r>
            <w:r>
              <w:rPr>
                <w:spacing w:val="21"/>
              </w:rPr>
              <w:t>否</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7" w:hRule="atLeast"/>
        </w:trPr>
        <w:tc>
          <w:tcPr>
            <w:tcW w:w="2418" w:type="dxa"/>
            <w:vMerge w:val="continue"/>
            <w:tcBorders>
              <w:tl2br w:val="nil"/>
              <w:tr2bl w:val="nil"/>
            </w:tcBorders>
            <w:vAlign w:val="top"/>
          </w:tcPr>
          <w:p>
            <w:pPr>
              <w:rPr>
                <w:rFonts w:ascii="Arial"/>
                <w:sz w:val="21"/>
              </w:rPr>
            </w:pPr>
          </w:p>
        </w:tc>
        <w:tc>
          <w:tcPr>
            <w:tcW w:w="2782" w:type="dxa"/>
            <w:tcBorders>
              <w:tl2br w:val="nil"/>
              <w:tr2bl w:val="nil"/>
            </w:tcBorders>
            <w:vAlign w:val="top"/>
          </w:tcPr>
          <w:p>
            <w:pPr>
              <w:pStyle w:val="25"/>
              <w:spacing w:before="80" w:line="228" w:lineRule="auto"/>
              <w:ind w:left="549"/>
              <w:rPr>
                <w:rFonts w:ascii="Times New Roman" w:hAnsi="Times New Roman" w:eastAsia="Times New Roman" w:cs="Times New Roman"/>
              </w:rPr>
            </w:pPr>
            <w:r>
              <w:rPr>
                <w:spacing w:val="7"/>
              </w:rPr>
              <w:t>地形数据分辨率</w:t>
            </w:r>
            <w:r>
              <w:rPr>
                <w:rFonts w:ascii="Times New Roman" w:hAnsi="Times New Roman" w:eastAsia="Times New Roman" w:cs="Times New Roman"/>
                <w:spacing w:val="7"/>
              </w:rPr>
              <w:t>/m</w:t>
            </w:r>
          </w:p>
        </w:tc>
        <w:tc>
          <w:tcPr>
            <w:tcW w:w="3750" w:type="dxa"/>
            <w:tcBorders>
              <w:tl2br w:val="nil"/>
              <w:tr2bl w:val="nil"/>
            </w:tcBorders>
            <w:vAlign w:val="top"/>
          </w:tcPr>
          <w:p>
            <w:pPr>
              <w:spacing w:before="117" w:line="195" w:lineRule="auto"/>
              <w:ind w:left="1776"/>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2418" w:type="dxa"/>
            <w:vMerge w:val="restart"/>
            <w:tcBorders>
              <w:tl2br w:val="nil"/>
              <w:tr2bl w:val="nil"/>
            </w:tcBorders>
            <w:vAlign w:val="top"/>
          </w:tcPr>
          <w:p>
            <w:pPr>
              <w:spacing w:line="385" w:lineRule="auto"/>
              <w:rPr>
                <w:rFonts w:ascii="Arial"/>
                <w:sz w:val="21"/>
              </w:rPr>
            </w:pPr>
          </w:p>
          <w:p>
            <w:pPr>
              <w:pStyle w:val="25"/>
              <w:spacing w:before="65" w:line="224" w:lineRule="auto"/>
              <w:ind w:left="379"/>
            </w:pPr>
            <w:r>
              <w:rPr>
                <w:spacing w:val="8"/>
              </w:rPr>
              <w:t>是否考虑岸线熏烟</w:t>
            </w:r>
          </w:p>
        </w:tc>
        <w:tc>
          <w:tcPr>
            <w:tcW w:w="2782" w:type="dxa"/>
            <w:tcBorders>
              <w:tl2br w:val="nil"/>
              <w:tr2bl w:val="nil"/>
            </w:tcBorders>
            <w:vAlign w:val="top"/>
          </w:tcPr>
          <w:p>
            <w:pPr>
              <w:pStyle w:val="25"/>
              <w:spacing w:before="81" w:line="224" w:lineRule="auto"/>
              <w:ind w:left="765"/>
            </w:pPr>
            <w:r>
              <w:rPr>
                <w:spacing w:val="8"/>
              </w:rPr>
              <w:t>考虑岸线熏烟</w:t>
            </w:r>
          </w:p>
        </w:tc>
        <w:tc>
          <w:tcPr>
            <w:tcW w:w="3750" w:type="dxa"/>
            <w:tcBorders>
              <w:tl2br w:val="nil"/>
              <w:tr2bl w:val="nil"/>
            </w:tcBorders>
            <w:vAlign w:val="top"/>
          </w:tcPr>
          <w:p>
            <w:pPr>
              <w:pStyle w:val="25"/>
              <w:spacing w:before="81" w:line="223" w:lineRule="auto"/>
              <w:ind w:left="1492"/>
            </w:pPr>
            <w:r>
              <w:rPr>
                <w:position w:val="-4"/>
              </w:rPr>
              <w:drawing>
                <wp:inline distT="0" distB="0" distL="0" distR="0">
                  <wp:extent cx="100965" cy="13970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54"/>
                          <a:stretch>
                            <a:fillRect/>
                          </a:stretch>
                        </pic:blipFill>
                        <pic:spPr>
                          <a:xfrm>
                            <a:off x="0" y="0"/>
                            <a:ext cx="101251" cy="139748"/>
                          </a:xfrm>
                          <a:prstGeom prst="rect">
                            <a:avLst/>
                          </a:prstGeom>
                        </pic:spPr>
                      </pic:pic>
                    </a:graphicData>
                  </a:graphic>
                </wp:inline>
              </w:drawing>
            </w:r>
            <w:r>
              <w:rPr>
                <w:spacing w:val="21"/>
              </w:rPr>
              <w:t>是</w:t>
            </w:r>
            <w:r>
              <w:rPr>
                <w:position w:val="-4"/>
              </w:rPr>
              <w:drawing>
                <wp:inline distT="0" distB="0" distL="0" distR="0">
                  <wp:extent cx="108585" cy="13970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55"/>
                          <a:stretch>
                            <a:fillRect/>
                          </a:stretch>
                        </pic:blipFill>
                        <pic:spPr>
                          <a:xfrm>
                            <a:off x="0" y="0"/>
                            <a:ext cx="109094" cy="139748"/>
                          </a:xfrm>
                          <a:prstGeom prst="rect">
                            <a:avLst/>
                          </a:prstGeom>
                        </pic:spPr>
                      </pic:pic>
                    </a:graphicData>
                  </a:graphic>
                </wp:inline>
              </w:drawing>
            </w:r>
            <w:r>
              <w:rPr>
                <w:spacing w:val="21"/>
              </w:rPr>
              <w:t>否</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2418" w:type="dxa"/>
            <w:vMerge w:val="continue"/>
            <w:tcBorders>
              <w:tl2br w:val="nil"/>
              <w:tr2bl w:val="nil"/>
            </w:tcBorders>
            <w:vAlign w:val="top"/>
          </w:tcPr>
          <w:p>
            <w:pPr>
              <w:rPr>
                <w:rFonts w:ascii="Arial"/>
                <w:sz w:val="21"/>
              </w:rPr>
            </w:pPr>
          </w:p>
        </w:tc>
        <w:tc>
          <w:tcPr>
            <w:tcW w:w="2782" w:type="dxa"/>
            <w:tcBorders>
              <w:tl2br w:val="nil"/>
              <w:tr2bl w:val="nil"/>
            </w:tcBorders>
            <w:vAlign w:val="top"/>
          </w:tcPr>
          <w:p>
            <w:pPr>
              <w:pStyle w:val="25"/>
              <w:spacing w:before="79" w:line="228" w:lineRule="auto"/>
              <w:ind w:left="813"/>
              <w:rPr>
                <w:rFonts w:ascii="Times New Roman" w:hAnsi="Times New Roman" w:eastAsia="Times New Roman" w:cs="Times New Roman"/>
              </w:rPr>
            </w:pPr>
            <w:r>
              <w:rPr>
                <w:spacing w:val="8"/>
              </w:rPr>
              <w:t>岸线距离</w:t>
            </w:r>
            <w:r>
              <w:rPr>
                <w:rFonts w:ascii="Times New Roman" w:hAnsi="Times New Roman" w:eastAsia="Times New Roman" w:cs="Times New Roman"/>
                <w:spacing w:val="8"/>
              </w:rPr>
              <w:t>/</w:t>
            </w:r>
            <w:r>
              <w:rPr>
                <w:rFonts w:ascii="Times New Roman" w:hAnsi="Times New Roman" w:eastAsia="Times New Roman" w:cs="Times New Roman"/>
              </w:rPr>
              <w:t>km</w:t>
            </w:r>
          </w:p>
        </w:tc>
        <w:tc>
          <w:tcPr>
            <w:tcW w:w="3750" w:type="dxa"/>
            <w:tcBorders>
              <w:tl2br w:val="nil"/>
              <w:tr2bl w:val="nil"/>
            </w:tcBorders>
            <w:vAlign w:val="top"/>
          </w:tcPr>
          <w:p>
            <w:pPr>
              <w:spacing w:before="112" w:line="199" w:lineRule="auto"/>
              <w:ind w:left="1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2418" w:type="dxa"/>
            <w:vMerge w:val="continue"/>
            <w:tcBorders>
              <w:tl2br w:val="nil"/>
              <w:tr2bl w:val="nil"/>
            </w:tcBorders>
            <w:vAlign w:val="top"/>
          </w:tcPr>
          <w:p>
            <w:pPr>
              <w:rPr>
                <w:rFonts w:ascii="Arial"/>
                <w:sz w:val="21"/>
              </w:rPr>
            </w:pPr>
          </w:p>
        </w:tc>
        <w:tc>
          <w:tcPr>
            <w:tcW w:w="2782" w:type="dxa"/>
            <w:tcBorders>
              <w:tl2br w:val="nil"/>
              <w:tr2bl w:val="nil"/>
            </w:tcBorders>
            <w:vAlign w:val="top"/>
          </w:tcPr>
          <w:p>
            <w:pPr>
              <w:pStyle w:val="25"/>
              <w:spacing w:before="81" w:line="228" w:lineRule="auto"/>
              <w:ind w:left="905"/>
              <w:rPr>
                <w:rFonts w:ascii="Times New Roman" w:hAnsi="Times New Roman" w:eastAsia="Times New Roman" w:cs="Times New Roman"/>
              </w:rPr>
            </w:pPr>
            <w:r>
              <w:rPr>
                <w:spacing w:val="6"/>
              </w:rPr>
              <w:t>岸线方向</w:t>
            </w:r>
            <w:r>
              <w:rPr>
                <w:rFonts w:ascii="Times New Roman" w:hAnsi="Times New Roman" w:eastAsia="Times New Roman" w:cs="Times New Roman"/>
                <w:spacing w:val="6"/>
              </w:rPr>
              <w:t>/°</w:t>
            </w:r>
          </w:p>
        </w:tc>
        <w:tc>
          <w:tcPr>
            <w:tcW w:w="3750" w:type="dxa"/>
            <w:tcBorders>
              <w:tl2br w:val="nil"/>
              <w:tr2bl w:val="nil"/>
            </w:tcBorders>
            <w:vAlign w:val="top"/>
          </w:tcPr>
          <w:p>
            <w:pPr>
              <w:spacing w:before="113" w:line="199" w:lineRule="auto"/>
              <w:ind w:left="1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keepNext w:val="0"/>
        <w:keepLines w:val="0"/>
        <w:pageBreakBefore w:val="0"/>
        <w:widowControl/>
        <w:kinsoku w:val="0"/>
        <w:wordWrap/>
        <w:overflowPunct/>
        <w:topLinePunct w:val="0"/>
        <w:autoSpaceDE w:val="0"/>
        <w:autoSpaceDN w:val="0"/>
        <w:bidi w:val="0"/>
        <w:adjustRightInd w:val="0"/>
        <w:snapToGrid w:val="0"/>
        <w:spacing w:before="130" w:line="360" w:lineRule="auto"/>
        <w:ind w:left="658"/>
        <w:textAlignment w:val="baseline"/>
        <w:rPr>
          <w:rFonts w:ascii="宋体" w:hAnsi="宋体" w:eastAsia="宋体" w:cs="宋体"/>
          <w:sz w:val="24"/>
          <w:szCs w:val="24"/>
        </w:rPr>
      </w:pPr>
      <w:r>
        <w:rPr>
          <w:rFonts w:hint="eastAsia" w:ascii="Times New Roman" w:hAnsi="Times New Roman" w:eastAsia="宋体" w:cs="Times New Roman"/>
          <w:spacing w:val="-34"/>
          <w:sz w:val="24"/>
          <w:szCs w:val="24"/>
          <w:lang w:eastAsia="zh-CN"/>
        </w:rPr>
        <w:t>（</w:t>
      </w:r>
      <w:r>
        <w:rPr>
          <w:rFonts w:ascii="Times New Roman" w:hAnsi="Times New Roman" w:eastAsia="Times New Roman" w:cs="Times New Roman"/>
          <w:spacing w:val="-2"/>
          <w:sz w:val="24"/>
          <w:szCs w:val="24"/>
        </w:rPr>
        <w:t>4</w:t>
      </w:r>
      <w:r>
        <w:rPr>
          <w:rFonts w:hint="eastAsia" w:ascii="Times New Roman" w:hAnsi="Times New Roman" w:eastAsia="宋体" w:cs="Times New Roman"/>
          <w:spacing w:val="-34"/>
          <w:sz w:val="24"/>
          <w:szCs w:val="24"/>
          <w:lang w:eastAsia="zh-CN"/>
        </w:rPr>
        <w:t>）</w:t>
      </w:r>
      <w:r>
        <w:rPr>
          <w:rFonts w:ascii="宋体" w:hAnsi="宋体" w:eastAsia="宋体" w:cs="宋体"/>
          <w:spacing w:val="-2"/>
          <w:sz w:val="24"/>
          <w:szCs w:val="24"/>
        </w:rPr>
        <w:t>项目大气污染因子及源强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本项目有组织点源排放参数见下表5-1</w:t>
      </w:r>
      <w:r>
        <w:rPr>
          <w:rFonts w:hint="eastAsia" w:ascii="Times New Roman" w:hAnsi="Times New Roman" w:eastAsia="宋体" w:cs="Times New Roman"/>
          <w:sz w:val="24"/>
          <w:szCs w:val="24"/>
          <w:lang w:val="en-US" w:eastAsia="zh-CN"/>
        </w:rPr>
        <w:t>4</w:t>
      </w:r>
      <w:r>
        <w:rPr>
          <w:rFonts w:hint="default" w:ascii="Times New Roman" w:hAnsi="Times New Roman" w:cs="Times New Roman"/>
          <w:sz w:val="24"/>
          <w:szCs w:val="24"/>
        </w:rPr>
        <w:t>。本项目无组织排放源为多边形面源，则本项目大气污染物面源排放参数一览表见表5-1</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251"/>
        <w:textAlignment w:val="baseline"/>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5-1</w:t>
      </w:r>
      <w:r>
        <w:rPr>
          <w:rFonts w:hint="eastAsia" w:ascii="Times New Roman" w:hAnsi="Times New Roman" w:eastAsia="宋体" w:cs="Times New Roman"/>
          <w:b/>
          <w:bCs/>
          <w:sz w:val="24"/>
          <w:szCs w:val="24"/>
          <w:lang w:val="en-US" w:eastAsia="zh-CN"/>
        </w:rPr>
        <w:t>4</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本项目正常工况下点</w:t>
      </w:r>
      <w:r>
        <w:rPr>
          <w:rFonts w:ascii="宋体" w:hAnsi="宋体" w:eastAsia="宋体" w:cs="宋体"/>
          <w:spacing w:val="-1"/>
          <w:sz w:val="24"/>
          <w:szCs w:val="24"/>
          <w14:textOutline w14:w="4358" w14:cap="sq" w14:cmpd="sng">
            <w14:solidFill>
              <w14:srgbClr w14:val="000000"/>
            </w14:solidFill>
            <w14:prstDash w14:val="solid"/>
            <w14:bevel/>
          </w14:textOutline>
        </w:rPr>
        <w:t>源参数表</w:t>
      </w:r>
    </w:p>
    <w:tbl>
      <w:tblPr>
        <w:tblStyle w:val="24"/>
        <w:tblW w:w="9075"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41"/>
        <w:gridCol w:w="653"/>
        <w:gridCol w:w="663"/>
        <w:gridCol w:w="911"/>
        <w:gridCol w:w="690"/>
        <w:gridCol w:w="751"/>
        <w:gridCol w:w="778"/>
        <w:gridCol w:w="575"/>
        <w:gridCol w:w="702"/>
        <w:gridCol w:w="477"/>
        <w:gridCol w:w="629"/>
        <w:gridCol w:w="120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921" w:hRule="atLeast"/>
        </w:trPr>
        <w:tc>
          <w:tcPr>
            <w:tcW w:w="104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4"/>
                <w:u w:val="single"/>
                <w14:textOutline w14:w="3795" w14:cap="sq" w14:cmpd="sng">
                  <w14:solidFill>
                    <w14:srgbClr w14:val="000000"/>
                  </w14:solidFill>
                  <w14:prstDash w14:val="solid"/>
                  <w14:bevel/>
                </w14:textOutline>
              </w:rPr>
              <w:t>点源名</w:t>
            </w:r>
            <w:r>
              <w:rPr>
                <w:spacing w:val="1"/>
                <w:u w:val="single"/>
                <w14:textOutline w14:w="3795" w14:cap="sq" w14:cmpd="sng">
                  <w14:solidFill>
                    <w14:srgbClr w14:val="000000"/>
                  </w14:solidFill>
                  <w14:prstDash w14:val="solid"/>
                  <w14:bevel/>
                </w14:textOutline>
              </w:rPr>
              <w:t>称</w:t>
            </w:r>
          </w:p>
        </w:tc>
        <w:tc>
          <w:tcPr>
            <w:tcW w:w="1316"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u w:val="single"/>
              </w:rPr>
            </w:pPr>
            <w:r>
              <w:rPr>
                <w:spacing w:val="8"/>
                <w:u w:val="single"/>
                <w14:textOutline w14:w="3795" w14:cap="sq" w14:cmpd="sng">
                  <w14:solidFill>
                    <w14:srgbClr w14:val="000000"/>
                  </w14:solidFill>
                  <w14:prstDash w14:val="solid"/>
                  <w14:bevel/>
                </w14:textOutline>
              </w:rPr>
              <w:t>排气筒底部</w:t>
            </w:r>
            <w:r>
              <w:rPr>
                <w:spacing w:val="4"/>
                <w:u w:val="single"/>
                <w14:textOutline w14:w="3795" w14:cap="sq" w14:cmpd="sng">
                  <w14:solidFill>
                    <w14:srgbClr w14:val="000000"/>
                  </w14:solidFill>
                  <w14:prstDash w14:val="solid"/>
                  <w14:bevel/>
                </w14:textOutline>
              </w:rPr>
              <w:t>中心坐标</w:t>
            </w:r>
            <w:r>
              <w:rPr>
                <w:rFonts w:ascii="Times New Roman" w:hAnsi="Times New Roman" w:eastAsia="Times New Roman" w:cs="Times New Roman"/>
                <w:b/>
                <w:bCs/>
                <w:spacing w:val="4"/>
                <w:u w:val="single"/>
              </w:rPr>
              <w:t>/m</w:t>
            </w:r>
          </w:p>
        </w:tc>
        <w:tc>
          <w:tcPr>
            <w:tcW w:w="91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7"/>
                <w:u w:val="single"/>
                <w14:textOutline w14:w="3795" w14:cap="sq" w14:cmpd="sng">
                  <w14:solidFill>
                    <w14:srgbClr w14:val="000000"/>
                  </w14:solidFill>
                  <w14:prstDash w14:val="solid"/>
                  <w14:bevel/>
                </w14:textOutline>
              </w:rPr>
              <w:t>排气筒</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8"/>
                <w:u w:val="single"/>
                <w14:textOutline w14:w="3795" w14:cap="sq" w14:cmpd="sng">
                  <w14:solidFill>
                    <w14:srgbClr w14:val="000000"/>
                  </w14:solidFill>
                  <w14:prstDash w14:val="solid"/>
                  <w14:bevel/>
                </w14:textOutline>
              </w:rPr>
              <w:t>底部海</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7"/>
                <w:u w:val="single"/>
                <w14:textOutline w14:w="3795" w14:cap="sq" w14:cmpd="sng">
                  <w14:solidFill>
                    <w14:srgbClr w14:val="000000"/>
                  </w14:solidFill>
                  <w14:prstDash w14:val="solid"/>
                  <w14:bevel/>
                </w14:textOutline>
              </w:rPr>
              <w:t>拔高度</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4"/>
                <w:sz w:val="20"/>
                <w:szCs w:val="20"/>
                <w:u w:val="single"/>
              </w:rPr>
              <w:t>/m</w:t>
            </w:r>
          </w:p>
        </w:tc>
        <w:tc>
          <w:tcPr>
            <w:tcW w:w="690"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u w:val="single"/>
              </w:rPr>
            </w:pPr>
            <w:r>
              <w:rPr>
                <w:spacing w:val="6"/>
                <w:u w:val="single"/>
                <w14:textOutline w14:w="3795" w14:cap="sq" w14:cmpd="sng">
                  <w14:solidFill>
                    <w14:srgbClr w14:val="000000"/>
                  </w14:solidFill>
                  <w14:prstDash w14:val="solid"/>
                  <w14:bevel/>
                </w14:textOutline>
              </w:rPr>
              <w:t>排气</w:t>
            </w:r>
            <w:r>
              <w:rPr>
                <w:spacing w:val="12"/>
                <w:u w:val="single"/>
                <w14:textOutline w14:w="3795" w14:cap="sq" w14:cmpd="sng">
                  <w14:solidFill>
                    <w14:srgbClr w14:val="000000"/>
                  </w14:solidFill>
                  <w14:prstDash w14:val="solid"/>
                  <w14:bevel/>
                </w14:textOutline>
              </w:rPr>
              <w:t>筒高</w:t>
            </w:r>
            <w:r>
              <w:rPr>
                <w:spacing w:val="4"/>
                <w:u w:val="single"/>
                <w14:textOutline w14:w="3795" w14:cap="sq" w14:cmpd="sng">
                  <w14:solidFill>
                    <w14:srgbClr w14:val="000000"/>
                  </w14:solidFill>
                  <w14:prstDash w14:val="solid"/>
                  <w14:bevel/>
                </w14:textOutline>
              </w:rPr>
              <w:t>度</w:t>
            </w:r>
            <w:r>
              <w:rPr>
                <w:rFonts w:ascii="Times New Roman" w:hAnsi="Times New Roman" w:eastAsia="Times New Roman" w:cs="Times New Roman"/>
                <w:b/>
                <w:bCs/>
                <w:spacing w:val="4"/>
                <w:u w:val="single"/>
              </w:rPr>
              <w:t>/m</w:t>
            </w:r>
          </w:p>
        </w:tc>
        <w:tc>
          <w:tcPr>
            <w:tcW w:w="75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6"/>
                <w:position w:val="7"/>
                <w:u w:val="single"/>
                <w14:textOutline w14:w="3795" w14:cap="sq" w14:cmpd="sng">
                  <w14:solidFill>
                    <w14:srgbClr w14:val="000000"/>
                  </w14:solidFill>
                  <w14:prstDash w14:val="solid"/>
                  <w14:bevel/>
                </w14:textOutline>
              </w:rPr>
              <w:t>排气</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4"/>
                <w:u w:val="single"/>
                <w14:textOutline w14:w="3795" w14:cap="sq" w14:cmpd="sng">
                  <w14:solidFill>
                    <w14:srgbClr w14:val="000000"/>
                  </w14:solidFill>
                  <w14:prstDash w14:val="solid"/>
                  <w14:bevel/>
                </w14:textOutline>
              </w:rPr>
              <w:t>筒出</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10"/>
                <w:u w:val="single"/>
                <w14:textOutline w14:w="3795" w14:cap="sq" w14:cmpd="sng">
                  <w14:solidFill>
                    <w14:srgbClr w14:val="000000"/>
                  </w14:solidFill>
                  <w14:prstDash w14:val="solid"/>
                  <w14:bevel/>
                </w14:textOutline>
              </w:rPr>
              <w:t>口内</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u w:val="single"/>
              </w:rPr>
            </w:pPr>
            <w:r>
              <w:rPr>
                <w:spacing w:val="4"/>
                <w:u w:val="single"/>
                <w14:textOutline w14:w="3795" w14:cap="sq" w14:cmpd="sng">
                  <w14:solidFill>
                    <w14:srgbClr w14:val="000000"/>
                  </w14:solidFill>
                  <w14:prstDash w14:val="solid"/>
                  <w14:bevel/>
                </w14:textOutline>
              </w:rPr>
              <w:t>径</w:t>
            </w:r>
            <w:r>
              <w:rPr>
                <w:rFonts w:ascii="Times New Roman" w:hAnsi="Times New Roman" w:eastAsia="Times New Roman" w:cs="Times New Roman"/>
                <w:b/>
                <w:bCs/>
                <w:spacing w:val="4"/>
                <w:u w:val="single"/>
              </w:rPr>
              <w:t>/m</w:t>
            </w:r>
          </w:p>
        </w:tc>
        <w:tc>
          <w:tcPr>
            <w:tcW w:w="778"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5"/>
                <w:u w:val="single"/>
                <w14:textOutline w14:w="3795" w14:cap="sq" w14:cmpd="sng">
                  <w14:solidFill>
                    <w14:srgbClr w14:val="000000"/>
                  </w14:solidFill>
                  <w14:prstDash w14:val="solid"/>
                  <w14:bevel/>
                </w14:textOutline>
              </w:rPr>
              <w:t>烟气</w:t>
            </w:r>
            <w:r>
              <w:rPr>
                <w:spacing w:val="7"/>
                <w:u w:val="single"/>
                <w14:textOutline w14:w="3795" w14:cap="sq" w14:cmpd="sng">
                  <w14:solidFill>
                    <w14:srgbClr w14:val="000000"/>
                  </w14:solidFill>
                  <w14:prstDash w14:val="solid"/>
                  <w14:bevel/>
                </w14:textOutline>
              </w:rPr>
              <w:t>流速</w:t>
            </w:r>
            <w:r>
              <w:rPr>
                <w:rFonts w:ascii="Times New Roman" w:hAnsi="Times New Roman" w:eastAsia="Times New Roman" w:cs="Times New Roman"/>
                <w:b/>
                <w:bCs/>
                <w:spacing w:val="7"/>
                <w:u w:val="single"/>
              </w:rPr>
              <w:t>/</w:t>
            </w:r>
            <w:r>
              <w:rPr>
                <w:spacing w:val="1"/>
                <w:u w:val="single"/>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u w:val="single"/>
              </w:rPr>
              <w:t>m</w:t>
            </w:r>
            <w:r>
              <w:rPr>
                <w:rFonts w:ascii="Times New Roman" w:hAnsi="Times New Roman" w:eastAsia="Times New Roman" w:cs="Times New Roman"/>
                <w:b/>
                <w:bCs/>
                <w:spacing w:val="1"/>
                <w:position w:val="6"/>
                <w:sz w:val="13"/>
                <w:szCs w:val="13"/>
                <w:u w:val="single"/>
              </w:rPr>
              <w:t>3</w:t>
            </w:r>
            <w:r>
              <w:rPr>
                <w:rFonts w:ascii="Times New Roman" w:hAnsi="Times New Roman" w:eastAsia="Times New Roman" w:cs="Times New Roman"/>
                <w:b/>
                <w:bCs/>
                <w:spacing w:val="1"/>
                <w:u w:val="single"/>
              </w:rPr>
              <w:t xml:space="preserve">/ </w:t>
            </w:r>
            <w:r>
              <w:rPr>
                <w:rFonts w:ascii="Times New Roman" w:hAnsi="Times New Roman" w:eastAsia="Times New Roman" w:cs="Times New Roman"/>
                <w:b/>
                <w:bCs/>
                <w:spacing w:val="34"/>
                <w:w w:val="103"/>
                <w:u w:val="single"/>
              </w:rPr>
              <w:t>h</w:t>
            </w:r>
            <w:r>
              <w:rPr>
                <w:spacing w:val="34"/>
                <w:w w:val="103"/>
                <w:u w:val="single"/>
                <w14:textOutline w14:w="3795" w14:cap="sq" w14:cmpd="sng">
                  <w14:solidFill>
                    <w14:srgbClr w14:val="000000"/>
                  </w14:solidFill>
                  <w14:prstDash w14:val="solid"/>
                  <w14:bevel/>
                </w14:textOutline>
              </w:rPr>
              <w:t>）</w:t>
            </w:r>
          </w:p>
        </w:tc>
        <w:tc>
          <w:tcPr>
            <w:tcW w:w="575"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position w:val="7"/>
                <w:u w:val="single"/>
                <w14:textOutline w14:w="3795" w14:cap="sq" w14:cmpd="sng">
                  <w14:solidFill>
                    <w14:srgbClr w14:val="000000"/>
                  </w14:solidFill>
                  <w14:prstDash w14:val="solid"/>
                  <w14:bevel/>
                </w14:textOutline>
              </w:rPr>
              <w:t>烟</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u w:val="single"/>
                <w14:textOutline w14:w="3795" w14:cap="sq" w14:cmpd="sng">
                  <w14:solidFill>
                    <w14:srgbClr w14:val="000000"/>
                  </w14:solidFill>
                  <w14:prstDash w14:val="solid"/>
                  <w14:bevel/>
                </w14:textOutline>
              </w:rPr>
              <w:t>气</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u w:val="single"/>
                <w14:textOutline w14:w="3795" w14:cap="sq" w14:cmpd="sng">
                  <w14:solidFill>
                    <w14:srgbClr w14:val="000000"/>
                  </w14:solidFill>
                  <w14:prstDash w14:val="solid"/>
                  <w14:bevel/>
                </w14:textOutline>
              </w:rPr>
              <w:t>温</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1"/>
                <w:u w:val="single"/>
                <w14:textOutline w14:w="3795" w14:cap="sq" w14:cmpd="sng">
                  <w14:solidFill>
                    <w14:srgbClr w14:val="000000"/>
                  </w14:solidFill>
                  <w14:prstDash w14:val="solid"/>
                  <w14:bevel/>
                </w14:textOutline>
              </w:rPr>
              <w:t>度</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5"/>
                <w:sz w:val="20"/>
                <w:szCs w:val="20"/>
                <w:u w:val="single"/>
              </w:rPr>
              <w:t>/℃</w:t>
            </w:r>
          </w:p>
        </w:tc>
        <w:tc>
          <w:tcPr>
            <w:tcW w:w="702"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5"/>
                <w:u w:val="single"/>
                <w14:textOutline w14:w="3795" w14:cap="sq" w14:cmpd="sng">
                  <w14:solidFill>
                    <w14:srgbClr w14:val="000000"/>
                  </w14:solidFill>
                  <w14:prstDash w14:val="solid"/>
                  <w14:bevel/>
                </w14:textOutline>
              </w:rPr>
              <w:t>年排</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6"/>
                <w:u w:val="single"/>
                <w14:textOutline w14:w="3795" w14:cap="sq" w14:cmpd="sng">
                  <w14:solidFill>
                    <w14:srgbClr w14:val="000000"/>
                  </w14:solidFill>
                  <w14:prstDash w14:val="solid"/>
                  <w14:bevel/>
                </w14:textOutline>
              </w:rPr>
              <w:t>放小</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1"/>
                <w:u w:val="single"/>
                <w14:textOutline w14:w="3795" w14:cap="sq" w14:cmpd="sng">
                  <w14:solidFill>
                    <w14:srgbClr w14:val="000000"/>
                  </w14:solidFill>
                  <w14:prstDash w14:val="solid"/>
                  <w14:bevel/>
                </w14:textOutline>
              </w:rPr>
              <w:t>时数</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3"/>
                <w:sz w:val="20"/>
                <w:szCs w:val="20"/>
                <w:u w:val="single"/>
              </w:rPr>
              <w:t>/h</w:t>
            </w:r>
          </w:p>
        </w:tc>
        <w:tc>
          <w:tcPr>
            <w:tcW w:w="477" w:type="dxa"/>
            <w:vMerge w:val="restart"/>
            <w:tcBorders>
              <w:tl2br w:val="nil"/>
              <w:tr2bl w:val="nil"/>
            </w:tcBorders>
            <w:textDirection w:val="tbRlV"/>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6"/>
                <w:u w:val="single"/>
                <w14:textOutline w14:w="3795" w14:cap="sq" w14:cmpd="sng">
                  <w14:solidFill>
                    <w14:srgbClr w14:val="000000"/>
                  </w14:solidFill>
                  <w14:prstDash w14:val="solid"/>
                  <w14:bevel/>
                </w14:textOutline>
              </w:rPr>
              <w:t>排放工况</w:t>
            </w:r>
          </w:p>
        </w:tc>
        <w:tc>
          <w:tcPr>
            <w:tcW w:w="629" w:type="dxa"/>
            <w:vMerge w:val="restart"/>
            <w:tcBorders>
              <w:tl2br w:val="nil"/>
              <w:tr2bl w:val="nil"/>
            </w:tcBorders>
            <w:textDirection w:val="tbRlV"/>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6"/>
                <w:u w:val="single"/>
                <w14:textOutline w14:w="3795" w14:cap="sq" w14:cmpd="sng">
                  <w14:solidFill>
                    <w14:srgbClr w14:val="000000"/>
                  </w14:solidFill>
                  <w14:prstDash w14:val="solid"/>
                  <w14:bevel/>
                </w14:textOutline>
              </w:rPr>
              <w:t>评价因子</w:t>
            </w:r>
          </w:p>
        </w:tc>
        <w:tc>
          <w:tcPr>
            <w:tcW w:w="1205"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5"/>
                <w:u w:val="single"/>
                <w14:textOutline w14:w="3795" w14:cap="sq" w14:cmpd="sng">
                  <w14:solidFill>
                    <w14:srgbClr w14:val="000000"/>
                  </w14:solidFill>
                  <w14:prstDash w14:val="solid"/>
                  <w14:bevel/>
                </w14:textOutline>
              </w:rPr>
              <w:t>源强</w:t>
            </w:r>
            <w:r>
              <w:rPr>
                <w:rFonts w:ascii="Times New Roman" w:hAnsi="Times New Roman" w:eastAsia="Times New Roman" w:cs="Times New Roman"/>
                <w:b/>
                <w:bCs/>
                <w:spacing w:val="5"/>
                <w:u w:val="single"/>
              </w:rPr>
              <w:t>/</w:t>
            </w:r>
            <w:r>
              <w:rPr>
                <w:u w:val="single"/>
                <w14:textOutline w14:w="3795" w14:cap="sq" w14:cmpd="sng">
                  <w14:solidFill>
                    <w14:srgbClr w14:val="000000"/>
                  </w14:solidFill>
                  <w14:prstDash w14:val="solid"/>
                  <w14:bevel/>
                </w14:textOutline>
              </w:rPr>
              <w:t>（</w:t>
            </w:r>
            <w:r>
              <w:rPr>
                <w:rFonts w:ascii="Times New Roman" w:hAnsi="Times New Roman" w:eastAsia="Times New Roman" w:cs="Times New Roman"/>
                <w:b/>
                <w:bCs/>
                <w:u w:val="single"/>
              </w:rPr>
              <w:t>kg/h</w:t>
            </w:r>
            <w:r>
              <w:rPr>
                <w:u w:val="single"/>
                <w14:textOutline w14:w="3795" w14:cap="sq" w14:cmpd="sng">
                  <w14:solidFill>
                    <w14:srgbClr w14:val="000000"/>
                  </w14:solidFill>
                  <w14:prstDash w14:val="solid"/>
                  <w14:bevel/>
                </w14:textOutli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641" w:hRule="atLeast"/>
        </w:trPr>
        <w:tc>
          <w:tcPr>
            <w:tcW w:w="104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65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5"/>
                <w:sz w:val="20"/>
                <w:szCs w:val="20"/>
                <w:u w:val="single"/>
              </w:rPr>
              <w:t>X</w:t>
            </w:r>
          </w:p>
        </w:tc>
        <w:tc>
          <w:tcPr>
            <w:tcW w:w="66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4"/>
                <w:sz w:val="20"/>
                <w:szCs w:val="20"/>
                <w:u w:val="single"/>
              </w:rPr>
              <w:t>Y</w:t>
            </w:r>
          </w:p>
        </w:tc>
        <w:tc>
          <w:tcPr>
            <w:tcW w:w="91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690"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5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78"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575"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0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477" w:type="dxa"/>
            <w:vMerge w:val="continue"/>
            <w:tcBorders>
              <w:tl2br w:val="nil"/>
              <w:tr2bl w:val="nil"/>
            </w:tcBorders>
            <w:textDirection w:val="tbRlV"/>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629" w:type="dxa"/>
            <w:vMerge w:val="continue"/>
            <w:tcBorders>
              <w:tl2br w:val="nil"/>
              <w:tr2bl w:val="nil"/>
            </w:tcBorders>
            <w:textDirection w:val="tbRlV"/>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205"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13" w:hRule="atLeast"/>
        </w:trPr>
        <w:tc>
          <w:tcPr>
            <w:tcW w:w="104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u w:val="single"/>
                <w:lang w:eastAsia="zh-CN"/>
              </w:rPr>
            </w:pPr>
            <w:r>
              <w:rPr>
                <w:rFonts w:hint="eastAsia"/>
                <w:spacing w:val="6"/>
                <w:u w:val="single"/>
                <w:lang w:eastAsia="zh-CN"/>
              </w:rPr>
              <w:t>生物除臭塔排气筒</w:t>
            </w:r>
          </w:p>
        </w:tc>
        <w:tc>
          <w:tcPr>
            <w:tcW w:w="653"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hint="eastAsia" w:ascii="Times New Roman" w:hAnsi="Times New Roman" w:eastAsia="Times New Roman" w:cs="Times New Roman"/>
                <w:spacing w:val="-2"/>
                <w:sz w:val="20"/>
                <w:szCs w:val="20"/>
                <w:u w:val="single"/>
              </w:rPr>
              <w:t>113.34762096</w:t>
            </w:r>
          </w:p>
        </w:tc>
        <w:tc>
          <w:tcPr>
            <w:tcW w:w="663"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hint="eastAsia" w:ascii="Times New Roman" w:hAnsi="Times New Roman" w:eastAsia="Times New Roman" w:cs="Times New Roman"/>
                <w:spacing w:val="2"/>
                <w:sz w:val="20"/>
                <w:szCs w:val="20"/>
                <w:u w:val="single"/>
              </w:rPr>
              <w:t>33.59442660</w:t>
            </w:r>
          </w:p>
        </w:tc>
        <w:tc>
          <w:tcPr>
            <w:tcW w:w="911"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u w:val="single"/>
                <w:lang w:val="en-US" w:eastAsia="zh-CN"/>
              </w:rPr>
            </w:pPr>
            <w:r>
              <w:rPr>
                <w:rFonts w:hint="eastAsia" w:ascii="Times New Roman" w:hAnsi="Times New Roman" w:eastAsia="宋体" w:cs="Times New Roman"/>
                <w:spacing w:val="4"/>
                <w:sz w:val="20"/>
                <w:szCs w:val="20"/>
                <w:u w:val="single"/>
                <w:lang w:val="en-US" w:eastAsia="zh-CN"/>
              </w:rPr>
              <w:t>85</w:t>
            </w:r>
          </w:p>
        </w:tc>
        <w:tc>
          <w:tcPr>
            <w:tcW w:w="690"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spacing w:val="-8"/>
                <w:sz w:val="20"/>
                <w:szCs w:val="20"/>
                <w:u w:val="single"/>
              </w:rPr>
              <w:t>15</w:t>
            </w:r>
          </w:p>
        </w:tc>
        <w:tc>
          <w:tcPr>
            <w:tcW w:w="751"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u w:val="single"/>
                <w:lang w:eastAsia="zh-CN"/>
              </w:rPr>
            </w:pPr>
            <w:r>
              <w:rPr>
                <w:rFonts w:hint="eastAsia" w:ascii="Times New Roman" w:hAnsi="Times New Roman" w:eastAsia="宋体" w:cs="Times New Roman"/>
                <w:spacing w:val="1"/>
                <w:sz w:val="20"/>
                <w:szCs w:val="20"/>
                <w:u w:val="single"/>
                <w:lang w:val="en-US" w:eastAsia="zh-CN"/>
              </w:rPr>
              <w:t>1</w:t>
            </w:r>
          </w:p>
        </w:tc>
        <w:tc>
          <w:tcPr>
            <w:tcW w:w="778"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hint="eastAsia" w:ascii="Times New Roman" w:hAnsi="Times New Roman" w:eastAsia="宋体" w:cs="Times New Roman"/>
                <w:sz w:val="20"/>
                <w:szCs w:val="20"/>
                <w:u w:val="single"/>
                <w:lang w:val="en-US" w:eastAsia="zh-CN"/>
              </w:rPr>
              <w:t>5</w:t>
            </w:r>
            <w:r>
              <w:rPr>
                <w:rFonts w:ascii="Times New Roman" w:hAnsi="Times New Roman" w:eastAsia="Times New Roman" w:cs="Times New Roman"/>
                <w:sz w:val="20"/>
                <w:szCs w:val="20"/>
                <w:u w:val="single"/>
              </w:rPr>
              <w:t>0000</w:t>
            </w:r>
          </w:p>
        </w:tc>
        <w:tc>
          <w:tcPr>
            <w:tcW w:w="575"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u w:val="single"/>
                <w:lang w:eastAsia="zh-CN"/>
              </w:rPr>
            </w:pPr>
            <w:r>
              <w:rPr>
                <w:rFonts w:hint="eastAsia" w:ascii="Times New Roman" w:hAnsi="Times New Roman" w:eastAsia="宋体" w:cs="Times New Roman"/>
                <w:spacing w:val="2"/>
                <w:sz w:val="20"/>
                <w:szCs w:val="20"/>
                <w:u w:val="single"/>
                <w:lang w:eastAsia="zh-CN"/>
              </w:rPr>
              <w:t>常温</w:t>
            </w:r>
          </w:p>
        </w:tc>
        <w:tc>
          <w:tcPr>
            <w:tcW w:w="702"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u w:val="single"/>
                <w:lang w:val="en-US" w:eastAsia="zh-CN"/>
              </w:rPr>
            </w:pPr>
            <w:r>
              <w:rPr>
                <w:rFonts w:hint="eastAsia" w:ascii="Times New Roman" w:hAnsi="Times New Roman" w:eastAsia="宋体" w:cs="Times New Roman"/>
                <w:spacing w:val="2"/>
                <w:sz w:val="20"/>
                <w:szCs w:val="20"/>
                <w:u w:val="single"/>
                <w:lang w:val="en-US" w:eastAsia="zh-CN"/>
              </w:rPr>
              <w:t>5120</w:t>
            </w:r>
          </w:p>
        </w:tc>
        <w:tc>
          <w:tcPr>
            <w:tcW w:w="477" w:type="dxa"/>
            <w:vMerge w:val="restart"/>
            <w:tcBorders>
              <w:tl2br w:val="nil"/>
              <w:tr2bl w:val="nil"/>
            </w:tcBorders>
            <w:textDirection w:val="tbRlV"/>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6"/>
                <w:u w:val="single"/>
              </w:rPr>
              <w:t>正常排放</w:t>
            </w:r>
          </w:p>
        </w:tc>
        <w:tc>
          <w:tcPr>
            <w:tcW w:w="62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highlight w:val="none"/>
                <w:u w:val="single"/>
              </w:rPr>
            </w:pPr>
            <w:r>
              <w:rPr>
                <w:rFonts w:ascii="Times New Roman" w:hAnsi="Times New Roman" w:eastAsia="Times New Roman" w:cs="Times New Roman"/>
                <w:spacing w:val="6"/>
                <w:sz w:val="20"/>
                <w:szCs w:val="20"/>
                <w:highlight w:val="none"/>
                <w:u w:val="single"/>
              </w:rPr>
              <w:t>NH</w:t>
            </w:r>
            <w:r>
              <w:rPr>
                <w:rFonts w:ascii="Times New Roman" w:hAnsi="Times New Roman" w:eastAsia="Times New Roman" w:cs="Times New Roman"/>
                <w:spacing w:val="6"/>
                <w:position w:val="-1"/>
                <w:sz w:val="13"/>
                <w:szCs w:val="13"/>
                <w:highlight w:val="none"/>
                <w:u w:val="single"/>
              </w:rPr>
              <w:t>3</w:t>
            </w:r>
          </w:p>
        </w:tc>
        <w:tc>
          <w:tcPr>
            <w:tcW w:w="120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highlight w:val="none"/>
                <w:u w:val="single"/>
                <w:lang w:val="en-US" w:eastAsia="zh-CN"/>
              </w:rPr>
            </w:pPr>
            <w:r>
              <w:rPr>
                <w:rFonts w:ascii="Times New Roman" w:hAnsi="Times New Roman" w:eastAsia="Times New Roman" w:cs="Times New Roman"/>
                <w:spacing w:val="3"/>
                <w:sz w:val="20"/>
                <w:szCs w:val="20"/>
                <w:highlight w:val="none"/>
                <w:u w:val="single"/>
              </w:rPr>
              <w:t>0.</w:t>
            </w:r>
            <w:r>
              <w:rPr>
                <w:rFonts w:hint="eastAsia" w:ascii="Times New Roman" w:hAnsi="Times New Roman" w:eastAsia="宋体" w:cs="Times New Roman"/>
                <w:spacing w:val="3"/>
                <w:sz w:val="20"/>
                <w:szCs w:val="20"/>
                <w:highlight w:val="none"/>
                <w:u w:val="single"/>
                <w:lang w:val="en-US" w:eastAsia="zh-CN"/>
              </w:rPr>
              <w:t>011908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14" w:hRule="atLeast"/>
        </w:trPr>
        <w:tc>
          <w:tcPr>
            <w:tcW w:w="104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653"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663"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91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690"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5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78"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575"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0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477" w:type="dxa"/>
            <w:vMerge w:val="continue"/>
            <w:tcBorders>
              <w:tl2br w:val="nil"/>
              <w:tr2bl w:val="nil"/>
            </w:tcBorders>
            <w:textDirection w:val="tbRlV"/>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62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ascii="Times New Roman" w:hAnsi="Times New Roman" w:eastAsia="Times New Roman" w:cs="Times New Roman"/>
                <w:spacing w:val="4"/>
                <w:sz w:val="20"/>
                <w:szCs w:val="20"/>
                <w:highlight w:val="none"/>
                <w:u w:val="single"/>
              </w:rPr>
              <w:t>H</w:t>
            </w:r>
            <w:r>
              <w:rPr>
                <w:rFonts w:ascii="Times New Roman" w:hAnsi="Times New Roman" w:eastAsia="Times New Roman" w:cs="Times New Roman"/>
                <w:spacing w:val="4"/>
                <w:position w:val="-1"/>
                <w:sz w:val="13"/>
                <w:szCs w:val="13"/>
                <w:highlight w:val="none"/>
                <w:u w:val="single"/>
              </w:rPr>
              <w:t>2</w:t>
            </w:r>
            <w:r>
              <w:rPr>
                <w:rFonts w:ascii="Times New Roman" w:hAnsi="Times New Roman" w:eastAsia="Times New Roman" w:cs="Times New Roman"/>
                <w:spacing w:val="4"/>
                <w:sz w:val="20"/>
                <w:szCs w:val="20"/>
                <w:highlight w:val="none"/>
                <w:u w:val="single"/>
              </w:rPr>
              <w:t>S</w:t>
            </w:r>
          </w:p>
        </w:tc>
        <w:tc>
          <w:tcPr>
            <w:tcW w:w="120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13"/>
                <w:szCs w:val="13"/>
                <w:highlight w:val="none"/>
                <w:u w:val="single"/>
                <w:lang w:val="en-US" w:eastAsia="zh-CN"/>
              </w:rPr>
            </w:pPr>
            <w:r>
              <w:rPr>
                <w:rFonts w:hint="eastAsia" w:ascii="Times New Roman" w:hAnsi="Times New Roman" w:eastAsia="宋体" w:cs="Times New Roman"/>
                <w:sz w:val="20"/>
                <w:szCs w:val="20"/>
                <w:highlight w:val="none"/>
                <w:u w:val="single"/>
                <w:lang w:val="en-US" w:eastAsia="zh-CN"/>
              </w:rPr>
              <w:t>0.000717</w:t>
            </w:r>
          </w:p>
        </w:tc>
      </w:tr>
    </w:tbl>
    <w:p>
      <w:pPr>
        <w:spacing w:before="130" w:line="219" w:lineRule="auto"/>
        <w:ind w:left="2371"/>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5-1</w:t>
      </w:r>
      <w:r>
        <w:rPr>
          <w:rFonts w:hint="eastAsia" w:ascii="Times New Roman" w:hAnsi="Times New Roman" w:eastAsia="宋体" w:cs="Times New Roman"/>
          <w:b/>
          <w:bCs/>
          <w:sz w:val="24"/>
          <w:szCs w:val="24"/>
          <w:lang w:val="en-US" w:eastAsia="zh-CN"/>
        </w:rPr>
        <w:t>5</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本项目正常工况下面</w:t>
      </w:r>
      <w:r>
        <w:rPr>
          <w:rFonts w:ascii="宋体" w:hAnsi="宋体" w:eastAsia="宋体" w:cs="宋体"/>
          <w:spacing w:val="-1"/>
          <w:sz w:val="24"/>
          <w:szCs w:val="24"/>
          <w14:textOutline w14:w="4358" w14:cap="sq" w14:cmpd="sng">
            <w14:solidFill>
              <w14:srgbClr w14:val="000000"/>
            </w14:solidFill>
            <w14:prstDash w14:val="solid"/>
            <w14:bevel/>
          </w14:textOutline>
        </w:rPr>
        <w:t>源参数表</w:t>
      </w:r>
    </w:p>
    <w:tbl>
      <w:tblPr>
        <w:tblStyle w:val="24"/>
        <w:tblW w:w="9075"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1499"/>
        <w:gridCol w:w="1342"/>
        <w:gridCol w:w="1009"/>
        <w:gridCol w:w="1222"/>
        <w:gridCol w:w="862"/>
        <w:gridCol w:w="732"/>
        <w:gridCol w:w="704"/>
        <w:gridCol w:w="101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69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4"/>
                <w:u w:val="single"/>
                <w14:textOutline w14:w="3795" w14:cap="sq" w14:cmpd="sng">
                  <w14:solidFill>
                    <w14:srgbClr w14:val="000000"/>
                  </w14:solidFill>
                  <w14:prstDash w14:val="solid"/>
                  <w14:bevel/>
                </w14:textOutline>
              </w:rPr>
              <w:t>名称</w:t>
            </w:r>
          </w:p>
        </w:tc>
        <w:tc>
          <w:tcPr>
            <w:tcW w:w="2841"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u w:val="single"/>
              </w:rPr>
            </w:pPr>
            <w:r>
              <w:rPr>
                <w:spacing w:val="8"/>
                <w:u w:val="single"/>
                <w14:textOutline w14:w="3795" w14:cap="sq" w14:cmpd="sng">
                  <w14:solidFill>
                    <w14:srgbClr w14:val="000000"/>
                  </w14:solidFill>
                  <w14:prstDash w14:val="solid"/>
                  <w14:bevel/>
                </w14:textOutline>
              </w:rPr>
              <w:t>面源各顶点坐标</w:t>
            </w:r>
            <w:r>
              <w:rPr>
                <w:rFonts w:ascii="Times New Roman" w:hAnsi="Times New Roman" w:eastAsia="Times New Roman" w:cs="Times New Roman"/>
                <w:b/>
                <w:bCs/>
                <w:spacing w:val="8"/>
                <w:u w:val="single"/>
              </w:rPr>
              <w:t>/m</w:t>
            </w:r>
          </w:p>
        </w:tc>
        <w:tc>
          <w:tcPr>
            <w:tcW w:w="100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7"/>
                <w:u w:val="single"/>
                <w14:textOutline w14:w="3795" w14:cap="sq" w14:cmpd="sng">
                  <w14:solidFill>
                    <w14:srgbClr w14:val="000000"/>
                  </w14:solidFill>
                  <w14:prstDash w14:val="solid"/>
                  <w14:bevel/>
                </w14:textOutline>
              </w:rPr>
              <w:t>面源海</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7"/>
                <w:u w:val="single"/>
                <w14:textOutline w14:w="3795" w14:cap="sq" w14:cmpd="sng">
                  <w14:solidFill>
                    <w14:srgbClr w14:val="000000"/>
                  </w14:solidFill>
                  <w14:prstDash w14:val="solid"/>
                  <w14:bevel/>
                </w14:textOutline>
              </w:rPr>
              <w:t>拔高度</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4"/>
                <w:sz w:val="20"/>
                <w:szCs w:val="20"/>
                <w:u w:val="single"/>
              </w:rPr>
              <w:t>/m</w:t>
            </w:r>
          </w:p>
        </w:tc>
        <w:tc>
          <w:tcPr>
            <w:tcW w:w="122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8"/>
                <w:u w:val="single"/>
                <w14:textOutline w14:w="3795" w14:cap="sq" w14:cmpd="sng">
                  <w14:solidFill>
                    <w14:srgbClr w14:val="000000"/>
                  </w14:solidFill>
                  <w14:prstDash w14:val="solid"/>
                  <w14:bevel/>
                </w14:textOutline>
              </w:rPr>
              <w:t>面源有效</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8"/>
                <w:u w:val="single"/>
                <w14:textOutline w14:w="3795" w14:cap="sq" w14:cmpd="sng">
                  <w14:solidFill>
                    <w14:srgbClr w14:val="000000"/>
                  </w14:solidFill>
                  <w14:prstDash w14:val="solid"/>
                  <w14:bevel/>
                </w14:textOutline>
              </w:rPr>
              <w:t>排放高度</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4"/>
                <w:sz w:val="20"/>
                <w:szCs w:val="20"/>
                <w:u w:val="single"/>
              </w:rPr>
              <w:t>/m</w:t>
            </w:r>
          </w:p>
        </w:tc>
        <w:tc>
          <w:tcPr>
            <w:tcW w:w="86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7"/>
                <w:u w:val="single"/>
                <w14:textOutline w14:w="3795" w14:cap="sq" w14:cmpd="sng">
                  <w14:solidFill>
                    <w14:srgbClr w14:val="000000"/>
                  </w14:solidFill>
                  <w14:prstDash w14:val="solid"/>
                  <w14:bevel/>
                </w14:textOutline>
              </w:rPr>
              <w:t>年排放</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5"/>
                <w:u w:val="single"/>
                <w14:textOutline w14:w="3795" w14:cap="sq" w14:cmpd="sng">
                  <w14:solidFill>
                    <w14:srgbClr w14:val="000000"/>
                  </w14:solidFill>
                  <w14:prstDash w14:val="solid"/>
                  <w14:bevel/>
                </w14:textOutline>
              </w:rPr>
              <w:t>小时数</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3"/>
                <w:sz w:val="20"/>
                <w:szCs w:val="20"/>
                <w:u w:val="single"/>
              </w:rPr>
              <w:t>/h</w:t>
            </w:r>
          </w:p>
        </w:tc>
        <w:tc>
          <w:tcPr>
            <w:tcW w:w="73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6"/>
                <w:position w:val="7"/>
                <w:u w:val="single"/>
                <w14:textOutline w14:w="3795" w14:cap="sq" w14:cmpd="sng">
                  <w14:solidFill>
                    <w14:srgbClr w14:val="000000"/>
                  </w14:solidFill>
                  <w14:prstDash w14:val="solid"/>
                  <w14:bevel/>
                </w14:textOutline>
              </w:rPr>
              <w:t>排放</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4"/>
                <w:u w:val="single"/>
                <w14:textOutline w14:w="3795" w14:cap="sq" w14:cmpd="sng">
                  <w14:solidFill>
                    <w14:srgbClr w14:val="000000"/>
                  </w14:solidFill>
                  <w14:prstDash w14:val="solid"/>
                  <w14:bevel/>
                </w14:textOutline>
              </w:rPr>
              <w:t>工况</w:t>
            </w:r>
          </w:p>
        </w:tc>
        <w:tc>
          <w:tcPr>
            <w:tcW w:w="70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6"/>
                <w:u w:val="single"/>
                <w14:textOutline w14:w="3795" w14:cap="sq" w14:cmpd="sng">
                  <w14:solidFill>
                    <w14:srgbClr w14:val="000000"/>
                  </w14:solidFill>
                  <w14:prstDash w14:val="solid"/>
                  <w14:bevel/>
                </w14:textOutline>
              </w:rPr>
            </w:pPr>
            <w:r>
              <w:rPr>
                <w:spacing w:val="6"/>
                <w:u w:val="single"/>
                <w14:textOutline w14:w="3795" w14:cap="sq" w14:cmpd="sng">
                  <w14:solidFill>
                    <w14:srgbClr w14:val="000000"/>
                  </w14:solidFill>
                  <w14:prstDash w14:val="solid"/>
                  <w14:bevel/>
                </w14:textOutline>
              </w:rPr>
              <w:t>评价</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3"/>
                <w:u w:val="single"/>
                <w14:textOutline w14:w="3795" w14:cap="sq" w14:cmpd="sng">
                  <w14:solidFill>
                    <w14:srgbClr w14:val="000000"/>
                  </w14:solidFill>
                  <w14:prstDash w14:val="solid"/>
                  <w14:bevel/>
                </w14:textOutline>
              </w:rPr>
              <w:t>因子</w:t>
            </w:r>
          </w:p>
        </w:tc>
        <w:tc>
          <w:tcPr>
            <w:tcW w:w="101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6"/>
                <w:u w:val="single"/>
                <w14:textOutline w14:w="3795" w14:cap="sq" w14:cmpd="sng">
                  <w14:solidFill>
                    <w14:srgbClr w14:val="000000"/>
                  </w14:solidFill>
                  <w14:prstDash w14:val="solid"/>
                  <w14:bevel/>
                </w14:textOutline>
              </w:rPr>
            </w:pPr>
            <w:r>
              <w:rPr>
                <w:spacing w:val="6"/>
                <w:u w:val="single"/>
                <w14:textOutline w14:w="3795" w14:cap="sq" w14:cmpd="sng">
                  <w14:solidFill>
                    <w14:srgbClr w14:val="000000"/>
                  </w14:solidFill>
                  <w14:prstDash w14:val="solid"/>
                  <w14:bevel/>
                </w14:textOutline>
              </w:rPr>
              <w:t>源强</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rFonts w:ascii="Times New Roman" w:hAnsi="Times New Roman" w:eastAsia="Times New Roman" w:cs="Times New Roman"/>
                <w:b/>
                <w:bCs/>
                <w:u w:val="single"/>
              </w:rPr>
              <w:t>kg/h</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69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49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5"/>
                <w:sz w:val="20"/>
                <w:szCs w:val="20"/>
                <w:u w:val="single"/>
              </w:rPr>
              <w:t>X</w:t>
            </w:r>
          </w:p>
        </w:tc>
        <w:tc>
          <w:tcPr>
            <w:tcW w:w="134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u w:val="single"/>
              </w:rPr>
            </w:pPr>
            <w:r>
              <w:rPr>
                <w:rFonts w:ascii="Times New Roman" w:hAnsi="Times New Roman" w:eastAsia="Times New Roman" w:cs="Times New Roman"/>
                <w:b/>
                <w:bCs/>
                <w:spacing w:val="4"/>
                <w:sz w:val="20"/>
                <w:szCs w:val="20"/>
                <w:u w:val="single"/>
              </w:rPr>
              <w:t>Y</w:t>
            </w:r>
          </w:p>
        </w:tc>
        <w:tc>
          <w:tcPr>
            <w:tcW w:w="100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22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86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3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0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01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69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4"/>
                <w:u w:val="single"/>
              </w:rPr>
              <w:t>全厂</w:t>
            </w:r>
          </w:p>
        </w:tc>
        <w:tc>
          <w:tcPr>
            <w:tcW w:w="149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hint="eastAsia" w:ascii="Times New Roman" w:hAnsi="Times New Roman" w:eastAsia="Times New Roman" w:cs="Times New Roman"/>
                <w:sz w:val="20"/>
                <w:szCs w:val="20"/>
                <w:highlight w:val="none"/>
                <w:u w:val="single"/>
              </w:rPr>
              <w:t>113.34764779</w:t>
            </w:r>
          </w:p>
        </w:tc>
        <w:tc>
          <w:tcPr>
            <w:tcW w:w="134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hint="eastAsia" w:ascii="Times New Roman" w:hAnsi="Times New Roman" w:eastAsia="Times New Roman" w:cs="Times New Roman"/>
                <w:sz w:val="20"/>
                <w:szCs w:val="20"/>
                <w:highlight w:val="none"/>
                <w:u w:val="single"/>
              </w:rPr>
              <w:t>33.59425010</w:t>
            </w:r>
          </w:p>
        </w:tc>
        <w:tc>
          <w:tcPr>
            <w:tcW w:w="100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u w:val="single"/>
                <w:lang w:val="en-US" w:eastAsia="zh-CN"/>
              </w:rPr>
            </w:pPr>
            <w:r>
              <w:rPr>
                <w:rFonts w:hint="eastAsia" w:ascii="Times New Roman" w:hAnsi="Times New Roman" w:eastAsia="宋体" w:cs="Times New Roman"/>
                <w:spacing w:val="4"/>
                <w:sz w:val="20"/>
                <w:szCs w:val="20"/>
                <w:u w:val="single"/>
                <w:lang w:val="en-US" w:eastAsia="zh-CN"/>
              </w:rPr>
              <w:t>85</w:t>
            </w:r>
          </w:p>
        </w:tc>
        <w:tc>
          <w:tcPr>
            <w:tcW w:w="1222"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u w:val="single"/>
                <w:lang w:eastAsia="zh-CN"/>
              </w:rPr>
            </w:pPr>
            <w:r>
              <w:rPr>
                <w:rFonts w:hint="eastAsia" w:ascii="Times New Roman" w:hAnsi="Times New Roman" w:eastAsia="宋体" w:cs="Times New Roman"/>
                <w:sz w:val="20"/>
                <w:szCs w:val="20"/>
                <w:u w:val="single"/>
                <w:lang w:val="en-US" w:eastAsia="zh-CN"/>
              </w:rPr>
              <w:t>6</w:t>
            </w:r>
          </w:p>
        </w:tc>
        <w:tc>
          <w:tcPr>
            <w:tcW w:w="862"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u w:val="single"/>
                <w:lang w:val="en-US" w:eastAsia="zh-CN"/>
              </w:rPr>
            </w:pPr>
            <w:r>
              <w:rPr>
                <w:rFonts w:hint="eastAsia" w:ascii="Times New Roman" w:hAnsi="Times New Roman" w:eastAsia="宋体" w:cs="Times New Roman"/>
                <w:spacing w:val="2"/>
                <w:sz w:val="20"/>
                <w:szCs w:val="20"/>
                <w:u w:val="single"/>
                <w:lang w:val="en-US" w:eastAsia="zh-CN"/>
              </w:rPr>
              <w:t>7680</w:t>
            </w:r>
          </w:p>
        </w:tc>
        <w:tc>
          <w:tcPr>
            <w:tcW w:w="73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2"/>
                <w:position w:val="7"/>
                <w:u w:val="single"/>
              </w:rPr>
              <w:t>正常</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4"/>
                <w:u w:val="single"/>
              </w:rPr>
              <w:t>排放</w:t>
            </w:r>
          </w:p>
        </w:tc>
        <w:tc>
          <w:tcPr>
            <w:tcW w:w="70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highlight w:val="none"/>
                <w:u w:val="single"/>
              </w:rPr>
            </w:pPr>
            <w:r>
              <w:rPr>
                <w:rFonts w:ascii="Times New Roman" w:hAnsi="Times New Roman" w:eastAsia="Times New Roman" w:cs="Times New Roman"/>
                <w:spacing w:val="6"/>
                <w:sz w:val="20"/>
                <w:szCs w:val="20"/>
                <w:highlight w:val="none"/>
                <w:u w:val="single"/>
              </w:rPr>
              <w:t>NH</w:t>
            </w:r>
            <w:r>
              <w:rPr>
                <w:rFonts w:ascii="Times New Roman" w:hAnsi="Times New Roman" w:eastAsia="Times New Roman" w:cs="Times New Roman"/>
                <w:spacing w:val="6"/>
                <w:position w:val="-1"/>
                <w:sz w:val="13"/>
                <w:szCs w:val="13"/>
                <w:highlight w:val="none"/>
                <w:u w:val="single"/>
              </w:rPr>
              <w:t>3</w:t>
            </w:r>
          </w:p>
        </w:tc>
        <w:tc>
          <w:tcPr>
            <w:tcW w:w="101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highlight w:val="none"/>
                <w:u w:val="single"/>
                <w:lang w:val="en-US" w:eastAsia="zh-CN"/>
              </w:rPr>
            </w:pPr>
            <w:r>
              <w:rPr>
                <w:rFonts w:ascii="Times New Roman" w:hAnsi="Times New Roman" w:eastAsia="Times New Roman" w:cs="Times New Roman"/>
                <w:spacing w:val="3"/>
                <w:sz w:val="20"/>
                <w:szCs w:val="20"/>
                <w:highlight w:val="none"/>
                <w:u w:val="single"/>
              </w:rPr>
              <w:t>0.</w:t>
            </w:r>
            <w:r>
              <w:rPr>
                <w:rFonts w:hint="eastAsia" w:ascii="Times New Roman" w:hAnsi="Times New Roman" w:eastAsia="宋体" w:cs="Times New Roman"/>
                <w:spacing w:val="3"/>
                <w:sz w:val="20"/>
                <w:szCs w:val="20"/>
                <w:highlight w:val="none"/>
                <w:u w:val="single"/>
                <w:lang w:val="en-US" w:eastAsia="zh-CN"/>
              </w:rPr>
              <w:t>013464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69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49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hint="eastAsia" w:ascii="Times New Roman" w:hAnsi="Times New Roman" w:eastAsia="Times New Roman" w:cs="Times New Roman"/>
                <w:sz w:val="20"/>
                <w:szCs w:val="20"/>
                <w:highlight w:val="none"/>
                <w:u w:val="single"/>
              </w:rPr>
              <w:t>113.34719181</w:t>
            </w:r>
          </w:p>
        </w:tc>
        <w:tc>
          <w:tcPr>
            <w:tcW w:w="134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hint="eastAsia" w:ascii="Times New Roman" w:hAnsi="Times New Roman" w:eastAsia="Times New Roman" w:cs="Times New Roman"/>
                <w:sz w:val="20"/>
                <w:szCs w:val="20"/>
                <w:highlight w:val="none"/>
                <w:u w:val="single"/>
              </w:rPr>
              <w:t>33.59433277</w:t>
            </w:r>
          </w:p>
        </w:tc>
        <w:tc>
          <w:tcPr>
            <w:tcW w:w="100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22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86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3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0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highlight w:val="none"/>
                <w:u w:val="single"/>
              </w:rPr>
            </w:pPr>
          </w:p>
        </w:tc>
        <w:tc>
          <w:tcPr>
            <w:tcW w:w="101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69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49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hint="eastAsia" w:ascii="Times New Roman" w:hAnsi="Times New Roman" w:eastAsia="Times New Roman" w:cs="Times New Roman"/>
                <w:sz w:val="20"/>
                <w:szCs w:val="20"/>
                <w:highlight w:val="none"/>
                <w:u w:val="single"/>
              </w:rPr>
              <w:t>113.34774166</w:t>
            </w:r>
          </w:p>
        </w:tc>
        <w:tc>
          <w:tcPr>
            <w:tcW w:w="134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hint="eastAsia" w:ascii="Times New Roman" w:hAnsi="Times New Roman" w:eastAsia="Times New Roman" w:cs="Times New Roman"/>
                <w:sz w:val="20"/>
                <w:szCs w:val="20"/>
                <w:highlight w:val="none"/>
                <w:u w:val="single"/>
              </w:rPr>
              <w:t>33.59467460</w:t>
            </w:r>
          </w:p>
        </w:tc>
        <w:tc>
          <w:tcPr>
            <w:tcW w:w="100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22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86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3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0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ascii="Times New Roman" w:hAnsi="Times New Roman" w:eastAsia="Times New Roman" w:cs="Times New Roman"/>
                <w:spacing w:val="3"/>
                <w:sz w:val="20"/>
                <w:szCs w:val="20"/>
                <w:highlight w:val="none"/>
                <w:u w:val="single"/>
              </w:rPr>
              <w:t>H</w:t>
            </w:r>
            <w:r>
              <w:rPr>
                <w:rFonts w:ascii="Times New Roman" w:hAnsi="Times New Roman" w:eastAsia="Times New Roman" w:cs="Times New Roman"/>
                <w:spacing w:val="3"/>
                <w:position w:val="-1"/>
                <w:sz w:val="13"/>
                <w:szCs w:val="13"/>
                <w:highlight w:val="none"/>
                <w:u w:val="single"/>
              </w:rPr>
              <w:t>2</w:t>
            </w:r>
            <w:r>
              <w:rPr>
                <w:rFonts w:ascii="Times New Roman" w:hAnsi="Times New Roman" w:eastAsia="Times New Roman" w:cs="Times New Roman"/>
                <w:spacing w:val="3"/>
                <w:sz w:val="20"/>
                <w:szCs w:val="20"/>
                <w:highlight w:val="none"/>
                <w:u w:val="single"/>
              </w:rPr>
              <w:t>S</w:t>
            </w:r>
          </w:p>
        </w:tc>
        <w:tc>
          <w:tcPr>
            <w:tcW w:w="101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13"/>
                <w:szCs w:val="13"/>
                <w:highlight w:val="none"/>
                <w:u w:val="single"/>
                <w:lang w:val="en-US" w:eastAsia="zh-CN"/>
              </w:rPr>
            </w:pPr>
            <w:r>
              <w:rPr>
                <w:rFonts w:hint="eastAsia" w:ascii="Times New Roman" w:hAnsi="Times New Roman" w:eastAsia="宋体" w:cs="Times New Roman"/>
                <w:spacing w:val="-4"/>
                <w:sz w:val="20"/>
                <w:szCs w:val="20"/>
                <w:highlight w:val="none"/>
                <w:u w:val="single"/>
                <w:lang w:val="en-US" w:eastAsia="zh-CN"/>
              </w:rPr>
              <w:t>0.000795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69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49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hint="eastAsia" w:ascii="Times New Roman" w:hAnsi="Times New Roman" w:eastAsia="Times New Roman" w:cs="Times New Roman"/>
                <w:sz w:val="20"/>
                <w:szCs w:val="20"/>
                <w:highlight w:val="none"/>
                <w:u w:val="single"/>
              </w:rPr>
              <w:t>113.34730715</w:t>
            </w:r>
          </w:p>
        </w:tc>
        <w:tc>
          <w:tcPr>
            <w:tcW w:w="134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u w:val="single"/>
              </w:rPr>
            </w:pPr>
            <w:r>
              <w:rPr>
                <w:rFonts w:hint="eastAsia" w:ascii="Times New Roman" w:hAnsi="Times New Roman" w:eastAsia="Times New Roman" w:cs="Times New Roman"/>
                <w:sz w:val="20"/>
                <w:szCs w:val="20"/>
                <w:highlight w:val="none"/>
                <w:u w:val="single"/>
              </w:rPr>
              <w:t>33.59474386</w:t>
            </w:r>
          </w:p>
        </w:tc>
        <w:tc>
          <w:tcPr>
            <w:tcW w:w="100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22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86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3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70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101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r>
    </w:tbl>
    <w:p>
      <w:pPr>
        <w:spacing w:before="35" w:line="233" w:lineRule="auto"/>
        <w:ind w:left="187" w:right="175" w:firstLine="428" w:firstLineChars="200"/>
        <w:jc w:val="both"/>
        <w:rPr>
          <w:rFonts w:ascii="宋体" w:hAnsi="宋体" w:eastAsia="宋体" w:cs="宋体"/>
          <w:sz w:val="24"/>
          <w:szCs w:val="24"/>
        </w:rPr>
      </w:pPr>
      <w:r>
        <w:rPr>
          <w:rFonts w:hint="eastAsia" w:ascii="宋体" w:hAnsi="宋体" w:eastAsia="宋体" w:cs="宋体"/>
          <w:spacing w:val="2"/>
          <w:sz w:val="21"/>
          <w:szCs w:val="21"/>
          <w:lang w:eastAsia="zh-CN"/>
        </w:rPr>
        <w:t>说明</w:t>
      </w:r>
      <w:r>
        <w:rPr>
          <w:rFonts w:ascii="宋体" w:hAnsi="宋体" w:eastAsia="宋体" w:cs="宋体"/>
          <w:spacing w:val="2"/>
          <w:sz w:val="21"/>
          <w:szCs w:val="21"/>
        </w:rPr>
        <w:t>：由于</w:t>
      </w:r>
      <w:r>
        <w:rPr>
          <w:rFonts w:hint="eastAsia" w:ascii="宋体" w:hAnsi="宋体" w:eastAsia="宋体" w:cs="宋体"/>
          <w:spacing w:val="2"/>
          <w:sz w:val="21"/>
          <w:szCs w:val="21"/>
          <w:lang w:eastAsia="zh-CN"/>
        </w:rPr>
        <w:t>待宰区</w:t>
      </w:r>
      <w:r>
        <w:rPr>
          <w:rFonts w:ascii="宋体" w:hAnsi="宋体" w:eastAsia="宋体" w:cs="宋体"/>
          <w:spacing w:val="2"/>
          <w:sz w:val="21"/>
          <w:szCs w:val="21"/>
        </w:rPr>
        <w:t>、</w:t>
      </w:r>
      <w:r>
        <w:rPr>
          <w:rFonts w:hint="eastAsia" w:ascii="宋体" w:hAnsi="宋体" w:eastAsia="宋体" w:cs="宋体"/>
          <w:spacing w:val="2"/>
          <w:sz w:val="21"/>
          <w:szCs w:val="21"/>
          <w:lang w:eastAsia="zh-CN"/>
        </w:rPr>
        <w:t>固废间以及</w:t>
      </w:r>
      <w:r>
        <w:rPr>
          <w:rFonts w:ascii="宋体" w:hAnsi="宋体" w:eastAsia="宋体" w:cs="宋体"/>
          <w:spacing w:val="2"/>
          <w:sz w:val="21"/>
          <w:szCs w:val="21"/>
        </w:rPr>
        <w:t>污水处理系统各功能单元相距较近，均为无组织排放，排放的污染物种类相同，因此本次影响预测时将上述各单元等效成一个面源（以全厂为单</w:t>
      </w:r>
      <w:r>
        <w:rPr>
          <w:rFonts w:ascii="宋体" w:hAnsi="宋体" w:eastAsia="宋体" w:cs="宋体"/>
          <w:spacing w:val="-3"/>
          <w:sz w:val="21"/>
          <w:szCs w:val="21"/>
        </w:rPr>
        <w:t>元）考虑。</w:t>
      </w:r>
    </w:p>
    <w:p>
      <w:pPr>
        <w:spacing w:line="233" w:lineRule="auto"/>
        <w:rPr>
          <w:rFonts w:ascii="宋体" w:hAnsi="宋体" w:eastAsia="宋体" w:cs="宋体"/>
          <w:sz w:val="24"/>
          <w:szCs w:val="24"/>
        </w:rPr>
        <w:sectPr>
          <w:footerReference r:id="rId15" w:type="default"/>
          <w:pgSz w:w="11906" w:h="16839"/>
          <w:pgMar w:top="1431" w:right="1413" w:bottom="1278" w:left="1412" w:header="0" w:footer="1116" w:gutter="0"/>
          <w:pgBorders>
            <w:top w:val="none" w:sz="0" w:space="0"/>
            <w:left w:val="none" w:sz="0" w:space="0"/>
            <w:bottom w:val="none" w:sz="0" w:space="0"/>
            <w:right w:val="none" w:sz="0" w:space="0"/>
          </w:pgBorders>
          <w:pgNumType w:fmt="numberInDash"/>
          <w:cols w:space="720" w:num="1"/>
        </w:sectPr>
      </w:pPr>
    </w:p>
    <w:p>
      <w:pPr>
        <w:spacing w:before="78" w:line="219" w:lineRule="auto"/>
        <w:ind w:left="2131"/>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5-1</w:t>
      </w:r>
      <w:r>
        <w:rPr>
          <w:rFonts w:hint="eastAsia" w:ascii="Times New Roman" w:hAnsi="Times New Roman" w:eastAsia="宋体" w:cs="Times New Roman"/>
          <w:b/>
          <w:bCs/>
          <w:sz w:val="24"/>
          <w:szCs w:val="24"/>
          <w:lang w:val="en-US" w:eastAsia="zh-CN"/>
        </w:rPr>
        <w:t>6</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本项目非正常工况下点</w:t>
      </w:r>
      <w:r>
        <w:rPr>
          <w:rFonts w:ascii="宋体" w:hAnsi="宋体" w:eastAsia="宋体" w:cs="宋体"/>
          <w:spacing w:val="-1"/>
          <w:sz w:val="24"/>
          <w:szCs w:val="24"/>
          <w14:textOutline w14:w="4358" w14:cap="sq" w14:cmpd="sng">
            <w14:solidFill>
              <w14:srgbClr w14:val="000000"/>
            </w14:solidFill>
            <w14:prstDash w14:val="solid"/>
            <w14:bevel/>
          </w14:textOutline>
        </w:rPr>
        <w:t>源参数表</w:t>
      </w:r>
    </w:p>
    <w:tbl>
      <w:tblPr>
        <w:tblStyle w:val="24"/>
        <w:tblW w:w="9075"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41"/>
        <w:gridCol w:w="653"/>
        <w:gridCol w:w="663"/>
        <w:gridCol w:w="911"/>
        <w:gridCol w:w="690"/>
        <w:gridCol w:w="751"/>
        <w:gridCol w:w="778"/>
        <w:gridCol w:w="575"/>
        <w:gridCol w:w="702"/>
        <w:gridCol w:w="477"/>
        <w:gridCol w:w="629"/>
        <w:gridCol w:w="120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04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14:textOutline w14:w="3795" w14:cap="sq" w14:cmpd="sng">
                  <w14:solidFill>
                    <w14:srgbClr w14:val="000000"/>
                  </w14:solidFill>
                  <w14:prstDash w14:val="solid"/>
                  <w14:bevel/>
                </w14:textOutline>
              </w:rPr>
              <w:t>点源名</w:t>
            </w:r>
            <w:r>
              <w:rPr>
                <w:spacing w:val="1"/>
                <w14:textOutline w14:w="3795" w14:cap="sq" w14:cmpd="sng">
                  <w14:solidFill>
                    <w14:srgbClr w14:val="000000"/>
                  </w14:solidFill>
                  <w14:prstDash w14:val="solid"/>
                  <w14:bevel/>
                </w14:textOutline>
              </w:rPr>
              <w:t>称</w:t>
            </w:r>
          </w:p>
        </w:tc>
        <w:tc>
          <w:tcPr>
            <w:tcW w:w="1316" w:type="dxa"/>
            <w:gridSpan w:val="2"/>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rPr>
            </w:pPr>
            <w:r>
              <w:rPr>
                <w:spacing w:val="8"/>
                <w14:textOutline w14:w="3795" w14:cap="sq" w14:cmpd="sng">
                  <w14:solidFill>
                    <w14:srgbClr w14:val="000000"/>
                  </w14:solidFill>
                  <w14:prstDash w14:val="solid"/>
                  <w14:bevel/>
                </w14:textOutline>
              </w:rPr>
              <w:t>排气筒底部</w:t>
            </w:r>
            <w:r>
              <w:rPr>
                <w:spacing w:val="4"/>
                <w14:textOutline w14:w="3795" w14:cap="sq" w14:cmpd="sng">
                  <w14:solidFill>
                    <w14:srgbClr w14:val="000000"/>
                  </w14:solidFill>
                  <w14:prstDash w14:val="solid"/>
                  <w14:bevel/>
                </w14:textOutline>
              </w:rPr>
              <w:t>中心坐标</w:t>
            </w:r>
            <w:r>
              <w:rPr>
                <w:rFonts w:ascii="Times New Roman" w:hAnsi="Times New Roman" w:eastAsia="Times New Roman" w:cs="Times New Roman"/>
                <w:b/>
                <w:bCs/>
                <w:spacing w:val="4"/>
              </w:rPr>
              <w:t>/m</w:t>
            </w:r>
          </w:p>
        </w:tc>
        <w:tc>
          <w:tcPr>
            <w:tcW w:w="91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排气筒</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底部海</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拔高度</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w:t>
            </w:r>
          </w:p>
        </w:tc>
        <w:tc>
          <w:tcPr>
            <w:tcW w:w="690"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rPr>
            </w:pPr>
            <w:r>
              <w:rPr>
                <w:spacing w:val="6"/>
                <w14:textOutline w14:w="3795" w14:cap="sq" w14:cmpd="sng">
                  <w14:solidFill>
                    <w14:srgbClr w14:val="000000"/>
                  </w14:solidFill>
                  <w14:prstDash w14:val="solid"/>
                  <w14:bevel/>
                </w14:textOutline>
              </w:rPr>
              <w:t>排气</w:t>
            </w:r>
            <w:r>
              <w:rPr>
                <w:spacing w:val="12"/>
                <w14:textOutline w14:w="3795" w14:cap="sq" w14:cmpd="sng">
                  <w14:solidFill>
                    <w14:srgbClr w14:val="000000"/>
                  </w14:solidFill>
                  <w14:prstDash w14:val="solid"/>
                  <w14:bevel/>
                </w14:textOutline>
              </w:rPr>
              <w:t>筒高</w:t>
            </w:r>
            <w:r>
              <w:rPr>
                <w:spacing w:val="4"/>
                <w14:textOutline w14:w="3795" w14:cap="sq" w14:cmpd="sng">
                  <w14:solidFill>
                    <w14:srgbClr w14:val="000000"/>
                  </w14:solidFill>
                  <w14:prstDash w14:val="solid"/>
                  <w14:bevel/>
                </w14:textOutline>
              </w:rPr>
              <w:t>度</w:t>
            </w:r>
            <w:r>
              <w:rPr>
                <w:rFonts w:ascii="Times New Roman" w:hAnsi="Times New Roman" w:eastAsia="Times New Roman" w:cs="Times New Roman"/>
                <w:b/>
                <w:bCs/>
                <w:spacing w:val="4"/>
              </w:rPr>
              <w:t>/m</w:t>
            </w:r>
          </w:p>
        </w:tc>
        <w:tc>
          <w:tcPr>
            <w:tcW w:w="75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position w:val="7"/>
                <w14:textOutline w14:w="3795" w14:cap="sq" w14:cmpd="sng">
                  <w14:solidFill>
                    <w14:srgbClr w14:val="000000"/>
                  </w14:solidFill>
                  <w14:prstDash w14:val="solid"/>
                  <w14:bevel/>
                </w14:textOutline>
              </w:rPr>
              <w:t>排气</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14:textOutline w14:w="3795" w14:cap="sq" w14:cmpd="sng">
                  <w14:solidFill>
                    <w14:srgbClr w14:val="000000"/>
                  </w14:solidFill>
                  <w14:prstDash w14:val="solid"/>
                  <w14:bevel/>
                </w14:textOutline>
              </w:rPr>
              <w:t>筒出</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0"/>
                <w14:textOutline w14:w="3795" w14:cap="sq" w14:cmpd="sng">
                  <w14:solidFill>
                    <w14:srgbClr w14:val="000000"/>
                  </w14:solidFill>
                  <w14:prstDash w14:val="solid"/>
                  <w14:bevel/>
                </w14:textOutline>
              </w:rPr>
              <w:t>口内</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rPr>
            </w:pPr>
            <w:r>
              <w:rPr>
                <w:spacing w:val="4"/>
                <w14:textOutline w14:w="3795" w14:cap="sq" w14:cmpd="sng">
                  <w14:solidFill>
                    <w14:srgbClr w14:val="000000"/>
                  </w14:solidFill>
                  <w14:prstDash w14:val="solid"/>
                  <w14:bevel/>
                </w14:textOutline>
              </w:rPr>
              <w:t>径</w:t>
            </w:r>
            <w:r>
              <w:rPr>
                <w:rFonts w:ascii="Times New Roman" w:hAnsi="Times New Roman" w:eastAsia="Times New Roman" w:cs="Times New Roman"/>
                <w:b/>
                <w:bCs/>
                <w:spacing w:val="4"/>
              </w:rPr>
              <w:t>/m</w:t>
            </w:r>
          </w:p>
        </w:tc>
        <w:tc>
          <w:tcPr>
            <w:tcW w:w="778"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14:textOutline w14:w="3795" w14:cap="sq" w14:cmpd="sng">
                  <w14:solidFill>
                    <w14:srgbClr w14:val="000000"/>
                  </w14:solidFill>
                  <w14:prstDash w14:val="solid"/>
                  <w14:bevel/>
                </w14:textOutline>
              </w:rPr>
              <w:t>烟气</w:t>
            </w:r>
            <w:r>
              <w:rPr>
                <w:spacing w:val="7"/>
                <w14:textOutline w14:w="3795" w14:cap="sq" w14:cmpd="sng">
                  <w14:solidFill>
                    <w14:srgbClr w14:val="000000"/>
                  </w14:solidFill>
                  <w14:prstDash w14:val="solid"/>
                  <w14:bevel/>
                </w14:textOutline>
              </w:rPr>
              <w:t>流速</w:t>
            </w:r>
            <w:r>
              <w:rPr>
                <w:rFonts w:ascii="Times New Roman" w:hAnsi="Times New Roman" w:eastAsia="Times New Roman" w:cs="Times New Roman"/>
                <w:b/>
                <w:bCs/>
                <w:spacing w:val="7"/>
              </w:rPr>
              <w:t>/</w:t>
            </w:r>
            <w:r>
              <w:rPr>
                <w:spacing w:val="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 xml:space="preserve">/ </w:t>
            </w:r>
            <w:r>
              <w:rPr>
                <w:rFonts w:ascii="Times New Roman" w:hAnsi="Times New Roman" w:eastAsia="Times New Roman" w:cs="Times New Roman"/>
                <w:b/>
                <w:bCs/>
                <w:spacing w:val="34"/>
                <w:w w:val="103"/>
              </w:rPr>
              <w:t>h</w:t>
            </w:r>
            <w:r>
              <w:rPr>
                <w:spacing w:val="34"/>
                <w:w w:val="103"/>
                <w14:textOutline w14:w="3795" w14:cap="sq" w14:cmpd="sng">
                  <w14:solidFill>
                    <w14:srgbClr w14:val="000000"/>
                  </w14:solidFill>
                  <w14:prstDash w14:val="solid"/>
                  <w14:bevel/>
                </w14:textOutline>
              </w:rPr>
              <w:t>）</w:t>
            </w:r>
          </w:p>
        </w:tc>
        <w:tc>
          <w:tcPr>
            <w:tcW w:w="575"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position w:val="7"/>
                <w14:textOutline w14:w="3795" w14:cap="sq" w14:cmpd="sng">
                  <w14:solidFill>
                    <w14:srgbClr w14:val="000000"/>
                  </w14:solidFill>
                  <w14:prstDash w14:val="solid"/>
                  <w14:bevel/>
                </w14:textOutline>
              </w:rPr>
              <w:t>烟</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14:textOutline w14:w="3795" w14:cap="sq" w14:cmpd="sng">
                  <w14:solidFill>
                    <w14:srgbClr w14:val="000000"/>
                  </w14:solidFill>
                  <w14:prstDash w14:val="solid"/>
                  <w14:bevel/>
                </w14:textOutline>
              </w:rPr>
              <w:t>气</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14:textOutline w14:w="3795" w14:cap="sq" w14:cmpd="sng">
                  <w14:solidFill>
                    <w14:srgbClr w14:val="000000"/>
                  </w14:solidFill>
                  <w14:prstDash w14:val="solid"/>
                  <w14:bevel/>
                </w14:textOutline>
              </w:rPr>
              <w:t>温</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
                <w14:textOutline w14:w="3795" w14:cap="sq" w14:cmpd="sng">
                  <w14:solidFill>
                    <w14:srgbClr w14:val="000000"/>
                  </w14:solidFill>
                  <w14:prstDash w14:val="solid"/>
                  <w14:bevel/>
                </w14:textOutline>
              </w:rPr>
              <w:t>度</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p>
        </w:tc>
        <w:tc>
          <w:tcPr>
            <w:tcW w:w="702"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14:textOutline w14:w="3795" w14:cap="sq" w14:cmpd="sng">
                  <w14:solidFill>
                    <w14:srgbClr w14:val="000000"/>
                  </w14:solidFill>
                  <w14:prstDash w14:val="solid"/>
                  <w14:bevel/>
                </w14:textOutline>
              </w:rPr>
              <w:t>年排</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放小</w:t>
            </w:r>
          </w:p>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
                <w14:textOutline w14:w="3795" w14:cap="sq" w14:cmpd="sng">
                  <w14:solidFill>
                    <w14:srgbClr w14:val="000000"/>
                  </w14:solidFill>
                  <w14:prstDash w14:val="solid"/>
                  <w14:bevel/>
                </w14:textOutline>
              </w:rPr>
              <w:t>时数</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p>
        </w:tc>
        <w:tc>
          <w:tcPr>
            <w:tcW w:w="477" w:type="dxa"/>
            <w:vMerge w:val="restart"/>
            <w:tcBorders>
              <w:tl2br w:val="nil"/>
              <w:tr2bl w:val="nil"/>
            </w:tcBorders>
            <w:textDirection w:val="tbRlV"/>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排放工况</w:t>
            </w:r>
          </w:p>
        </w:tc>
        <w:tc>
          <w:tcPr>
            <w:tcW w:w="629" w:type="dxa"/>
            <w:vMerge w:val="restart"/>
            <w:tcBorders>
              <w:tl2br w:val="nil"/>
              <w:tr2bl w:val="nil"/>
            </w:tcBorders>
            <w:textDirection w:val="tbRlV"/>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评价因子</w:t>
            </w:r>
          </w:p>
        </w:tc>
        <w:tc>
          <w:tcPr>
            <w:tcW w:w="1205"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14:textOutline w14:w="3795" w14:cap="sq" w14:cmpd="sng">
                  <w14:solidFill>
                    <w14:srgbClr w14:val="000000"/>
                  </w14:solidFill>
                  <w14:prstDash w14:val="solid"/>
                  <w14:bevel/>
                </w14:textOutline>
              </w:rPr>
              <w:t>源强</w:t>
            </w:r>
            <w:r>
              <w:rPr>
                <w:rFonts w:ascii="Times New Roman" w:hAnsi="Times New Roman" w:eastAsia="Times New Roman" w:cs="Times New Roman"/>
                <w:b/>
                <w:bCs/>
                <w:spacing w:val="5"/>
              </w:rPr>
              <w:t>/</w:t>
            </w:r>
            <w:r>
              <w:rPr>
                <w14:textOutline w14:w="3795" w14:cap="sq" w14:cmpd="sng">
                  <w14:solidFill>
                    <w14:srgbClr w14:val="000000"/>
                  </w14:solidFill>
                  <w14:prstDash w14:val="solid"/>
                  <w14:bevel/>
                </w14:textOutline>
              </w:rPr>
              <w:t>（</w:t>
            </w:r>
            <w:r>
              <w:rPr>
                <w:rFonts w:ascii="Times New Roman" w:hAnsi="Times New Roman" w:eastAsia="Times New Roman" w:cs="Times New Roman"/>
                <w:b/>
                <w:bCs/>
              </w:rPr>
              <w:t>kg/h</w:t>
            </w:r>
            <w:r>
              <w:rPr>
                <w14:textOutline w14:w="3795" w14:cap="sq" w14:cmpd="sng">
                  <w14:solidFill>
                    <w14:srgbClr w14:val="000000"/>
                  </w14:solidFill>
                  <w14:prstDash w14:val="solid"/>
                  <w14:bevel/>
                </w14:textOutli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04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65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663"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91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690"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5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78"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575"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0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477" w:type="dxa"/>
            <w:vMerge w:val="continue"/>
            <w:tcBorders>
              <w:tl2br w:val="nil"/>
              <w:tr2bl w:val="nil"/>
            </w:tcBorders>
            <w:textDirection w:val="tbRlV"/>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629" w:type="dxa"/>
            <w:vMerge w:val="continue"/>
            <w:tcBorders>
              <w:tl2br w:val="nil"/>
              <w:tr2bl w:val="nil"/>
            </w:tcBorders>
            <w:textDirection w:val="tbRlV"/>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05"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041" w:type="dxa"/>
            <w:vMerge w:val="restart"/>
            <w:tcBorders>
              <w:tl2br w:val="nil"/>
              <w:tr2bl w:val="nil"/>
            </w:tcBorders>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spacing w:val="6"/>
                <w:lang w:eastAsia="zh-CN"/>
              </w:rPr>
              <w:t>生物除臭塔排气筒</w:t>
            </w:r>
          </w:p>
        </w:tc>
        <w:tc>
          <w:tcPr>
            <w:tcW w:w="653"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z w:val="20"/>
                <w:szCs w:val="20"/>
              </w:rPr>
            </w:pPr>
            <w:r>
              <w:rPr>
                <w:rFonts w:hint="eastAsia" w:ascii="Times New Roman" w:hAnsi="Times New Roman" w:eastAsia="Times New Roman" w:cs="Times New Roman"/>
                <w:spacing w:val="-2"/>
                <w:sz w:val="20"/>
                <w:szCs w:val="20"/>
              </w:rPr>
              <w:t>113.34762096</w:t>
            </w:r>
          </w:p>
        </w:tc>
        <w:tc>
          <w:tcPr>
            <w:tcW w:w="663"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z w:val="20"/>
                <w:szCs w:val="20"/>
              </w:rPr>
            </w:pPr>
            <w:r>
              <w:rPr>
                <w:rFonts w:hint="eastAsia" w:ascii="Times New Roman" w:hAnsi="Times New Roman" w:eastAsia="Times New Roman" w:cs="Times New Roman"/>
                <w:spacing w:val="2"/>
                <w:sz w:val="20"/>
                <w:szCs w:val="20"/>
              </w:rPr>
              <w:t>33.59442660</w:t>
            </w:r>
          </w:p>
        </w:tc>
        <w:tc>
          <w:tcPr>
            <w:tcW w:w="911"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4"/>
                <w:sz w:val="20"/>
                <w:szCs w:val="20"/>
                <w:lang w:val="en-US" w:eastAsia="zh-CN"/>
              </w:rPr>
              <w:t>85</w:t>
            </w:r>
          </w:p>
        </w:tc>
        <w:tc>
          <w:tcPr>
            <w:tcW w:w="690"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51"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1"/>
                <w:sz w:val="20"/>
                <w:szCs w:val="20"/>
                <w:lang w:val="en-US" w:eastAsia="zh-CN"/>
              </w:rPr>
              <w:t>1</w:t>
            </w:r>
          </w:p>
        </w:tc>
        <w:tc>
          <w:tcPr>
            <w:tcW w:w="778"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z w:val="20"/>
                <w:szCs w:val="20"/>
                <w:lang w:val="en-US" w:eastAsia="zh-CN"/>
              </w:rPr>
              <w:t>5</w:t>
            </w:r>
            <w:r>
              <w:rPr>
                <w:rFonts w:ascii="Times New Roman" w:hAnsi="Times New Roman" w:eastAsia="Times New Roman" w:cs="Times New Roman"/>
                <w:sz w:val="20"/>
                <w:szCs w:val="20"/>
              </w:rPr>
              <w:t>0000</w:t>
            </w:r>
          </w:p>
        </w:tc>
        <w:tc>
          <w:tcPr>
            <w:tcW w:w="575"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Times New Roman" w:cs="Times New Roman"/>
                <w:spacing w:val="2"/>
                <w:sz w:val="20"/>
                <w:szCs w:val="20"/>
                <w:lang w:eastAsia="zh-CN"/>
              </w:rPr>
              <w:t>常温</w:t>
            </w:r>
          </w:p>
        </w:tc>
        <w:tc>
          <w:tcPr>
            <w:tcW w:w="702"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hint="eastAsia" w:ascii="Times New Roman" w:hAnsi="Times New Roman" w:eastAsia="宋体" w:cs="Times New Roman"/>
                <w:spacing w:val="2"/>
                <w:sz w:val="20"/>
                <w:szCs w:val="20"/>
                <w:lang w:val="en-US" w:eastAsia="zh-CN"/>
              </w:rPr>
              <w:t>12</w:t>
            </w:r>
            <w:r>
              <w:rPr>
                <w:rFonts w:ascii="Times New Roman" w:hAnsi="Times New Roman" w:eastAsia="Times New Roman" w:cs="Times New Roman"/>
                <w:spacing w:val="2"/>
                <w:sz w:val="20"/>
                <w:szCs w:val="20"/>
              </w:rPr>
              <w:t>0</w:t>
            </w:r>
          </w:p>
        </w:tc>
        <w:tc>
          <w:tcPr>
            <w:tcW w:w="477" w:type="dxa"/>
            <w:vMerge w:val="restart"/>
            <w:tcBorders>
              <w:tl2br w:val="nil"/>
              <w:tr2bl w:val="nil"/>
            </w:tcBorders>
            <w:textDirection w:val="tbRlV"/>
            <w:vAlign w:val="center"/>
          </w:tcPr>
          <w:p>
            <w:pPr>
              <w:pStyle w:val="25"/>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非正常排放</w:t>
            </w:r>
          </w:p>
        </w:tc>
        <w:tc>
          <w:tcPr>
            <w:tcW w:w="62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120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11908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04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653"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663"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1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690"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51"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78"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575"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02" w:type="dxa"/>
            <w:vMerge w:val="continue"/>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477" w:type="dxa"/>
            <w:vMerge w:val="continue"/>
            <w:tcBorders>
              <w:tl2br w:val="nil"/>
              <w:tr2bl w:val="nil"/>
            </w:tcBorders>
            <w:textDirection w:val="tbRlV"/>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629"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4"/>
                <w:sz w:val="20"/>
                <w:szCs w:val="20"/>
              </w:rPr>
              <w:t>S</w:t>
            </w:r>
          </w:p>
        </w:tc>
        <w:tc>
          <w:tcPr>
            <w:tcW w:w="120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13"/>
                <w:szCs w:val="13"/>
                <w:lang w:val="en-US" w:eastAsia="zh-CN"/>
              </w:rPr>
            </w:pPr>
            <w:r>
              <w:rPr>
                <w:rFonts w:hint="eastAsia" w:ascii="Times New Roman" w:hAnsi="Times New Roman" w:eastAsia="宋体" w:cs="Times New Roman"/>
                <w:sz w:val="20"/>
                <w:szCs w:val="20"/>
                <w:highlight w:val="none"/>
                <w:lang w:val="en-US" w:eastAsia="zh-CN"/>
              </w:rPr>
              <w:t>0.00717</w:t>
            </w:r>
          </w:p>
        </w:tc>
      </w:tr>
    </w:tbl>
    <w:p>
      <w:pPr>
        <w:spacing w:before="130" w:line="218" w:lineRule="auto"/>
        <w:ind w:left="668"/>
        <w:rPr>
          <w:rFonts w:ascii="宋体" w:hAnsi="宋体" w:eastAsia="宋体" w:cs="宋体"/>
          <w:sz w:val="24"/>
          <w:szCs w:val="24"/>
        </w:rPr>
      </w:pPr>
      <w:r>
        <w:rPr>
          <w:rFonts w:hint="eastAsia" w:ascii="Times New Roman" w:hAnsi="Times New Roman" w:eastAsia="宋体" w:cs="Times New Roman"/>
          <w:spacing w:val="-28"/>
          <w:sz w:val="24"/>
          <w:szCs w:val="24"/>
          <w:lang w:eastAsia="zh-CN"/>
        </w:rPr>
        <w:t>（</w:t>
      </w:r>
      <w:r>
        <w:rPr>
          <w:rFonts w:ascii="Times New Roman" w:hAnsi="Times New Roman" w:eastAsia="Times New Roman" w:cs="Times New Roman"/>
          <w:spacing w:val="-3"/>
          <w:sz w:val="24"/>
          <w:szCs w:val="24"/>
        </w:rPr>
        <w:t>5</w:t>
      </w:r>
      <w:r>
        <w:rPr>
          <w:rFonts w:hint="eastAsia" w:ascii="Times New Roman" w:hAnsi="Times New Roman" w:eastAsia="宋体" w:cs="Times New Roman"/>
          <w:spacing w:val="-28"/>
          <w:sz w:val="24"/>
          <w:szCs w:val="24"/>
          <w:lang w:eastAsia="zh-CN"/>
        </w:rPr>
        <w:t>）</w:t>
      </w:r>
      <w:r>
        <w:rPr>
          <w:rFonts w:ascii="宋体" w:hAnsi="宋体" w:eastAsia="宋体" w:cs="宋体"/>
          <w:spacing w:val="-3"/>
          <w:sz w:val="24"/>
          <w:szCs w:val="24"/>
        </w:rPr>
        <w:t>主要污染源评估模型计算结果</w:t>
      </w:r>
    </w:p>
    <w:p>
      <w:pPr>
        <w:spacing w:before="215" w:line="218" w:lineRule="auto"/>
        <w:ind w:left="666"/>
        <w:rPr>
          <w:rFonts w:ascii="宋体" w:hAnsi="宋体" w:eastAsia="宋体" w:cs="宋体"/>
          <w:sz w:val="24"/>
          <w:szCs w:val="24"/>
        </w:rPr>
      </w:pPr>
      <w:r>
        <w:rPr>
          <w:rFonts w:ascii="宋体" w:hAnsi="宋体" w:eastAsia="宋体" w:cs="宋体"/>
          <w:spacing w:val="-2"/>
          <w:sz w:val="24"/>
          <w:szCs w:val="24"/>
        </w:rPr>
        <w:t>本项目大气主要污染源估算模型计算结果见表</w:t>
      </w:r>
      <w:r>
        <w:rPr>
          <w:rFonts w:ascii="Times New Roman" w:hAnsi="Times New Roman" w:eastAsia="Times New Roman" w:cs="Times New Roman"/>
          <w:spacing w:val="-2"/>
          <w:sz w:val="24"/>
          <w:szCs w:val="24"/>
        </w:rPr>
        <w:t>5-1</w:t>
      </w:r>
      <w:r>
        <w:rPr>
          <w:rFonts w:hint="eastAsia" w:ascii="Times New Roman" w:hAnsi="Times New Roman" w:eastAsia="宋体" w:cs="Times New Roman"/>
          <w:spacing w:val="-2"/>
          <w:sz w:val="24"/>
          <w:szCs w:val="24"/>
          <w:lang w:val="en-US" w:eastAsia="zh-CN"/>
        </w:rPr>
        <w:t>7</w:t>
      </w:r>
      <w:r>
        <w:rPr>
          <w:rFonts w:ascii="Times New Roman" w:hAnsi="Times New Roman" w:eastAsia="Times New Roman" w:cs="Times New Roman"/>
          <w:spacing w:val="-2"/>
          <w:sz w:val="24"/>
          <w:szCs w:val="24"/>
        </w:rPr>
        <w:t>~</w:t>
      </w:r>
      <w:r>
        <w:rPr>
          <w:rFonts w:ascii="宋体" w:hAnsi="宋体" w:eastAsia="宋体" w:cs="宋体"/>
          <w:spacing w:val="-2"/>
          <w:sz w:val="24"/>
          <w:szCs w:val="24"/>
        </w:rPr>
        <w:t>表</w:t>
      </w:r>
      <w:r>
        <w:rPr>
          <w:rFonts w:ascii="Times New Roman" w:hAnsi="Times New Roman" w:eastAsia="Times New Roman" w:cs="Times New Roman"/>
          <w:spacing w:val="-2"/>
          <w:sz w:val="24"/>
          <w:szCs w:val="24"/>
        </w:rPr>
        <w:t>5-</w:t>
      </w:r>
      <w:r>
        <w:rPr>
          <w:rFonts w:hint="eastAsia" w:ascii="Times New Roman" w:hAnsi="Times New Roman" w:eastAsia="宋体" w:cs="Times New Roman"/>
          <w:spacing w:val="-2"/>
          <w:sz w:val="24"/>
          <w:szCs w:val="24"/>
          <w:lang w:val="en-US" w:eastAsia="zh-CN"/>
        </w:rPr>
        <w:t>19</w:t>
      </w:r>
      <w:r>
        <w:rPr>
          <w:rFonts w:ascii="宋体" w:hAnsi="宋体" w:eastAsia="宋体" w:cs="宋体"/>
          <w:spacing w:val="-3"/>
          <w:sz w:val="24"/>
          <w:szCs w:val="24"/>
        </w:rPr>
        <w:t>。</w:t>
      </w:r>
    </w:p>
    <w:p>
      <w:pPr>
        <w:spacing w:before="216" w:line="218" w:lineRule="auto"/>
        <w:ind w:left="988"/>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5-1</w:t>
      </w:r>
      <w:r>
        <w:rPr>
          <w:rFonts w:hint="eastAsia" w:ascii="Times New Roman" w:hAnsi="Times New Roman" w:eastAsia="宋体" w:cs="Times New Roman"/>
          <w:b/>
          <w:bCs/>
          <w:sz w:val="24"/>
          <w:szCs w:val="24"/>
          <w:lang w:val="en-US" w:eastAsia="zh-CN"/>
        </w:rPr>
        <w:t>7</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正常工况下项目恶臭气体有组织排放估算结果一览表</w:t>
      </w:r>
    </w:p>
    <w:tbl>
      <w:tblPr>
        <w:tblStyle w:val="24"/>
        <w:tblW w:w="8776" w:type="dxa"/>
        <w:tblInd w:w="15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070"/>
        <w:gridCol w:w="1983"/>
        <w:gridCol w:w="1374"/>
        <w:gridCol w:w="1948"/>
        <w:gridCol w:w="140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207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8"/>
                <w:position w:val="7"/>
                <w14:textOutline w14:w="3795" w14:cap="sq" w14:cmpd="sng">
                  <w14:solidFill>
                    <w14:srgbClr w14:val="000000"/>
                  </w14:solidFill>
                  <w14:prstDash w14:val="solid"/>
                  <w14:bevel/>
                </w14:textOutline>
              </w:rPr>
              <w:t>距源中心</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spacing w:val="7"/>
                <w14:textOutline w14:w="3795" w14:cap="sq" w14:cmpd="sng">
                  <w14:solidFill>
                    <w14:srgbClr w14:val="000000"/>
                  </w14:solidFill>
                  <w14:prstDash w14:val="solid"/>
                  <w14:bevel/>
                </w14:textOutline>
              </w:rPr>
              <w:t>下风向距离</w:t>
            </w:r>
            <w:r>
              <w:rPr>
                <w:rFonts w:ascii="Times New Roman" w:hAnsi="Times New Roman" w:eastAsia="Times New Roman" w:cs="Times New Roman"/>
                <w:b/>
                <w:bCs/>
                <w:sz w:val="20"/>
                <w:szCs w:val="20"/>
              </w:rPr>
              <w:t>m</w:t>
            </w:r>
          </w:p>
        </w:tc>
        <w:tc>
          <w:tcPr>
            <w:tcW w:w="3357"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4"/>
                <w:position w:val="-1"/>
                <w:sz w:val="13"/>
                <w:szCs w:val="13"/>
              </w:rPr>
              <w:t>3</w:t>
            </w:r>
          </w:p>
        </w:tc>
        <w:tc>
          <w:tcPr>
            <w:tcW w:w="33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H</w:t>
            </w:r>
            <w:r>
              <w:rPr>
                <w:rFonts w:ascii="Times New Roman" w:hAnsi="Times New Roman" w:eastAsia="Times New Roman" w:cs="Times New Roman"/>
                <w:b/>
                <w:bCs/>
                <w:spacing w:val="4"/>
                <w:position w:val="-1"/>
                <w:sz w:val="13"/>
                <w:szCs w:val="13"/>
              </w:rPr>
              <w:t>2</w:t>
            </w:r>
            <w:r>
              <w:rPr>
                <w:rFonts w:ascii="Times New Roman" w:hAnsi="Times New Roman" w:eastAsia="Times New Roman" w:cs="Times New Roman"/>
                <w:b/>
                <w:bCs/>
                <w:spacing w:val="4"/>
                <w:sz w:val="20"/>
                <w:szCs w:val="20"/>
              </w:rPr>
              <w:t>S</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207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98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8"/>
                <w:position w:val="9"/>
                <w14:textOutline w14:w="3795" w14:cap="sq" w14:cmpd="sng">
                  <w14:solidFill>
                    <w14:srgbClr w14:val="000000"/>
                  </w14:solidFill>
                  <w14:prstDash w14:val="solid"/>
                  <w14:bevel/>
                </w14:textOutline>
              </w:rPr>
              <w:t>浓度预测值</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tc>
        <w:tc>
          <w:tcPr>
            <w:tcW w:w="137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4"/>
                <w:position w:val="10"/>
                <w14:textOutline w14:w="3795" w14:cap="sq" w14:cmpd="sng">
                  <w14:solidFill>
                    <w14:srgbClr w14:val="000000"/>
                  </w14:solidFill>
                  <w14:prstDash w14:val="solid"/>
                  <w14:bevel/>
                </w14:textOutline>
              </w:rPr>
              <w:t>占标率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z w:val="20"/>
                <w:szCs w:val="20"/>
              </w:rPr>
              <w:t>%</w:t>
            </w:r>
          </w:p>
        </w:tc>
        <w:tc>
          <w:tcPr>
            <w:tcW w:w="194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8"/>
                <w:position w:val="9"/>
                <w14:textOutline w14:w="3795" w14:cap="sq" w14:cmpd="sng">
                  <w14:solidFill>
                    <w14:srgbClr w14:val="000000"/>
                  </w14:solidFill>
                  <w14:prstDash w14:val="solid"/>
                  <w14:bevel/>
                </w14:textOutline>
              </w:rPr>
              <w:t>浓度预测值</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tc>
        <w:tc>
          <w:tcPr>
            <w:tcW w:w="140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4"/>
                <w:position w:val="10"/>
                <w14:textOutline w14:w="3795" w14:cap="sq" w14:cmpd="sng">
                  <w14:solidFill>
                    <w14:srgbClr w14:val="000000"/>
                  </w14:solidFill>
                  <w14:prstDash w14:val="solid"/>
                  <w14:bevel/>
                </w14:textOutline>
              </w:rPr>
              <w:t>占标率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z w:val="20"/>
                <w:szCs w:val="2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1.78E-03</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0.89</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1.27E-04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2.05E-03</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1.46E-04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1.68E-03</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1.20E-04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1.43E-03</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0.72</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1.02E-04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8.30E-04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0.55</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5.92E-05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5.89E-04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4.20E-05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4.70E-04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3.35E-05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14E-04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2.95E-05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3.65E-04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3.23E-04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1.85E-05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15E-04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1.82E-04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1.69E-04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1.61E-04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15E-05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7"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1.54E-04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10E-05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1.04E-05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9.97E-06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9.72E-06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9.51E-06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9.29E-06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9.06E-06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8.87E-06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1.22E-04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8.73E-06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8.58E-06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19E-04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8.45E-06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Cmax</w:t>
            </w:r>
          </w:p>
        </w:tc>
        <w:tc>
          <w:tcPr>
            <w:tcW w:w="3357"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0.00205</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33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0.000146</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Pmax</w:t>
            </w:r>
          </w:p>
        </w:tc>
        <w:tc>
          <w:tcPr>
            <w:tcW w:w="3357"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1.02%</w:t>
            </w:r>
          </w:p>
        </w:tc>
        <w:tc>
          <w:tcPr>
            <w:tcW w:w="33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1.46%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Dmax</w:t>
            </w:r>
          </w:p>
        </w:tc>
        <w:tc>
          <w:tcPr>
            <w:tcW w:w="3357"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3"/>
                <w:sz w:val="20"/>
                <w:szCs w:val="20"/>
                <w:lang w:val="en-US" w:eastAsia="zh-CN"/>
              </w:rPr>
              <w:t>32</w:t>
            </w:r>
            <w:r>
              <w:rPr>
                <w:rFonts w:ascii="Times New Roman" w:hAnsi="Times New Roman" w:eastAsia="Times New Roman" w:cs="Times New Roman"/>
                <w:spacing w:val="3"/>
                <w:sz w:val="20"/>
                <w:szCs w:val="20"/>
              </w:rPr>
              <w:t>m</w:t>
            </w:r>
          </w:p>
        </w:tc>
        <w:tc>
          <w:tcPr>
            <w:tcW w:w="33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2"/>
                <w:sz w:val="20"/>
                <w:szCs w:val="20"/>
                <w:lang w:val="en-US" w:eastAsia="zh-CN"/>
              </w:rPr>
              <w:t>32</w:t>
            </w:r>
            <w:r>
              <w:rPr>
                <w:rFonts w:ascii="Times New Roman" w:hAnsi="Times New Roman" w:eastAsia="Times New Roman" w:cs="Times New Roman"/>
                <w:spacing w:val="2"/>
                <w:sz w:val="20"/>
                <w:szCs w:val="20"/>
              </w:rPr>
              <w:t>m</w:t>
            </w:r>
          </w:p>
        </w:tc>
      </w:tr>
    </w:tbl>
    <w:p>
      <w:pPr>
        <w:spacing w:before="129" w:line="218" w:lineRule="auto"/>
        <w:ind w:left="1498"/>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5-1</w:t>
      </w:r>
      <w:r>
        <w:rPr>
          <w:rFonts w:hint="eastAsia" w:ascii="Times New Roman" w:hAnsi="Times New Roman" w:eastAsia="宋体" w:cs="Times New Roman"/>
          <w:b/>
          <w:bCs/>
          <w:sz w:val="24"/>
          <w:szCs w:val="24"/>
          <w:lang w:val="en-US" w:eastAsia="zh-CN"/>
        </w:rPr>
        <w:t>8</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项目</w:t>
      </w:r>
      <w:r>
        <w:rPr>
          <w:rFonts w:ascii="宋体" w:hAnsi="宋体" w:eastAsia="宋体" w:cs="宋体"/>
          <w:sz w:val="24"/>
          <w:szCs w:val="24"/>
          <w:highlight w:val="none"/>
          <w14:textOutline w14:w="4358" w14:cap="sq" w14:cmpd="sng">
            <w14:solidFill>
              <w14:srgbClr w14:val="000000"/>
            </w14:solidFill>
            <w14:prstDash w14:val="solid"/>
            <w14:bevel/>
          </w14:textOutline>
        </w:rPr>
        <w:t>恶臭气体无组织</w:t>
      </w:r>
      <w:r>
        <w:rPr>
          <w:rFonts w:ascii="宋体" w:hAnsi="宋体" w:eastAsia="宋体" w:cs="宋体"/>
          <w:sz w:val="24"/>
          <w:szCs w:val="24"/>
          <w14:textOutline w14:w="4358" w14:cap="sq" w14:cmpd="sng">
            <w14:solidFill>
              <w14:srgbClr w14:val="000000"/>
            </w14:solidFill>
            <w14:prstDash w14:val="solid"/>
            <w14:bevel/>
          </w14:textOutline>
        </w:rPr>
        <w:t>排放估算结果一览表</w:t>
      </w:r>
    </w:p>
    <w:tbl>
      <w:tblPr>
        <w:tblStyle w:val="24"/>
        <w:tblW w:w="8776"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070"/>
        <w:gridCol w:w="1983"/>
        <w:gridCol w:w="1374"/>
        <w:gridCol w:w="1948"/>
        <w:gridCol w:w="140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207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pacing w:val="8"/>
                <w:position w:val="7"/>
                <w:sz w:val="20"/>
                <w:szCs w:val="20"/>
                <w14:textOutline w14:w="3795" w14:cap="sq" w14:cmpd="sng">
                  <w14:solidFill>
                    <w14:srgbClr w14:val="000000"/>
                  </w14:solidFill>
                  <w14:prstDash w14:val="solid"/>
                  <w14:bevel/>
                </w14:textOutline>
              </w:rPr>
              <w:t>距源中心</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pacing w:val="7"/>
                <w:sz w:val="20"/>
                <w:szCs w:val="20"/>
                <w14:textOutline w14:w="3795" w14:cap="sq" w14:cmpd="sng">
                  <w14:solidFill>
                    <w14:srgbClr w14:val="000000"/>
                  </w14:solidFill>
                  <w14:prstDash w14:val="solid"/>
                  <w14:bevel/>
                </w14:textOutline>
              </w:rPr>
              <w:t>下风向距离</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z w:val="20"/>
                <w:szCs w:val="20"/>
              </w:rPr>
              <w:t>m</w:t>
            </w:r>
          </w:p>
        </w:tc>
        <w:tc>
          <w:tcPr>
            <w:tcW w:w="3357"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z w:val="20"/>
                <w:szCs w:val="20"/>
              </w:rPr>
              <w:t>NH</w:t>
            </w:r>
            <w:r>
              <w:rPr>
                <w:rFonts w:hint="default" w:ascii="Times New Roman" w:hAnsi="Times New Roman" w:eastAsia="Times New Roman" w:cs="Times New Roman"/>
                <w:b/>
                <w:bCs/>
                <w:spacing w:val="14"/>
                <w:position w:val="-1"/>
                <w:sz w:val="20"/>
                <w:szCs w:val="20"/>
                <w:vertAlign w:val="subscript"/>
              </w:rPr>
              <w:t>3</w:t>
            </w:r>
          </w:p>
        </w:tc>
        <w:tc>
          <w:tcPr>
            <w:tcW w:w="33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pacing w:val="4"/>
                <w:sz w:val="20"/>
                <w:szCs w:val="20"/>
              </w:rPr>
              <w:t>H</w:t>
            </w:r>
            <w:r>
              <w:rPr>
                <w:rFonts w:hint="default" w:ascii="Times New Roman" w:hAnsi="Times New Roman" w:eastAsia="Times New Roman" w:cs="Times New Roman"/>
                <w:b/>
                <w:bCs/>
                <w:spacing w:val="4"/>
                <w:position w:val="-1"/>
                <w:sz w:val="20"/>
                <w:szCs w:val="20"/>
                <w:vertAlign w:val="subscript"/>
              </w:rPr>
              <w:t>2</w:t>
            </w:r>
            <w:r>
              <w:rPr>
                <w:rFonts w:hint="default" w:ascii="Times New Roman" w:hAnsi="Times New Roman" w:eastAsia="Times New Roman" w:cs="Times New Roman"/>
                <w:b/>
                <w:bCs/>
                <w:spacing w:val="4"/>
                <w:sz w:val="20"/>
                <w:szCs w:val="20"/>
              </w:rPr>
              <w:t>S</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207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p>
        </w:tc>
        <w:tc>
          <w:tcPr>
            <w:tcW w:w="198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pacing w:val="8"/>
                <w:position w:val="9"/>
                <w:sz w:val="20"/>
                <w:szCs w:val="20"/>
                <w14:textOutline w14:w="3795" w14:cap="sq" w14:cmpd="sng">
                  <w14:solidFill>
                    <w14:srgbClr w14:val="000000"/>
                  </w14:solidFill>
                  <w14:prstDash w14:val="solid"/>
                  <w14:bevel/>
                </w14:textOutline>
              </w:rPr>
              <w:t>浓度预测值</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z w:val="20"/>
                <w:szCs w:val="20"/>
              </w:rPr>
              <w:t>mg</w:t>
            </w:r>
            <w:r>
              <w:rPr>
                <w:rFonts w:hint="default" w:ascii="Times New Roman" w:hAnsi="Times New Roman" w:eastAsia="Times New Roman" w:cs="Times New Roman"/>
                <w:b/>
                <w:bCs/>
                <w:spacing w:val="6"/>
                <w:sz w:val="20"/>
                <w:szCs w:val="20"/>
              </w:rPr>
              <w:t>/m</w:t>
            </w:r>
            <w:r>
              <w:rPr>
                <w:rFonts w:hint="default" w:ascii="Times New Roman" w:hAnsi="Times New Roman" w:eastAsia="Times New Roman" w:cs="Times New Roman"/>
                <w:b/>
                <w:bCs/>
                <w:spacing w:val="6"/>
                <w:position w:val="5"/>
                <w:sz w:val="20"/>
                <w:szCs w:val="20"/>
              </w:rPr>
              <w:t>3</w:t>
            </w:r>
          </w:p>
        </w:tc>
        <w:tc>
          <w:tcPr>
            <w:tcW w:w="137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pacing w:val="-4"/>
                <w:position w:val="10"/>
                <w:sz w:val="20"/>
                <w:szCs w:val="20"/>
                <w14:textOutline w14:w="3795" w14:cap="sq" w14:cmpd="sng">
                  <w14:solidFill>
                    <w14:srgbClr w14:val="000000"/>
                  </w14:solidFill>
                  <w14:prstDash w14:val="solid"/>
                  <w14:bevel/>
                </w14:textOutline>
              </w:rPr>
              <w:t>占标率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z w:val="20"/>
                <w:szCs w:val="20"/>
              </w:rPr>
              <w:t>%</w:t>
            </w:r>
          </w:p>
        </w:tc>
        <w:tc>
          <w:tcPr>
            <w:tcW w:w="194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pacing w:val="8"/>
                <w:position w:val="9"/>
                <w:sz w:val="20"/>
                <w:szCs w:val="20"/>
                <w14:textOutline w14:w="3795" w14:cap="sq" w14:cmpd="sng">
                  <w14:solidFill>
                    <w14:srgbClr w14:val="000000"/>
                  </w14:solidFill>
                  <w14:prstDash w14:val="solid"/>
                  <w14:bevel/>
                </w14:textOutline>
              </w:rPr>
              <w:t>浓度预测值</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z w:val="20"/>
                <w:szCs w:val="20"/>
              </w:rPr>
              <w:t>mg</w:t>
            </w:r>
            <w:r>
              <w:rPr>
                <w:rFonts w:hint="default" w:ascii="Times New Roman" w:hAnsi="Times New Roman" w:eastAsia="Times New Roman" w:cs="Times New Roman"/>
                <w:b/>
                <w:bCs/>
                <w:spacing w:val="6"/>
                <w:sz w:val="20"/>
                <w:szCs w:val="20"/>
              </w:rPr>
              <w:t>/m</w:t>
            </w:r>
            <w:r>
              <w:rPr>
                <w:rFonts w:hint="default" w:ascii="Times New Roman" w:hAnsi="Times New Roman" w:eastAsia="Times New Roman" w:cs="Times New Roman"/>
                <w:b/>
                <w:bCs/>
                <w:spacing w:val="6"/>
                <w:position w:val="5"/>
                <w:sz w:val="20"/>
                <w:szCs w:val="20"/>
              </w:rPr>
              <w:t>3</w:t>
            </w:r>
          </w:p>
        </w:tc>
        <w:tc>
          <w:tcPr>
            <w:tcW w:w="140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pacing w:val="-4"/>
                <w:position w:val="10"/>
                <w:sz w:val="20"/>
                <w:szCs w:val="20"/>
                <w14:textOutline w14:w="3795" w14:cap="sq" w14:cmpd="sng">
                  <w14:solidFill>
                    <w14:srgbClr w14:val="000000"/>
                  </w14:solidFill>
                  <w14:prstDash w14:val="solid"/>
                  <w14:bevel/>
                </w14:textOutline>
              </w:rPr>
              <w:t>占标率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z w:val="20"/>
                <w:szCs w:val="2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9"/>
                <w:sz w:val="20"/>
                <w:szCs w:val="20"/>
              </w:rPr>
              <w:t>10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0.002674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1.34</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0.0002325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2.33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sz w:val="20"/>
                <w:szCs w:val="20"/>
              </w:rPr>
              <w:t>25</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0.004344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2.17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0.0003777</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3.78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50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0.006588</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3.29</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0.0005729</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5.73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75</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0.008557</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4.28</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0.000744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7.44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Times New Roman" w:hAnsi="Times New Roman" w:eastAsia="Times New Roman" w:cs="Times New Roman"/>
                <w:spacing w:val="-3"/>
                <w:sz w:val="20"/>
                <w:szCs w:val="20"/>
              </w:rPr>
              <w:t>100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Times New Roman" w:hAnsi="Times New Roman" w:cs="Times New Roman"/>
                <w:sz w:val="20"/>
                <w:szCs w:val="20"/>
              </w:rPr>
              <w:t>0.01005</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Times New Roman" w:hAnsi="Times New Roman" w:cs="Times New Roman"/>
                <w:sz w:val="20"/>
                <w:szCs w:val="20"/>
              </w:rPr>
              <w:t>5.03</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Times New Roman" w:hAnsi="Times New Roman" w:cs="Times New Roman"/>
                <w:sz w:val="20"/>
                <w:szCs w:val="20"/>
              </w:rPr>
              <w:t>0.0008737</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napToGrid w:val="0"/>
                <w:color w:val="000000"/>
                <w:kern w:val="0"/>
                <w:sz w:val="20"/>
                <w:szCs w:val="20"/>
                <w:lang w:val="en-US" w:eastAsia="en-US" w:bidi="ar-SA"/>
              </w:rPr>
            </w:pPr>
            <w:r>
              <w:rPr>
                <w:rFonts w:hint="default" w:ascii="Times New Roman" w:hAnsi="Times New Roman" w:cs="Times New Roman"/>
                <w:sz w:val="20"/>
                <w:szCs w:val="20"/>
              </w:rPr>
              <w:t>8.74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103</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0.01006</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5.03</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0.0008747</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8.75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3"/>
                <w:sz w:val="20"/>
                <w:szCs w:val="20"/>
              </w:rPr>
              <w:t>200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0.009824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4.91</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0.0008543</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8.54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sz w:val="20"/>
                <w:szCs w:val="20"/>
              </w:rPr>
              <w:t>300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0.008905</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4.45</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0.0007743</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7.74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400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0.009198</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4.60</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0.0007999</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8.00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500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0.008229</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4.11</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0.0007155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7.16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sz w:val="20"/>
                <w:szCs w:val="20"/>
              </w:rPr>
              <w:t>600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0.007067</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3.53</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0.0006146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6.15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sz w:val="20"/>
                <w:szCs w:val="20"/>
              </w:rPr>
              <w:t>700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0.006027</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3.01</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0.0005241</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5.24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800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0.005176</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2.59</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0.0004501</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4.50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sz w:val="20"/>
                <w:szCs w:val="20"/>
              </w:rPr>
              <w:t>900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0.00449</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2.24</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0.0003904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3.90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1000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0.003933</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1.97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0.000342</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3.42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1100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0.003481</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1.74</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0.0003027</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3.03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7"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1200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0.003107</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1.55</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0.0002702</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2.70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1300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0.002794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1.40</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0.000243</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2.43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1400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0.00253</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1.26</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0.00022</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2.20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1500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0.002304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1.15</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0.0002003</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2.00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1600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0.002107</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1.05</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0.0001833</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1.83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1700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0.001936</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0.97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0.0001684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1.68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1800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0.001787</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0.89</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0.0001554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1.55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1900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0.001655</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0.83</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0.0001439</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1.44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2000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0.001539</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0.77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0.0001338</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2100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0.00144</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0.72</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0.0001252</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1.25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2200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0.001352</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0.68</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0.0001175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1.17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2300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0.001272</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0.64</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0.0001106</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1.11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2400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0.0012</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0.60</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0.0001044</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1.04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2500</w:t>
            </w:r>
          </w:p>
        </w:tc>
        <w:tc>
          <w:tcPr>
            <w:tcW w:w="19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0.001135</w:t>
            </w:r>
          </w:p>
        </w:tc>
        <w:tc>
          <w:tcPr>
            <w:tcW w:w="13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0.57</w:t>
            </w:r>
          </w:p>
        </w:tc>
        <w:tc>
          <w:tcPr>
            <w:tcW w:w="194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9.869E-5</w:t>
            </w:r>
          </w:p>
        </w:tc>
        <w:tc>
          <w:tcPr>
            <w:tcW w:w="14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0.99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3"/>
                <w:sz w:val="20"/>
                <w:szCs w:val="20"/>
              </w:rPr>
              <w:t>Cmax</w:t>
            </w:r>
          </w:p>
        </w:tc>
        <w:tc>
          <w:tcPr>
            <w:tcW w:w="3357"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0.01006mg</w:t>
            </w:r>
            <w:r>
              <w:rPr>
                <w:rFonts w:hint="default" w:ascii="Times New Roman" w:hAnsi="Times New Roman" w:eastAsia="Times New Roman" w:cs="Times New Roman"/>
                <w:spacing w:val="5"/>
                <w:sz w:val="20"/>
                <w:szCs w:val="20"/>
              </w:rPr>
              <w:t>/m</w:t>
            </w:r>
            <w:r>
              <w:rPr>
                <w:rFonts w:hint="default" w:ascii="Times New Roman" w:hAnsi="Times New Roman" w:eastAsia="Times New Roman" w:cs="Times New Roman"/>
                <w:spacing w:val="5"/>
                <w:position w:val="6"/>
                <w:sz w:val="20"/>
                <w:szCs w:val="20"/>
              </w:rPr>
              <w:t>3</w:t>
            </w:r>
          </w:p>
        </w:tc>
        <w:tc>
          <w:tcPr>
            <w:tcW w:w="33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cs="Times New Roman"/>
                <w:sz w:val="20"/>
                <w:szCs w:val="20"/>
              </w:rPr>
              <w:t>0.0008747</w:t>
            </w:r>
            <w:r>
              <w:rPr>
                <w:rFonts w:hint="default" w:ascii="Times New Roman" w:hAnsi="Times New Roman" w:eastAsia="Times New Roman" w:cs="Times New Roman"/>
                <w:sz w:val="20"/>
                <w:szCs w:val="20"/>
              </w:rPr>
              <w:t>mg</w:t>
            </w:r>
            <w:r>
              <w:rPr>
                <w:rFonts w:hint="default" w:ascii="Times New Roman" w:hAnsi="Times New Roman" w:eastAsia="Times New Roman" w:cs="Times New Roman"/>
                <w:spacing w:val="5"/>
                <w:sz w:val="20"/>
                <w:szCs w:val="20"/>
              </w:rPr>
              <w:t>/m</w:t>
            </w:r>
            <w:r>
              <w:rPr>
                <w:rFonts w:hint="default" w:ascii="Times New Roman" w:hAnsi="Times New Roman" w:eastAsia="Times New Roman" w:cs="Times New Roman"/>
                <w:spacing w:val="5"/>
                <w:position w:val="6"/>
                <w:sz w:val="20"/>
                <w:szCs w:val="20"/>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Pmax</w:t>
            </w:r>
          </w:p>
        </w:tc>
        <w:tc>
          <w:tcPr>
            <w:tcW w:w="3357"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eastAsia" w:ascii="Times New Roman" w:hAnsi="Times New Roman" w:eastAsia="宋体" w:cs="Times New Roman"/>
                <w:sz w:val="20"/>
                <w:szCs w:val="20"/>
                <w:lang w:val="en-US" w:eastAsia="zh-CN"/>
              </w:rPr>
              <w:t>5.03</w:t>
            </w:r>
            <w:r>
              <w:rPr>
                <w:rFonts w:hint="default" w:ascii="Times New Roman" w:hAnsi="Times New Roman" w:eastAsia="Times New Roman" w:cs="Times New Roman"/>
                <w:sz w:val="20"/>
                <w:szCs w:val="20"/>
              </w:rPr>
              <w:t>%</w:t>
            </w:r>
          </w:p>
        </w:tc>
        <w:tc>
          <w:tcPr>
            <w:tcW w:w="33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eastAsia" w:ascii="Times New Roman" w:hAnsi="Times New Roman" w:eastAsia="宋体" w:cs="Times New Roman"/>
                <w:spacing w:val="4"/>
                <w:sz w:val="20"/>
                <w:szCs w:val="20"/>
                <w:lang w:val="en-US" w:eastAsia="zh-CN"/>
              </w:rPr>
              <w:t>8.75</w:t>
            </w:r>
            <w:r>
              <w:rPr>
                <w:rFonts w:hint="default" w:ascii="Times New Roman" w:hAnsi="Times New Roman" w:eastAsia="Times New Roman" w:cs="Times New Roman"/>
                <w:spacing w:val="4"/>
                <w:sz w:val="20"/>
                <w:szCs w:val="2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20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rPr>
              <w:t>Dmax</w:t>
            </w:r>
          </w:p>
        </w:tc>
        <w:tc>
          <w:tcPr>
            <w:tcW w:w="3357"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eastAsia" w:ascii="Times New Roman" w:hAnsi="Times New Roman" w:eastAsia="宋体" w:cs="Times New Roman"/>
                <w:spacing w:val="3"/>
                <w:sz w:val="20"/>
                <w:szCs w:val="20"/>
                <w:lang w:val="en-US" w:eastAsia="zh-CN"/>
              </w:rPr>
              <w:t>103</w:t>
            </w:r>
            <w:r>
              <w:rPr>
                <w:rFonts w:hint="default" w:ascii="Times New Roman" w:hAnsi="Times New Roman" w:eastAsia="Times New Roman" w:cs="Times New Roman"/>
                <w:spacing w:val="3"/>
                <w:sz w:val="20"/>
                <w:szCs w:val="20"/>
              </w:rPr>
              <w:t>m</w:t>
            </w:r>
          </w:p>
        </w:tc>
        <w:tc>
          <w:tcPr>
            <w:tcW w:w="33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eastAsia" w:ascii="Times New Roman" w:hAnsi="Times New Roman" w:eastAsia="宋体" w:cs="Times New Roman"/>
                <w:spacing w:val="2"/>
                <w:sz w:val="20"/>
                <w:szCs w:val="20"/>
                <w:lang w:val="en-US" w:eastAsia="zh-CN"/>
              </w:rPr>
              <w:t>103</w:t>
            </w:r>
            <w:r>
              <w:rPr>
                <w:rFonts w:hint="default" w:ascii="Times New Roman" w:hAnsi="Times New Roman" w:eastAsia="Times New Roman" w:cs="Times New Roman"/>
                <w:spacing w:val="2"/>
                <w:sz w:val="20"/>
                <w:szCs w:val="20"/>
              </w:rPr>
              <w:t>m</w:t>
            </w:r>
          </w:p>
        </w:tc>
      </w:tr>
    </w:tbl>
    <w:p>
      <w:pPr>
        <w:spacing w:before="130" w:line="218" w:lineRule="auto"/>
        <w:ind w:left="716"/>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19</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highlight w:val="none"/>
        </w:rPr>
        <w:t xml:space="preserve"> </w:t>
      </w:r>
      <w:r>
        <w:rPr>
          <w:rFonts w:ascii="宋体" w:hAnsi="宋体" w:eastAsia="宋体" w:cs="宋体"/>
          <w:sz w:val="24"/>
          <w:szCs w:val="24"/>
          <w:highlight w:val="none"/>
          <w14:textOutline w14:w="4358" w14:cap="sq" w14:cmpd="sng">
            <w14:solidFill>
              <w14:srgbClr w14:val="000000"/>
            </w14:solidFill>
            <w14:prstDash w14:val="solid"/>
            <w14:bevel/>
          </w14:textOutline>
        </w:rPr>
        <w:t>非正常工况下</w:t>
      </w:r>
      <w:r>
        <w:rPr>
          <w:rFonts w:ascii="宋体" w:hAnsi="宋体" w:eastAsia="宋体" w:cs="宋体"/>
          <w:sz w:val="24"/>
          <w:szCs w:val="24"/>
          <w14:textOutline w14:w="4358" w14:cap="sq" w14:cmpd="sng">
            <w14:solidFill>
              <w14:srgbClr w14:val="000000"/>
            </w14:solidFill>
            <w14:prstDash w14:val="solid"/>
            <w14:bevel/>
          </w14:textOutline>
        </w:rPr>
        <w:t>项目恶臭气体有组织排放估算结果一览表</w:t>
      </w:r>
    </w:p>
    <w:tbl>
      <w:tblPr>
        <w:tblStyle w:val="24"/>
        <w:tblW w:w="8776"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070"/>
        <w:gridCol w:w="1983"/>
        <w:gridCol w:w="1374"/>
        <w:gridCol w:w="1948"/>
        <w:gridCol w:w="140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2070" w:type="dxa"/>
            <w:vMerge w:val="restart"/>
            <w:tcBorders>
              <w:tl2br w:val="nil"/>
              <w:tr2bl w:val="nil"/>
            </w:tcBorders>
            <w:vAlign w:val="top"/>
          </w:tcPr>
          <w:p>
            <w:pPr>
              <w:pStyle w:val="25"/>
              <w:spacing w:before="75" w:line="312" w:lineRule="exact"/>
              <w:ind w:left="619"/>
            </w:pPr>
            <w:r>
              <w:rPr>
                <w:spacing w:val="8"/>
                <w:position w:val="7"/>
                <w14:textOutline w14:w="3795" w14:cap="sq" w14:cmpd="sng">
                  <w14:solidFill>
                    <w14:srgbClr w14:val="000000"/>
                  </w14:solidFill>
                  <w14:prstDash w14:val="solid"/>
                  <w14:bevel/>
                </w14:textOutline>
              </w:rPr>
              <w:t>距源中心</w:t>
            </w:r>
          </w:p>
          <w:p>
            <w:pPr>
              <w:pStyle w:val="25"/>
              <w:spacing w:line="228" w:lineRule="auto"/>
              <w:ind w:left="521"/>
            </w:pPr>
            <w:r>
              <w:rPr>
                <w:spacing w:val="7"/>
                <w14:textOutline w14:w="3795" w14:cap="sq" w14:cmpd="sng">
                  <w14:solidFill>
                    <w14:srgbClr w14:val="000000"/>
                  </w14:solidFill>
                  <w14:prstDash w14:val="solid"/>
                  <w14:bevel/>
                </w14:textOutline>
              </w:rPr>
              <w:t>下风向距离</w:t>
            </w:r>
          </w:p>
          <w:p>
            <w:pPr>
              <w:spacing w:before="144" w:line="143" w:lineRule="exact"/>
              <w:ind w:left="95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p>
        </w:tc>
        <w:tc>
          <w:tcPr>
            <w:tcW w:w="3357" w:type="dxa"/>
            <w:gridSpan w:val="2"/>
            <w:tcBorders>
              <w:tl2br w:val="nil"/>
              <w:tr2bl w:val="nil"/>
            </w:tcBorders>
            <w:vAlign w:val="top"/>
          </w:tcPr>
          <w:p>
            <w:pPr>
              <w:spacing w:before="109" w:line="199" w:lineRule="auto"/>
              <w:ind w:left="1487"/>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4"/>
                <w:position w:val="-1"/>
                <w:sz w:val="13"/>
                <w:szCs w:val="13"/>
              </w:rPr>
              <w:t>3</w:t>
            </w:r>
          </w:p>
        </w:tc>
        <w:tc>
          <w:tcPr>
            <w:tcW w:w="3349" w:type="dxa"/>
            <w:gridSpan w:val="2"/>
            <w:tcBorders>
              <w:tl2br w:val="nil"/>
              <w:tr2bl w:val="nil"/>
            </w:tcBorders>
            <w:vAlign w:val="top"/>
          </w:tcPr>
          <w:p>
            <w:pPr>
              <w:spacing w:before="106" w:line="202" w:lineRule="auto"/>
              <w:ind w:left="150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H</w:t>
            </w:r>
            <w:r>
              <w:rPr>
                <w:rFonts w:ascii="Times New Roman" w:hAnsi="Times New Roman" w:eastAsia="Times New Roman" w:cs="Times New Roman"/>
                <w:b/>
                <w:bCs/>
                <w:spacing w:val="4"/>
                <w:position w:val="-1"/>
                <w:sz w:val="13"/>
                <w:szCs w:val="13"/>
              </w:rPr>
              <w:t>2</w:t>
            </w:r>
            <w:r>
              <w:rPr>
                <w:rFonts w:ascii="Times New Roman" w:hAnsi="Times New Roman" w:eastAsia="Times New Roman" w:cs="Times New Roman"/>
                <w:b/>
                <w:bCs/>
                <w:spacing w:val="4"/>
                <w:sz w:val="20"/>
                <w:szCs w:val="20"/>
              </w:rPr>
              <w:t>S</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2070" w:type="dxa"/>
            <w:vMerge w:val="continue"/>
            <w:tcBorders>
              <w:tl2br w:val="nil"/>
              <w:tr2bl w:val="nil"/>
            </w:tcBorders>
            <w:vAlign w:val="top"/>
          </w:tcPr>
          <w:p>
            <w:pPr>
              <w:rPr>
                <w:rFonts w:ascii="Arial"/>
                <w:sz w:val="21"/>
              </w:rPr>
            </w:pPr>
          </w:p>
        </w:tc>
        <w:tc>
          <w:tcPr>
            <w:tcW w:w="1983" w:type="dxa"/>
            <w:tcBorders>
              <w:tl2br w:val="nil"/>
              <w:tr2bl w:val="nil"/>
            </w:tcBorders>
            <w:vAlign w:val="top"/>
          </w:tcPr>
          <w:p>
            <w:pPr>
              <w:pStyle w:val="25"/>
              <w:spacing w:before="52" w:line="328" w:lineRule="exact"/>
              <w:ind w:left="470"/>
            </w:pPr>
            <w:r>
              <w:rPr>
                <w:spacing w:val="8"/>
                <w:position w:val="9"/>
                <w14:textOutline w14:w="3795" w14:cap="sq" w14:cmpd="sng">
                  <w14:solidFill>
                    <w14:srgbClr w14:val="000000"/>
                  </w14:solidFill>
                  <w14:prstDash w14:val="solid"/>
                  <w14:bevel/>
                </w14:textOutline>
              </w:rPr>
              <w:t>浓度预测值</w:t>
            </w:r>
          </w:p>
          <w:p>
            <w:pPr>
              <w:spacing w:line="217" w:lineRule="auto"/>
              <w:ind w:left="704"/>
              <w:rPr>
                <w:rFonts w:ascii="Times New Roman" w:hAnsi="Times New Roman" w:eastAsia="Times New Roman" w:cs="Times New Roman"/>
                <w:sz w:val="13"/>
                <w:szCs w:val="13"/>
              </w:rPr>
            </w:pP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tc>
        <w:tc>
          <w:tcPr>
            <w:tcW w:w="1374" w:type="dxa"/>
            <w:tcBorders>
              <w:tl2br w:val="nil"/>
              <w:tr2bl w:val="nil"/>
            </w:tcBorders>
            <w:vAlign w:val="top"/>
          </w:tcPr>
          <w:p>
            <w:pPr>
              <w:pStyle w:val="25"/>
              <w:spacing w:before="52" w:line="348" w:lineRule="exact"/>
              <w:ind w:left="410"/>
            </w:pPr>
            <w:r>
              <w:rPr>
                <w:spacing w:val="-4"/>
                <w:position w:val="10"/>
                <w14:textOutline w14:w="3795" w14:cap="sq" w14:cmpd="sng">
                  <w14:solidFill>
                    <w14:srgbClr w14:val="000000"/>
                  </w14:solidFill>
                  <w14:prstDash w14:val="solid"/>
                  <w14:bevel/>
                </w14:textOutline>
              </w:rPr>
              <w:t>占标率</w:t>
            </w:r>
          </w:p>
          <w:p>
            <w:pPr>
              <w:spacing w:line="195" w:lineRule="auto"/>
              <w:ind w:left="59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w:t>
            </w:r>
          </w:p>
        </w:tc>
        <w:tc>
          <w:tcPr>
            <w:tcW w:w="1948" w:type="dxa"/>
            <w:tcBorders>
              <w:tl2br w:val="nil"/>
              <w:tr2bl w:val="nil"/>
            </w:tcBorders>
            <w:vAlign w:val="top"/>
          </w:tcPr>
          <w:p>
            <w:pPr>
              <w:pStyle w:val="25"/>
              <w:spacing w:before="52" w:line="328" w:lineRule="exact"/>
              <w:ind w:left="453"/>
            </w:pPr>
            <w:r>
              <w:rPr>
                <w:spacing w:val="8"/>
                <w:position w:val="9"/>
                <w14:textOutline w14:w="3795" w14:cap="sq" w14:cmpd="sng">
                  <w14:solidFill>
                    <w14:srgbClr w14:val="000000"/>
                  </w14:solidFill>
                  <w14:prstDash w14:val="solid"/>
                  <w14:bevel/>
                </w14:textOutline>
              </w:rPr>
              <w:t>浓度预测值</w:t>
            </w:r>
          </w:p>
          <w:p>
            <w:pPr>
              <w:spacing w:line="217" w:lineRule="auto"/>
              <w:ind w:left="691"/>
              <w:rPr>
                <w:rFonts w:ascii="Times New Roman" w:hAnsi="Times New Roman" w:eastAsia="Times New Roman" w:cs="Times New Roman"/>
                <w:sz w:val="13"/>
                <w:szCs w:val="13"/>
              </w:rPr>
            </w:pP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tc>
        <w:tc>
          <w:tcPr>
            <w:tcW w:w="1401" w:type="dxa"/>
            <w:tcBorders>
              <w:tl2br w:val="nil"/>
              <w:tr2bl w:val="nil"/>
            </w:tcBorders>
            <w:vAlign w:val="top"/>
          </w:tcPr>
          <w:p>
            <w:pPr>
              <w:pStyle w:val="25"/>
              <w:spacing w:before="52" w:line="348" w:lineRule="exact"/>
              <w:ind w:left="424"/>
            </w:pPr>
            <w:r>
              <w:rPr>
                <w:spacing w:val="-4"/>
                <w:position w:val="10"/>
                <w14:textOutline w14:w="3795" w14:cap="sq" w14:cmpd="sng">
                  <w14:solidFill>
                    <w14:srgbClr w14:val="000000"/>
                  </w14:solidFill>
                  <w14:prstDash w14:val="solid"/>
                  <w14:bevel/>
                </w14:textOutline>
              </w:rPr>
              <w:t>占标率</w:t>
            </w:r>
          </w:p>
          <w:p>
            <w:pPr>
              <w:spacing w:line="195" w:lineRule="auto"/>
              <w:ind w:left="60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top"/>
          </w:tcPr>
          <w:p>
            <w:pPr>
              <w:spacing w:before="103" w:line="195" w:lineRule="auto"/>
              <w:ind w:left="9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983" w:type="dxa"/>
            <w:tcBorders>
              <w:tl2br w:val="nil"/>
              <w:tr2bl w:val="nil"/>
            </w:tcBorders>
            <w:vAlign w:val="top"/>
          </w:tcPr>
          <w:p>
            <w:pPr>
              <w:spacing w:before="103"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2.05E-02</w:t>
            </w:r>
          </w:p>
        </w:tc>
        <w:tc>
          <w:tcPr>
            <w:tcW w:w="1374" w:type="dxa"/>
            <w:tcBorders>
              <w:tl2br w:val="nil"/>
              <w:tr2bl w:val="nil"/>
            </w:tcBorders>
            <w:vAlign w:val="top"/>
          </w:tcPr>
          <w:p>
            <w:pPr>
              <w:spacing w:before="103"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18.07</w:t>
            </w:r>
          </w:p>
        </w:tc>
        <w:tc>
          <w:tcPr>
            <w:tcW w:w="1948" w:type="dxa"/>
            <w:tcBorders>
              <w:tl2br w:val="nil"/>
              <w:tr2bl w:val="nil"/>
            </w:tcBorders>
            <w:vAlign w:val="top"/>
          </w:tcPr>
          <w:p>
            <w:pPr>
              <w:spacing w:before="10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1.47E-03</w:t>
            </w:r>
          </w:p>
        </w:tc>
        <w:tc>
          <w:tcPr>
            <w:tcW w:w="1401" w:type="dxa"/>
            <w:tcBorders>
              <w:tl2br w:val="nil"/>
              <w:tr2bl w:val="nil"/>
            </w:tcBorders>
            <w:vAlign w:val="top"/>
          </w:tcPr>
          <w:p>
            <w:pPr>
              <w:spacing w:before="103"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top"/>
          </w:tcPr>
          <w:p>
            <w:pPr>
              <w:spacing w:before="104" w:line="195" w:lineRule="auto"/>
              <w:ind w:left="9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983" w:type="dxa"/>
            <w:tcBorders>
              <w:tl2br w:val="nil"/>
              <w:tr2bl w:val="nil"/>
            </w:tcBorders>
            <w:vAlign w:val="top"/>
          </w:tcPr>
          <w:p>
            <w:pPr>
              <w:spacing w:before="104"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1.59E-02</w:t>
            </w:r>
          </w:p>
        </w:tc>
        <w:tc>
          <w:tcPr>
            <w:tcW w:w="1374" w:type="dxa"/>
            <w:tcBorders>
              <w:tl2br w:val="nil"/>
              <w:tr2bl w:val="nil"/>
            </w:tcBorders>
            <w:vAlign w:val="top"/>
          </w:tcPr>
          <w:p>
            <w:pPr>
              <w:spacing w:before="104"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7.95</w:t>
            </w:r>
          </w:p>
        </w:tc>
        <w:tc>
          <w:tcPr>
            <w:tcW w:w="1948" w:type="dxa"/>
            <w:tcBorders>
              <w:tl2br w:val="nil"/>
              <w:tr2bl w:val="nil"/>
            </w:tcBorders>
            <w:vAlign w:val="top"/>
          </w:tcPr>
          <w:p>
            <w:pPr>
              <w:spacing w:before="10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9.58E-04</w:t>
            </w:r>
          </w:p>
        </w:tc>
        <w:tc>
          <w:tcPr>
            <w:tcW w:w="1401" w:type="dxa"/>
            <w:tcBorders>
              <w:tl2br w:val="nil"/>
              <w:tr2bl w:val="nil"/>
            </w:tcBorders>
            <w:vAlign w:val="top"/>
          </w:tcPr>
          <w:p>
            <w:pPr>
              <w:spacing w:before="10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top"/>
          </w:tcPr>
          <w:p>
            <w:pPr>
              <w:spacing w:before="106" w:line="195" w:lineRule="auto"/>
              <w:ind w:left="8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983" w:type="dxa"/>
            <w:tcBorders>
              <w:tl2br w:val="nil"/>
              <w:tr2bl w:val="nil"/>
            </w:tcBorders>
            <w:vAlign w:val="top"/>
          </w:tcPr>
          <w:p>
            <w:pPr>
              <w:spacing w:before="106"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1.34E-02</w:t>
            </w:r>
          </w:p>
        </w:tc>
        <w:tc>
          <w:tcPr>
            <w:tcW w:w="1374" w:type="dxa"/>
            <w:tcBorders>
              <w:tl2br w:val="nil"/>
              <w:tr2bl w:val="nil"/>
            </w:tcBorders>
            <w:vAlign w:val="top"/>
          </w:tcPr>
          <w:p>
            <w:pPr>
              <w:spacing w:before="106"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4.78</w:t>
            </w:r>
          </w:p>
        </w:tc>
        <w:tc>
          <w:tcPr>
            <w:tcW w:w="1948" w:type="dxa"/>
            <w:tcBorders>
              <w:tl2br w:val="nil"/>
              <w:tr2bl w:val="nil"/>
            </w:tcBorders>
            <w:vAlign w:val="top"/>
          </w:tcPr>
          <w:p>
            <w:pPr>
              <w:spacing w:before="106"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8.40E-04</w:t>
            </w:r>
          </w:p>
        </w:tc>
        <w:tc>
          <w:tcPr>
            <w:tcW w:w="1401" w:type="dxa"/>
            <w:tcBorders>
              <w:tl2br w:val="nil"/>
              <w:tr2bl w:val="nil"/>
            </w:tcBorders>
            <w:vAlign w:val="top"/>
          </w:tcPr>
          <w:p>
            <w:pPr>
              <w:spacing w:before="106"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5" w:line="195"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983" w:type="dxa"/>
            <w:tcBorders>
              <w:tl2br w:val="nil"/>
              <w:tr2bl w:val="nil"/>
            </w:tcBorders>
            <w:vAlign w:val="top"/>
          </w:tcPr>
          <w:p>
            <w:pPr>
              <w:spacing w:before="105"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17E-02</w:t>
            </w:r>
          </w:p>
        </w:tc>
        <w:tc>
          <w:tcPr>
            <w:tcW w:w="1374" w:type="dxa"/>
            <w:tcBorders>
              <w:tl2br w:val="nil"/>
              <w:tr2bl w:val="nil"/>
            </w:tcBorders>
            <w:vAlign w:val="top"/>
          </w:tcPr>
          <w:p>
            <w:pPr>
              <w:spacing w:before="105"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3.85</w:t>
            </w:r>
          </w:p>
        </w:tc>
        <w:tc>
          <w:tcPr>
            <w:tcW w:w="1948" w:type="dxa"/>
            <w:tcBorders>
              <w:tl2br w:val="nil"/>
              <w:tr2bl w:val="nil"/>
            </w:tcBorders>
            <w:vAlign w:val="top"/>
          </w:tcPr>
          <w:p>
            <w:pPr>
              <w:spacing w:before="105"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7.53E-04</w:t>
            </w:r>
          </w:p>
        </w:tc>
        <w:tc>
          <w:tcPr>
            <w:tcW w:w="1401" w:type="dxa"/>
            <w:tcBorders>
              <w:tl2br w:val="nil"/>
              <w:tr2bl w:val="nil"/>
            </w:tcBorders>
            <w:vAlign w:val="top"/>
          </w:tcPr>
          <w:p>
            <w:pPr>
              <w:spacing w:before="105"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5" w:line="195"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983" w:type="dxa"/>
            <w:tcBorders>
              <w:tl2br w:val="nil"/>
              <w:tr2bl w:val="nil"/>
            </w:tcBorders>
            <w:vAlign w:val="top"/>
          </w:tcPr>
          <w:p>
            <w:pPr>
              <w:spacing w:before="105"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1.05E-02</w:t>
            </w:r>
          </w:p>
        </w:tc>
        <w:tc>
          <w:tcPr>
            <w:tcW w:w="1374" w:type="dxa"/>
            <w:tcBorders>
              <w:tl2br w:val="nil"/>
              <w:tr2bl w:val="nil"/>
            </w:tcBorders>
            <w:vAlign w:val="top"/>
          </w:tcPr>
          <w:p>
            <w:pPr>
              <w:spacing w:before="10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c>
          <w:tcPr>
            <w:tcW w:w="1948" w:type="dxa"/>
            <w:tcBorders>
              <w:tl2br w:val="nil"/>
              <w:tr2bl w:val="nil"/>
            </w:tcBorders>
            <w:vAlign w:val="top"/>
          </w:tcPr>
          <w:p>
            <w:pPr>
              <w:spacing w:before="105"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6.84E-04</w:t>
            </w:r>
          </w:p>
        </w:tc>
        <w:tc>
          <w:tcPr>
            <w:tcW w:w="1401" w:type="dxa"/>
            <w:tcBorders>
              <w:tl2br w:val="nil"/>
              <w:tr2bl w:val="nil"/>
            </w:tcBorders>
            <w:vAlign w:val="top"/>
          </w:tcPr>
          <w:p>
            <w:pPr>
              <w:spacing w:before="105"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5" w:line="195" w:lineRule="auto"/>
              <w:ind w:left="8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983" w:type="dxa"/>
            <w:tcBorders>
              <w:tl2br w:val="nil"/>
              <w:tr2bl w:val="nil"/>
            </w:tcBorders>
            <w:vAlign w:val="top"/>
          </w:tcPr>
          <w:p>
            <w:pPr>
              <w:spacing w:before="10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9.56E-03</w:t>
            </w:r>
          </w:p>
        </w:tc>
        <w:tc>
          <w:tcPr>
            <w:tcW w:w="1374" w:type="dxa"/>
            <w:tcBorders>
              <w:tl2br w:val="nil"/>
              <w:tr2bl w:val="nil"/>
            </w:tcBorders>
            <w:vAlign w:val="top"/>
          </w:tcPr>
          <w:p>
            <w:pPr>
              <w:spacing w:before="10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w:t>
            </w:r>
          </w:p>
        </w:tc>
        <w:tc>
          <w:tcPr>
            <w:tcW w:w="1948" w:type="dxa"/>
            <w:tcBorders>
              <w:tl2br w:val="nil"/>
              <w:tr2bl w:val="nil"/>
            </w:tcBorders>
            <w:vAlign w:val="top"/>
          </w:tcPr>
          <w:p>
            <w:pPr>
              <w:spacing w:before="105"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6.29E-04</w:t>
            </w:r>
          </w:p>
        </w:tc>
        <w:tc>
          <w:tcPr>
            <w:tcW w:w="1401" w:type="dxa"/>
            <w:tcBorders>
              <w:tl2br w:val="nil"/>
              <w:tr2bl w:val="nil"/>
            </w:tcBorders>
            <w:vAlign w:val="top"/>
          </w:tcPr>
          <w:p>
            <w:pPr>
              <w:spacing w:before="105"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983" w:type="dxa"/>
            <w:tcBorders>
              <w:tl2br w:val="nil"/>
              <w:tr2bl w:val="nil"/>
            </w:tcBorders>
            <w:vAlign w:val="top"/>
          </w:tcPr>
          <w:p>
            <w:pPr>
              <w:spacing w:before="10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8.79E-03</w:t>
            </w:r>
          </w:p>
        </w:tc>
        <w:tc>
          <w:tcPr>
            <w:tcW w:w="1374" w:type="dxa"/>
            <w:tcBorders>
              <w:tl2br w:val="nil"/>
              <w:tr2bl w:val="nil"/>
            </w:tcBorders>
            <w:vAlign w:val="top"/>
          </w:tcPr>
          <w:p>
            <w:pPr>
              <w:spacing w:before="106"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2.18</w:t>
            </w:r>
          </w:p>
        </w:tc>
        <w:tc>
          <w:tcPr>
            <w:tcW w:w="1948" w:type="dxa"/>
            <w:tcBorders>
              <w:tl2br w:val="nil"/>
              <w:tr2bl w:val="nil"/>
            </w:tcBorders>
            <w:vAlign w:val="top"/>
          </w:tcPr>
          <w:p>
            <w:pPr>
              <w:spacing w:before="106"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5.84E-04</w:t>
            </w:r>
          </w:p>
        </w:tc>
        <w:tc>
          <w:tcPr>
            <w:tcW w:w="1401" w:type="dxa"/>
            <w:tcBorders>
              <w:tl2br w:val="nil"/>
              <w:tr2bl w:val="nil"/>
            </w:tcBorders>
            <w:vAlign w:val="top"/>
          </w:tcPr>
          <w:p>
            <w:pPr>
              <w:spacing w:before="106"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983" w:type="dxa"/>
            <w:tcBorders>
              <w:tl2br w:val="nil"/>
              <w:tr2bl w:val="nil"/>
            </w:tcBorders>
            <w:vAlign w:val="top"/>
          </w:tcPr>
          <w:p>
            <w:pPr>
              <w:spacing w:before="10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16E-03</w:t>
            </w:r>
          </w:p>
        </w:tc>
        <w:tc>
          <w:tcPr>
            <w:tcW w:w="1374" w:type="dxa"/>
            <w:tcBorders>
              <w:tl2br w:val="nil"/>
              <w:tr2bl w:val="nil"/>
            </w:tcBorders>
            <w:vAlign w:val="top"/>
          </w:tcPr>
          <w:p>
            <w:pPr>
              <w:spacing w:before="106"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12</w:t>
            </w:r>
          </w:p>
        </w:tc>
        <w:tc>
          <w:tcPr>
            <w:tcW w:w="1948" w:type="dxa"/>
            <w:tcBorders>
              <w:tl2br w:val="nil"/>
              <w:tr2bl w:val="nil"/>
            </w:tcBorders>
            <w:vAlign w:val="top"/>
          </w:tcPr>
          <w:p>
            <w:pPr>
              <w:spacing w:before="106"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5.45E-04</w:t>
            </w:r>
          </w:p>
        </w:tc>
        <w:tc>
          <w:tcPr>
            <w:tcW w:w="1401" w:type="dxa"/>
            <w:tcBorders>
              <w:tl2br w:val="nil"/>
              <w:tr2bl w:val="nil"/>
            </w:tcBorders>
            <w:vAlign w:val="top"/>
          </w:tcPr>
          <w:p>
            <w:pPr>
              <w:spacing w:before="106"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7" w:line="195" w:lineRule="auto"/>
              <w:ind w:left="888"/>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983" w:type="dxa"/>
            <w:tcBorders>
              <w:tl2br w:val="nil"/>
              <w:tr2bl w:val="nil"/>
            </w:tcBorders>
            <w:vAlign w:val="top"/>
          </w:tcPr>
          <w:p>
            <w:pPr>
              <w:spacing w:before="107"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7.62E-03</w:t>
            </w:r>
          </w:p>
        </w:tc>
        <w:tc>
          <w:tcPr>
            <w:tcW w:w="1374" w:type="dxa"/>
            <w:tcBorders>
              <w:tl2br w:val="nil"/>
              <w:tr2bl w:val="nil"/>
            </w:tcBorders>
            <w:vAlign w:val="top"/>
          </w:tcPr>
          <w:p>
            <w:pPr>
              <w:spacing w:before="107"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w:t>
            </w:r>
          </w:p>
        </w:tc>
        <w:tc>
          <w:tcPr>
            <w:tcW w:w="1948" w:type="dxa"/>
            <w:tcBorders>
              <w:tl2br w:val="nil"/>
              <w:tr2bl w:val="nil"/>
            </w:tcBorders>
            <w:vAlign w:val="top"/>
          </w:tcPr>
          <w:p>
            <w:pPr>
              <w:spacing w:before="107" w:line="195" w:lineRule="auto"/>
              <w:ind w:left="59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13E-04</w:t>
            </w:r>
          </w:p>
        </w:tc>
        <w:tc>
          <w:tcPr>
            <w:tcW w:w="1401" w:type="dxa"/>
            <w:tcBorders>
              <w:tl2br w:val="nil"/>
              <w:tr2bl w:val="nil"/>
            </w:tcBorders>
            <w:vAlign w:val="top"/>
          </w:tcPr>
          <w:p>
            <w:pPr>
              <w:spacing w:before="107"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5" w:line="195"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983" w:type="dxa"/>
            <w:tcBorders>
              <w:tl2br w:val="nil"/>
              <w:tr2bl w:val="nil"/>
            </w:tcBorders>
            <w:vAlign w:val="top"/>
          </w:tcPr>
          <w:p>
            <w:pPr>
              <w:spacing w:before="105" w:line="195"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16E-03</w:t>
            </w:r>
          </w:p>
        </w:tc>
        <w:tc>
          <w:tcPr>
            <w:tcW w:w="1374" w:type="dxa"/>
            <w:tcBorders>
              <w:tl2br w:val="nil"/>
              <w:tr2bl w:val="nil"/>
            </w:tcBorders>
            <w:vAlign w:val="top"/>
          </w:tcPr>
          <w:p>
            <w:pPr>
              <w:spacing w:before="10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948" w:type="dxa"/>
            <w:tcBorders>
              <w:tl2br w:val="nil"/>
              <w:tr2bl w:val="nil"/>
            </w:tcBorders>
            <w:vAlign w:val="top"/>
          </w:tcPr>
          <w:p>
            <w:pPr>
              <w:spacing w:before="10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4.84E-04</w:t>
            </w:r>
          </w:p>
        </w:tc>
        <w:tc>
          <w:tcPr>
            <w:tcW w:w="1401" w:type="dxa"/>
            <w:tcBorders>
              <w:tl2br w:val="nil"/>
              <w:tr2bl w:val="nil"/>
            </w:tcBorders>
            <w:vAlign w:val="top"/>
          </w:tcPr>
          <w:p>
            <w:pPr>
              <w:spacing w:before="105"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5"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983" w:type="dxa"/>
            <w:tcBorders>
              <w:tl2br w:val="nil"/>
              <w:tr2bl w:val="nil"/>
            </w:tcBorders>
            <w:vAlign w:val="top"/>
          </w:tcPr>
          <w:p>
            <w:pPr>
              <w:spacing w:before="105"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6.76E-03</w:t>
            </w:r>
          </w:p>
        </w:tc>
        <w:tc>
          <w:tcPr>
            <w:tcW w:w="1374" w:type="dxa"/>
            <w:tcBorders>
              <w:tl2br w:val="nil"/>
              <w:tr2bl w:val="nil"/>
            </w:tcBorders>
            <w:vAlign w:val="top"/>
          </w:tcPr>
          <w:p>
            <w:pPr>
              <w:spacing w:before="105"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1.95</w:t>
            </w:r>
          </w:p>
        </w:tc>
        <w:tc>
          <w:tcPr>
            <w:tcW w:w="1948" w:type="dxa"/>
            <w:tcBorders>
              <w:tl2br w:val="nil"/>
              <w:tr2bl w:val="nil"/>
            </w:tcBorders>
            <w:vAlign w:val="top"/>
          </w:tcPr>
          <w:p>
            <w:pPr>
              <w:spacing w:before="10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4.59E-04</w:t>
            </w:r>
          </w:p>
        </w:tc>
        <w:tc>
          <w:tcPr>
            <w:tcW w:w="1401" w:type="dxa"/>
            <w:tcBorders>
              <w:tl2br w:val="nil"/>
              <w:tr2bl w:val="nil"/>
            </w:tcBorders>
            <w:vAlign w:val="top"/>
          </w:tcPr>
          <w:p>
            <w:pPr>
              <w:spacing w:before="105"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5"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1100</w:t>
            </w:r>
          </w:p>
        </w:tc>
        <w:tc>
          <w:tcPr>
            <w:tcW w:w="1983" w:type="dxa"/>
            <w:tcBorders>
              <w:tl2br w:val="nil"/>
              <w:tr2bl w:val="nil"/>
            </w:tcBorders>
            <w:vAlign w:val="top"/>
          </w:tcPr>
          <w:p>
            <w:pPr>
              <w:spacing w:before="105"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6.42E-03</w:t>
            </w:r>
          </w:p>
        </w:tc>
        <w:tc>
          <w:tcPr>
            <w:tcW w:w="1374" w:type="dxa"/>
            <w:tcBorders>
              <w:tl2br w:val="nil"/>
              <w:tr2bl w:val="nil"/>
            </w:tcBorders>
            <w:vAlign w:val="top"/>
          </w:tcPr>
          <w:p>
            <w:pPr>
              <w:spacing w:before="105"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1.90</w:t>
            </w:r>
          </w:p>
        </w:tc>
        <w:tc>
          <w:tcPr>
            <w:tcW w:w="1948" w:type="dxa"/>
            <w:tcBorders>
              <w:tl2br w:val="nil"/>
              <w:tr2bl w:val="nil"/>
            </w:tcBorders>
            <w:vAlign w:val="top"/>
          </w:tcPr>
          <w:p>
            <w:pPr>
              <w:spacing w:before="10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4.37E-04</w:t>
            </w:r>
          </w:p>
        </w:tc>
        <w:tc>
          <w:tcPr>
            <w:tcW w:w="1401" w:type="dxa"/>
            <w:tcBorders>
              <w:tl2br w:val="nil"/>
              <w:tr2bl w:val="nil"/>
            </w:tcBorders>
            <w:vAlign w:val="top"/>
          </w:tcPr>
          <w:p>
            <w:pPr>
              <w:spacing w:before="105"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1983" w:type="dxa"/>
            <w:tcBorders>
              <w:tl2br w:val="nil"/>
              <w:tr2bl w:val="nil"/>
            </w:tcBorders>
            <w:vAlign w:val="top"/>
          </w:tcPr>
          <w:p>
            <w:pPr>
              <w:spacing w:before="106"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11E-03</w:t>
            </w:r>
          </w:p>
        </w:tc>
        <w:tc>
          <w:tcPr>
            <w:tcW w:w="1374" w:type="dxa"/>
            <w:tcBorders>
              <w:tl2br w:val="nil"/>
              <w:tr2bl w:val="nil"/>
            </w:tcBorders>
            <w:vAlign w:val="top"/>
          </w:tcPr>
          <w:p>
            <w:pPr>
              <w:spacing w:before="10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w:t>
            </w:r>
          </w:p>
        </w:tc>
        <w:tc>
          <w:tcPr>
            <w:tcW w:w="1948" w:type="dxa"/>
            <w:tcBorders>
              <w:tl2br w:val="nil"/>
              <w:tr2bl w:val="nil"/>
            </w:tcBorders>
            <w:vAlign w:val="top"/>
          </w:tcPr>
          <w:p>
            <w:pPr>
              <w:spacing w:before="106"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17E-04</w:t>
            </w:r>
          </w:p>
        </w:tc>
        <w:tc>
          <w:tcPr>
            <w:tcW w:w="1401" w:type="dxa"/>
            <w:tcBorders>
              <w:tl2br w:val="nil"/>
              <w:tr2bl w:val="nil"/>
            </w:tcBorders>
            <w:vAlign w:val="top"/>
          </w:tcPr>
          <w:p>
            <w:pPr>
              <w:spacing w:before="106"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7" w:hRule="atLeast"/>
        </w:trPr>
        <w:tc>
          <w:tcPr>
            <w:tcW w:w="2070" w:type="dxa"/>
            <w:tcBorders>
              <w:tl2br w:val="nil"/>
              <w:tr2bl w:val="nil"/>
            </w:tcBorders>
            <w:vAlign w:val="top"/>
          </w:tcPr>
          <w:p>
            <w:pPr>
              <w:spacing w:before="106"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1300</w:t>
            </w:r>
          </w:p>
        </w:tc>
        <w:tc>
          <w:tcPr>
            <w:tcW w:w="1983" w:type="dxa"/>
            <w:tcBorders>
              <w:tl2br w:val="nil"/>
              <w:tr2bl w:val="nil"/>
            </w:tcBorders>
            <w:vAlign w:val="top"/>
          </w:tcPr>
          <w:p>
            <w:pPr>
              <w:spacing w:before="106"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5.83E-03</w:t>
            </w:r>
          </w:p>
        </w:tc>
        <w:tc>
          <w:tcPr>
            <w:tcW w:w="1374" w:type="dxa"/>
            <w:tcBorders>
              <w:tl2br w:val="nil"/>
              <w:tr2bl w:val="nil"/>
            </w:tcBorders>
            <w:vAlign w:val="top"/>
          </w:tcPr>
          <w:p>
            <w:pPr>
              <w:spacing w:before="10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w:t>
            </w:r>
          </w:p>
        </w:tc>
        <w:tc>
          <w:tcPr>
            <w:tcW w:w="1948" w:type="dxa"/>
            <w:tcBorders>
              <w:tl2br w:val="nil"/>
              <w:tr2bl w:val="nil"/>
            </w:tcBorders>
            <w:vAlign w:val="top"/>
          </w:tcPr>
          <w:p>
            <w:pPr>
              <w:spacing w:before="106"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4.00E-04</w:t>
            </w:r>
          </w:p>
        </w:tc>
        <w:tc>
          <w:tcPr>
            <w:tcW w:w="1401" w:type="dxa"/>
            <w:tcBorders>
              <w:tl2br w:val="nil"/>
              <w:tr2bl w:val="nil"/>
            </w:tcBorders>
            <w:vAlign w:val="top"/>
          </w:tcPr>
          <w:p>
            <w:pPr>
              <w:spacing w:before="106"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top"/>
          </w:tcPr>
          <w:p>
            <w:pPr>
              <w:spacing w:before="104"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w:t>
            </w:r>
          </w:p>
        </w:tc>
        <w:tc>
          <w:tcPr>
            <w:tcW w:w="1983" w:type="dxa"/>
            <w:tcBorders>
              <w:tl2br w:val="nil"/>
              <w:tr2bl w:val="nil"/>
            </w:tcBorders>
            <w:vAlign w:val="top"/>
          </w:tcPr>
          <w:p>
            <w:pPr>
              <w:spacing w:before="104"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5.58E-03</w:t>
            </w:r>
          </w:p>
        </w:tc>
        <w:tc>
          <w:tcPr>
            <w:tcW w:w="1374" w:type="dxa"/>
            <w:tcBorders>
              <w:tl2br w:val="nil"/>
              <w:tr2bl w:val="nil"/>
            </w:tcBorders>
            <w:vAlign w:val="top"/>
          </w:tcPr>
          <w:p>
            <w:pPr>
              <w:spacing w:before="104"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1948" w:type="dxa"/>
            <w:tcBorders>
              <w:tl2br w:val="nil"/>
              <w:tr2bl w:val="nil"/>
            </w:tcBorders>
            <w:vAlign w:val="top"/>
          </w:tcPr>
          <w:p>
            <w:pPr>
              <w:spacing w:before="10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3.84E-04</w:t>
            </w:r>
          </w:p>
        </w:tc>
        <w:tc>
          <w:tcPr>
            <w:tcW w:w="1401" w:type="dxa"/>
            <w:tcBorders>
              <w:tl2br w:val="nil"/>
              <w:tr2bl w:val="nil"/>
            </w:tcBorders>
            <w:vAlign w:val="top"/>
          </w:tcPr>
          <w:p>
            <w:pPr>
              <w:spacing w:before="104"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top"/>
          </w:tcPr>
          <w:p>
            <w:pPr>
              <w:spacing w:before="103"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983" w:type="dxa"/>
            <w:tcBorders>
              <w:tl2br w:val="nil"/>
              <w:tr2bl w:val="nil"/>
            </w:tcBorders>
            <w:vAlign w:val="top"/>
          </w:tcPr>
          <w:p>
            <w:pPr>
              <w:spacing w:before="103"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5.36E-03</w:t>
            </w:r>
          </w:p>
        </w:tc>
        <w:tc>
          <w:tcPr>
            <w:tcW w:w="1374" w:type="dxa"/>
            <w:tcBorders>
              <w:tl2br w:val="nil"/>
              <w:tr2bl w:val="nil"/>
            </w:tcBorders>
            <w:vAlign w:val="top"/>
          </w:tcPr>
          <w:p>
            <w:pPr>
              <w:spacing w:before="103"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1.73</w:t>
            </w:r>
          </w:p>
        </w:tc>
        <w:tc>
          <w:tcPr>
            <w:tcW w:w="1948" w:type="dxa"/>
            <w:tcBorders>
              <w:tl2br w:val="nil"/>
              <w:tr2bl w:val="nil"/>
            </w:tcBorders>
            <w:vAlign w:val="top"/>
          </w:tcPr>
          <w:p>
            <w:pPr>
              <w:spacing w:before="103"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3.69E-04</w:t>
            </w:r>
          </w:p>
        </w:tc>
        <w:tc>
          <w:tcPr>
            <w:tcW w:w="1401" w:type="dxa"/>
            <w:tcBorders>
              <w:tl2br w:val="nil"/>
              <w:tr2bl w:val="nil"/>
            </w:tcBorders>
            <w:vAlign w:val="top"/>
          </w:tcPr>
          <w:p>
            <w:pPr>
              <w:spacing w:before="103"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2070" w:type="dxa"/>
            <w:tcBorders>
              <w:tl2br w:val="nil"/>
              <w:tr2bl w:val="nil"/>
            </w:tcBorders>
            <w:vAlign w:val="top"/>
          </w:tcPr>
          <w:p>
            <w:pPr>
              <w:spacing w:before="104"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1600</w:t>
            </w:r>
          </w:p>
        </w:tc>
        <w:tc>
          <w:tcPr>
            <w:tcW w:w="1983" w:type="dxa"/>
            <w:tcBorders>
              <w:tl2br w:val="nil"/>
              <w:tr2bl w:val="nil"/>
            </w:tcBorders>
            <w:vAlign w:val="top"/>
          </w:tcPr>
          <w:p>
            <w:pPr>
              <w:spacing w:before="104" w:line="195" w:lineRule="auto"/>
              <w:ind w:left="6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16E-03</w:t>
            </w:r>
          </w:p>
        </w:tc>
        <w:tc>
          <w:tcPr>
            <w:tcW w:w="1374" w:type="dxa"/>
            <w:tcBorders>
              <w:tl2br w:val="nil"/>
              <w:tr2bl w:val="nil"/>
            </w:tcBorders>
            <w:vAlign w:val="top"/>
          </w:tcPr>
          <w:p>
            <w:pPr>
              <w:spacing w:before="104"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c>
          <w:tcPr>
            <w:tcW w:w="1948" w:type="dxa"/>
            <w:tcBorders>
              <w:tl2br w:val="nil"/>
              <w:tr2bl w:val="nil"/>
            </w:tcBorders>
            <w:vAlign w:val="top"/>
          </w:tcPr>
          <w:p>
            <w:pPr>
              <w:spacing w:before="10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3.56E-04</w:t>
            </w:r>
          </w:p>
        </w:tc>
        <w:tc>
          <w:tcPr>
            <w:tcW w:w="1401" w:type="dxa"/>
            <w:tcBorders>
              <w:tl2br w:val="nil"/>
              <w:tr2bl w:val="nil"/>
            </w:tcBorders>
            <w:vAlign w:val="top"/>
          </w:tcPr>
          <w:p>
            <w:pPr>
              <w:spacing w:before="104"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w:t>
            </w:r>
          </w:p>
        </w:tc>
        <w:tc>
          <w:tcPr>
            <w:tcW w:w="1983" w:type="dxa"/>
            <w:tcBorders>
              <w:tl2br w:val="nil"/>
              <w:tr2bl w:val="nil"/>
            </w:tcBorders>
            <w:vAlign w:val="top"/>
          </w:tcPr>
          <w:p>
            <w:pPr>
              <w:spacing w:before="10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4.97E-03</w:t>
            </w:r>
          </w:p>
        </w:tc>
        <w:tc>
          <w:tcPr>
            <w:tcW w:w="1374" w:type="dxa"/>
            <w:tcBorders>
              <w:tl2br w:val="nil"/>
              <w:tr2bl w:val="nil"/>
            </w:tcBorders>
            <w:vAlign w:val="top"/>
          </w:tcPr>
          <w:p>
            <w:pPr>
              <w:spacing w:before="10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1.66</w:t>
            </w:r>
          </w:p>
        </w:tc>
        <w:tc>
          <w:tcPr>
            <w:tcW w:w="1948" w:type="dxa"/>
            <w:tcBorders>
              <w:tl2br w:val="nil"/>
              <w:tr2bl w:val="nil"/>
            </w:tcBorders>
            <w:vAlign w:val="top"/>
          </w:tcPr>
          <w:p>
            <w:pPr>
              <w:spacing w:before="106"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3.44E-04</w:t>
            </w:r>
          </w:p>
        </w:tc>
        <w:tc>
          <w:tcPr>
            <w:tcW w:w="1401" w:type="dxa"/>
            <w:tcBorders>
              <w:tl2br w:val="nil"/>
              <w:tr2bl w:val="nil"/>
            </w:tcBorders>
            <w:vAlign w:val="top"/>
          </w:tcPr>
          <w:p>
            <w:pPr>
              <w:spacing w:before="106"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1983" w:type="dxa"/>
            <w:tcBorders>
              <w:tl2br w:val="nil"/>
              <w:tr2bl w:val="nil"/>
            </w:tcBorders>
            <w:vAlign w:val="top"/>
          </w:tcPr>
          <w:p>
            <w:pPr>
              <w:spacing w:before="10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4.80E-03</w:t>
            </w:r>
          </w:p>
        </w:tc>
        <w:tc>
          <w:tcPr>
            <w:tcW w:w="1374" w:type="dxa"/>
            <w:tcBorders>
              <w:tl2br w:val="nil"/>
              <w:tr2bl w:val="nil"/>
            </w:tcBorders>
            <w:vAlign w:val="top"/>
          </w:tcPr>
          <w:p>
            <w:pPr>
              <w:spacing w:before="10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1.63</w:t>
            </w:r>
          </w:p>
        </w:tc>
        <w:tc>
          <w:tcPr>
            <w:tcW w:w="1948" w:type="dxa"/>
            <w:tcBorders>
              <w:tl2br w:val="nil"/>
              <w:tr2bl w:val="nil"/>
            </w:tcBorders>
            <w:vAlign w:val="top"/>
          </w:tcPr>
          <w:p>
            <w:pPr>
              <w:spacing w:before="106"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3.32E-04</w:t>
            </w:r>
          </w:p>
        </w:tc>
        <w:tc>
          <w:tcPr>
            <w:tcW w:w="1401" w:type="dxa"/>
            <w:tcBorders>
              <w:tl2br w:val="nil"/>
              <w:tr2bl w:val="nil"/>
            </w:tcBorders>
            <w:vAlign w:val="top"/>
          </w:tcPr>
          <w:p>
            <w:pPr>
              <w:spacing w:before="106"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1900</w:t>
            </w:r>
          </w:p>
        </w:tc>
        <w:tc>
          <w:tcPr>
            <w:tcW w:w="1983" w:type="dxa"/>
            <w:tcBorders>
              <w:tl2br w:val="nil"/>
              <w:tr2bl w:val="nil"/>
            </w:tcBorders>
            <w:vAlign w:val="top"/>
          </w:tcPr>
          <w:p>
            <w:pPr>
              <w:spacing w:before="10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4.64E-03</w:t>
            </w:r>
          </w:p>
        </w:tc>
        <w:tc>
          <w:tcPr>
            <w:tcW w:w="1374" w:type="dxa"/>
            <w:tcBorders>
              <w:tl2br w:val="nil"/>
              <w:tr2bl w:val="nil"/>
            </w:tcBorders>
            <w:vAlign w:val="top"/>
          </w:tcPr>
          <w:p>
            <w:pPr>
              <w:spacing w:before="10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w:t>
            </w:r>
          </w:p>
        </w:tc>
        <w:tc>
          <w:tcPr>
            <w:tcW w:w="1948" w:type="dxa"/>
            <w:tcBorders>
              <w:tl2br w:val="nil"/>
              <w:tr2bl w:val="nil"/>
            </w:tcBorders>
            <w:vAlign w:val="top"/>
          </w:tcPr>
          <w:p>
            <w:pPr>
              <w:spacing w:before="106"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3.22E-04</w:t>
            </w:r>
          </w:p>
        </w:tc>
        <w:tc>
          <w:tcPr>
            <w:tcW w:w="1401" w:type="dxa"/>
            <w:tcBorders>
              <w:tl2br w:val="nil"/>
              <w:tr2bl w:val="nil"/>
            </w:tcBorders>
            <w:vAlign w:val="top"/>
          </w:tcPr>
          <w:p>
            <w:pPr>
              <w:spacing w:before="106"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7"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983" w:type="dxa"/>
            <w:tcBorders>
              <w:tl2br w:val="nil"/>
              <w:tr2bl w:val="nil"/>
            </w:tcBorders>
            <w:vAlign w:val="top"/>
          </w:tcPr>
          <w:p>
            <w:pPr>
              <w:spacing w:before="107"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4.50E-03</w:t>
            </w:r>
          </w:p>
        </w:tc>
        <w:tc>
          <w:tcPr>
            <w:tcW w:w="1374" w:type="dxa"/>
            <w:tcBorders>
              <w:tl2br w:val="nil"/>
              <w:tr2bl w:val="nil"/>
            </w:tcBorders>
            <w:vAlign w:val="top"/>
          </w:tcPr>
          <w:p>
            <w:pPr>
              <w:spacing w:before="107"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1.56</w:t>
            </w:r>
          </w:p>
        </w:tc>
        <w:tc>
          <w:tcPr>
            <w:tcW w:w="1948" w:type="dxa"/>
            <w:tcBorders>
              <w:tl2br w:val="nil"/>
              <w:tr2bl w:val="nil"/>
            </w:tcBorders>
            <w:vAlign w:val="top"/>
          </w:tcPr>
          <w:p>
            <w:pPr>
              <w:spacing w:before="107"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12E-04</w:t>
            </w:r>
          </w:p>
        </w:tc>
        <w:tc>
          <w:tcPr>
            <w:tcW w:w="1401" w:type="dxa"/>
            <w:tcBorders>
              <w:tl2br w:val="nil"/>
              <w:tr2bl w:val="nil"/>
            </w:tcBorders>
            <w:vAlign w:val="top"/>
          </w:tcPr>
          <w:p>
            <w:pPr>
              <w:spacing w:before="107"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1983" w:type="dxa"/>
            <w:tcBorders>
              <w:tl2br w:val="nil"/>
              <w:tr2bl w:val="nil"/>
            </w:tcBorders>
            <w:vAlign w:val="top"/>
          </w:tcPr>
          <w:p>
            <w:pPr>
              <w:spacing w:before="10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4.36E-03</w:t>
            </w:r>
          </w:p>
        </w:tc>
        <w:tc>
          <w:tcPr>
            <w:tcW w:w="1374" w:type="dxa"/>
            <w:tcBorders>
              <w:tl2br w:val="nil"/>
              <w:tr2bl w:val="nil"/>
            </w:tcBorders>
            <w:vAlign w:val="top"/>
          </w:tcPr>
          <w:p>
            <w:pPr>
              <w:spacing w:before="105"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w:t>
            </w:r>
          </w:p>
        </w:tc>
        <w:tc>
          <w:tcPr>
            <w:tcW w:w="1948" w:type="dxa"/>
            <w:tcBorders>
              <w:tl2br w:val="nil"/>
              <w:tr2bl w:val="nil"/>
            </w:tcBorders>
            <w:vAlign w:val="top"/>
          </w:tcPr>
          <w:p>
            <w:pPr>
              <w:spacing w:before="105"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3.03E-04</w:t>
            </w:r>
          </w:p>
        </w:tc>
        <w:tc>
          <w:tcPr>
            <w:tcW w:w="1401" w:type="dxa"/>
            <w:tcBorders>
              <w:tl2br w:val="nil"/>
              <w:tr2bl w:val="nil"/>
            </w:tcBorders>
            <w:vAlign w:val="top"/>
          </w:tcPr>
          <w:p>
            <w:pPr>
              <w:spacing w:before="105"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2200</w:t>
            </w:r>
          </w:p>
        </w:tc>
        <w:tc>
          <w:tcPr>
            <w:tcW w:w="1983" w:type="dxa"/>
            <w:tcBorders>
              <w:tl2br w:val="nil"/>
              <w:tr2bl w:val="nil"/>
            </w:tcBorders>
            <w:vAlign w:val="top"/>
          </w:tcPr>
          <w:p>
            <w:pPr>
              <w:spacing w:before="10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4.23E-03</w:t>
            </w:r>
          </w:p>
        </w:tc>
        <w:tc>
          <w:tcPr>
            <w:tcW w:w="1374" w:type="dxa"/>
            <w:tcBorders>
              <w:tl2br w:val="nil"/>
              <w:tr2bl w:val="nil"/>
            </w:tcBorders>
            <w:vAlign w:val="top"/>
          </w:tcPr>
          <w:p>
            <w:pPr>
              <w:spacing w:before="105"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w:t>
            </w:r>
          </w:p>
        </w:tc>
        <w:tc>
          <w:tcPr>
            <w:tcW w:w="1948" w:type="dxa"/>
            <w:tcBorders>
              <w:tl2br w:val="nil"/>
              <w:tr2bl w:val="nil"/>
            </w:tcBorders>
            <w:vAlign w:val="top"/>
          </w:tcPr>
          <w:p>
            <w:pPr>
              <w:spacing w:before="105"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2.95E-04</w:t>
            </w:r>
          </w:p>
        </w:tc>
        <w:tc>
          <w:tcPr>
            <w:tcW w:w="1401" w:type="dxa"/>
            <w:tcBorders>
              <w:tl2br w:val="nil"/>
              <w:tr2bl w:val="nil"/>
            </w:tcBorders>
            <w:vAlign w:val="top"/>
          </w:tcPr>
          <w:p>
            <w:pPr>
              <w:spacing w:before="105"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2300</w:t>
            </w:r>
          </w:p>
        </w:tc>
        <w:tc>
          <w:tcPr>
            <w:tcW w:w="1983" w:type="dxa"/>
            <w:tcBorders>
              <w:tl2br w:val="nil"/>
              <w:tr2bl w:val="nil"/>
            </w:tcBorders>
            <w:vAlign w:val="top"/>
          </w:tcPr>
          <w:p>
            <w:pPr>
              <w:spacing w:before="10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12E-03</w:t>
            </w:r>
          </w:p>
        </w:tc>
        <w:tc>
          <w:tcPr>
            <w:tcW w:w="1374" w:type="dxa"/>
            <w:tcBorders>
              <w:tl2br w:val="nil"/>
              <w:tr2bl w:val="nil"/>
            </w:tcBorders>
            <w:vAlign w:val="top"/>
          </w:tcPr>
          <w:p>
            <w:pPr>
              <w:spacing w:before="10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1.48</w:t>
            </w:r>
          </w:p>
        </w:tc>
        <w:tc>
          <w:tcPr>
            <w:tcW w:w="1948" w:type="dxa"/>
            <w:tcBorders>
              <w:tl2br w:val="nil"/>
              <w:tr2bl w:val="nil"/>
            </w:tcBorders>
            <w:vAlign w:val="top"/>
          </w:tcPr>
          <w:p>
            <w:pPr>
              <w:spacing w:before="106"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2.87E-04</w:t>
            </w:r>
          </w:p>
        </w:tc>
        <w:tc>
          <w:tcPr>
            <w:tcW w:w="1401" w:type="dxa"/>
            <w:tcBorders>
              <w:tl2br w:val="nil"/>
              <w:tr2bl w:val="nil"/>
            </w:tcBorders>
            <w:vAlign w:val="top"/>
          </w:tcPr>
          <w:p>
            <w:pPr>
              <w:spacing w:before="106"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c>
          <w:tcPr>
            <w:tcW w:w="1983" w:type="dxa"/>
            <w:tcBorders>
              <w:tl2br w:val="nil"/>
              <w:tr2bl w:val="nil"/>
            </w:tcBorders>
            <w:vAlign w:val="top"/>
          </w:tcPr>
          <w:p>
            <w:pPr>
              <w:spacing w:before="10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4.01E-03</w:t>
            </w:r>
          </w:p>
        </w:tc>
        <w:tc>
          <w:tcPr>
            <w:tcW w:w="1374" w:type="dxa"/>
            <w:tcBorders>
              <w:tl2br w:val="nil"/>
              <w:tr2bl w:val="nil"/>
            </w:tcBorders>
            <w:vAlign w:val="top"/>
          </w:tcPr>
          <w:p>
            <w:pPr>
              <w:spacing w:before="10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1948" w:type="dxa"/>
            <w:tcBorders>
              <w:tl2br w:val="nil"/>
              <w:tr2bl w:val="nil"/>
            </w:tcBorders>
            <w:vAlign w:val="top"/>
          </w:tcPr>
          <w:p>
            <w:pPr>
              <w:spacing w:before="106"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2.79E-04</w:t>
            </w:r>
          </w:p>
        </w:tc>
        <w:tc>
          <w:tcPr>
            <w:tcW w:w="1401" w:type="dxa"/>
            <w:tcBorders>
              <w:tl2br w:val="nil"/>
              <w:tr2bl w:val="nil"/>
            </w:tcBorders>
            <w:vAlign w:val="top"/>
          </w:tcPr>
          <w:p>
            <w:pPr>
              <w:spacing w:before="106"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6"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983" w:type="dxa"/>
            <w:tcBorders>
              <w:tl2br w:val="nil"/>
              <w:tr2bl w:val="nil"/>
            </w:tcBorders>
            <w:vAlign w:val="top"/>
          </w:tcPr>
          <w:p>
            <w:pPr>
              <w:spacing w:before="106"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3.90E-03</w:t>
            </w:r>
          </w:p>
        </w:tc>
        <w:tc>
          <w:tcPr>
            <w:tcW w:w="1374" w:type="dxa"/>
            <w:tcBorders>
              <w:tl2br w:val="nil"/>
              <w:tr2bl w:val="nil"/>
            </w:tcBorders>
            <w:vAlign w:val="top"/>
          </w:tcPr>
          <w:p>
            <w:pPr>
              <w:spacing w:before="10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w:t>
            </w:r>
          </w:p>
        </w:tc>
        <w:tc>
          <w:tcPr>
            <w:tcW w:w="1948" w:type="dxa"/>
            <w:tcBorders>
              <w:tl2br w:val="nil"/>
              <w:tr2bl w:val="nil"/>
            </w:tcBorders>
            <w:vAlign w:val="top"/>
          </w:tcPr>
          <w:p>
            <w:pPr>
              <w:spacing w:before="106"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2.72E-04</w:t>
            </w:r>
          </w:p>
        </w:tc>
        <w:tc>
          <w:tcPr>
            <w:tcW w:w="1401" w:type="dxa"/>
            <w:tcBorders>
              <w:tl2br w:val="nil"/>
              <w:tr2bl w:val="nil"/>
            </w:tcBorders>
            <w:vAlign w:val="top"/>
          </w:tcPr>
          <w:p>
            <w:pPr>
              <w:spacing w:before="106"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7"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Cmax</w:t>
            </w:r>
          </w:p>
        </w:tc>
        <w:tc>
          <w:tcPr>
            <w:tcW w:w="3357" w:type="dxa"/>
            <w:gridSpan w:val="2"/>
            <w:tcBorders>
              <w:tl2br w:val="nil"/>
              <w:tr2bl w:val="nil"/>
            </w:tcBorders>
            <w:vAlign w:val="top"/>
          </w:tcPr>
          <w:p>
            <w:pPr>
              <w:spacing w:before="107"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2.05E-02</w:t>
            </w:r>
          </w:p>
        </w:tc>
        <w:tc>
          <w:tcPr>
            <w:tcW w:w="3349" w:type="dxa"/>
            <w:gridSpan w:val="2"/>
            <w:tcBorders>
              <w:tl2br w:val="nil"/>
              <w:tr2bl w:val="nil"/>
            </w:tcBorders>
            <w:vAlign w:val="top"/>
          </w:tcPr>
          <w:p>
            <w:pPr>
              <w:spacing w:before="107" w:line="195" w:lineRule="auto"/>
              <w:ind w:left="13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1.47E-03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070" w:type="dxa"/>
            <w:tcBorders>
              <w:tl2br w:val="nil"/>
              <w:tr2bl w:val="nil"/>
            </w:tcBorders>
            <w:vAlign w:val="top"/>
          </w:tcPr>
          <w:p>
            <w:pPr>
              <w:spacing w:before="108" w:line="192" w:lineRule="auto"/>
              <w:ind w:left="7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Pmax</w:t>
            </w:r>
          </w:p>
        </w:tc>
        <w:tc>
          <w:tcPr>
            <w:tcW w:w="3357" w:type="dxa"/>
            <w:gridSpan w:val="2"/>
            <w:tcBorders>
              <w:tl2br w:val="nil"/>
              <w:tr2bl w:val="nil"/>
            </w:tcBorders>
            <w:vAlign w:val="top"/>
          </w:tcPr>
          <w:p>
            <w:pPr>
              <w:spacing w:before="105" w:line="195" w:lineRule="auto"/>
              <w:ind w:left="1376"/>
              <w:rPr>
                <w:rFonts w:ascii="Times New Roman" w:hAnsi="Times New Roman" w:eastAsia="Times New Roman" w:cs="Times New Roman"/>
                <w:sz w:val="20"/>
                <w:szCs w:val="20"/>
              </w:rPr>
            </w:pPr>
            <w:r>
              <w:rPr>
                <w:rFonts w:ascii="Times New Roman" w:hAnsi="Times New Roman" w:eastAsia="Times New Roman" w:cs="Times New Roman"/>
                <w:sz w:val="20"/>
                <w:szCs w:val="20"/>
              </w:rPr>
              <w:t>13.07%</w:t>
            </w:r>
          </w:p>
        </w:tc>
        <w:tc>
          <w:tcPr>
            <w:tcW w:w="3349" w:type="dxa"/>
            <w:gridSpan w:val="2"/>
            <w:tcBorders>
              <w:tl2br w:val="nil"/>
              <w:tr2bl w:val="nil"/>
            </w:tcBorders>
            <w:vAlign w:val="top"/>
          </w:tcPr>
          <w:p>
            <w:pPr>
              <w:spacing w:before="105" w:line="195" w:lineRule="auto"/>
              <w:ind w:left="1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2070" w:type="dxa"/>
            <w:tcBorders>
              <w:tl2br w:val="nil"/>
              <w:tr2bl w:val="nil"/>
            </w:tcBorders>
            <w:vAlign w:val="top"/>
          </w:tcPr>
          <w:p>
            <w:pPr>
              <w:spacing w:before="108" w:line="192"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Dmax</w:t>
            </w:r>
          </w:p>
        </w:tc>
        <w:tc>
          <w:tcPr>
            <w:tcW w:w="3357" w:type="dxa"/>
            <w:gridSpan w:val="2"/>
            <w:tcBorders>
              <w:tl2br w:val="nil"/>
              <w:tr2bl w:val="nil"/>
            </w:tcBorders>
            <w:vAlign w:val="top"/>
          </w:tcPr>
          <w:p>
            <w:pPr>
              <w:spacing w:before="105" w:line="195" w:lineRule="auto"/>
              <w:ind w:left="1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13m</w:t>
            </w:r>
          </w:p>
        </w:tc>
        <w:tc>
          <w:tcPr>
            <w:tcW w:w="3349" w:type="dxa"/>
            <w:gridSpan w:val="2"/>
            <w:tcBorders>
              <w:tl2br w:val="nil"/>
              <w:tr2bl w:val="nil"/>
            </w:tcBorders>
            <w:vAlign w:val="top"/>
          </w:tcPr>
          <w:p>
            <w:pPr>
              <w:spacing w:before="105" w:line="195" w:lineRule="auto"/>
              <w:ind w:left="1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13m</w:t>
            </w:r>
          </w:p>
        </w:tc>
      </w:tr>
    </w:tbl>
    <w:p>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由表5-</w:t>
      </w:r>
      <w:r>
        <w:rPr>
          <w:rFonts w:hint="eastAsia" w:ascii="Times New Roman" w:hAnsi="Times New Roman" w:eastAsia="宋体" w:cs="Times New Roman"/>
          <w:sz w:val="24"/>
          <w:szCs w:val="24"/>
          <w:u w:val="single"/>
          <w:lang w:val="en-US" w:eastAsia="zh-CN"/>
        </w:rPr>
        <w:t>17~</w:t>
      </w:r>
      <w:r>
        <w:rPr>
          <w:rFonts w:hint="default" w:ascii="Times New Roman" w:hAnsi="Times New Roman" w:cs="Times New Roman"/>
          <w:sz w:val="24"/>
          <w:szCs w:val="24"/>
          <w:u w:val="single"/>
        </w:rPr>
        <w:t>5-</w:t>
      </w:r>
      <w:r>
        <w:rPr>
          <w:rFonts w:hint="eastAsia" w:ascii="Times New Roman" w:hAnsi="Times New Roman" w:eastAsia="宋体" w:cs="Times New Roman"/>
          <w:sz w:val="24"/>
          <w:szCs w:val="24"/>
          <w:u w:val="single"/>
          <w:lang w:val="en-US" w:eastAsia="zh-CN"/>
        </w:rPr>
        <w:t>19</w:t>
      </w:r>
      <w:r>
        <w:rPr>
          <w:rFonts w:hint="default" w:ascii="Times New Roman" w:hAnsi="Times New Roman" w:cs="Times New Roman"/>
          <w:sz w:val="24"/>
          <w:szCs w:val="24"/>
          <w:u w:val="single"/>
        </w:rPr>
        <w:t>估算模型计算结果可知，</w:t>
      </w:r>
      <w:r>
        <w:rPr>
          <w:rFonts w:hint="eastAsia" w:ascii="Times New Roman" w:hAnsi="Times New Roman" w:eastAsia="宋体" w:cs="Times New Roman"/>
          <w:sz w:val="24"/>
          <w:szCs w:val="24"/>
          <w:u w:val="single"/>
          <w:lang w:eastAsia="zh-CN"/>
        </w:rPr>
        <w:t>正常情况下</w:t>
      </w:r>
      <w:r>
        <w:rPr>
          <w:rFonts w:hint="default" w:ascii="Times New Roman" w:hAnsi="Times New Roman" w:cs="Times New Roman"/>
          <w:sz w:val="24"/>
          <w:szCs w:val="24"/>
          <w:u w:val="single"/>
        </w:rPr>
        <w:t>本项目有组织排放的H</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S的最大落地浓度为0.000146mg/m</w:t>
      </w:r>
      <w:r>
        <w:rPr>
          <w:rFonts w:hint="default" w:ascii="Times New Roman" w:hAnsi="Times New Roman" w:cs="Times New Roman"/>
          <w:sz w:val="24"/>
          <w:szCs w:val="24"/>
          <w:u w:val="single"/>
          <w:vertAlign w:val="superscript"/>
        </w:rPr>
        <w:t>3</w:t>
      </w:r>
      <w:r>
        <w:rPr>
          <w:rFonts w:hint="default" w:ascii="Times New Roman" w:hAnsi="Times New Roman" w:cs="Times New Roman"/>
          <w:sz w:val="24"/>
          <w:szCs w:val="24"/>
          <w:u w:val="single"/>
        </w:rPr>
        <w:t>，占标率为1.46%；有组织排放的NH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的最大落地浓度为0.00205mg/m</w:t>
      </w:r>
      <w:r>
        <w:rPr>
          <w:rFonts w:hint="default" w:ascii="Times New Roman" w:hAnsi="Times New Roman" w:cs="Times New Roman"/>
          <w:sz w:val="24"/>
          <w:szCs w:val="24"/>
          <w:u w:val="single"/>
          <w:vertAlign w:val="superscript"/>
        </w:rPr>
        <w:t>3</w:t>
      </w:r>
      <w:r>
        <w:rPr>
          <w:rFonts w:hint="default" w:ascii="Times New Roman" w:hAnsi="Times New Roman" w:cs="Times New Roman"/>
          <w:sz w:val="24"/>
          <w:szCs w:val="24"/>
          <w:u w:val="single"/>
        </w:rPr>
        <w:t>，占标率为1.02%。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厂区无组织排放NH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一次最大落地浓度为0.01006mg/m</w:t>
      </w:r>
      <w:r>
        <w:rPr>
          <w:rFonts w:hint="default" w:ascii="Times New Roman" w:hAnsi="Times New Roman" w:cs="Times New Roman"/>
          <w:sz w:val="24"/>
          <w:szCs w:val="24"/>
          <w:u w:val="single"/>
          <w:vertAlign w:val="superscript"/>
        </w:rPr>
        <w:t>3</w:t>
      </w:r>
      <w:r>
        <w:rPr>
          <w:rFonts w:hint="default" w:ascii="Times New Roman" w:hAnsi="Times New Roman" w:cs="Times New Roman"/>
          <w:sz w:val="24"/>
          <w:szCs w:val="24"/>
          <w:u w:val="single"/>
        </w:rPr>
        <w:t>，占标率</w:t>
      </w:r>
      <w:r>
        <w:rPr>
          <w:rFonts w:hint="eastAsia" w:ascii="Times New Roman" w:hAnsi="Times New Roman" w:eastAsia="宋体" w:cs="Times New Roman"/>
          <w:sz w:val="24"/>
          <w:szCs w:val="24"/>
          <w:u w:val="single"/>
          <w:lang w:val="en-US" w:eastAsia="zh-CN"/>
        </w:rPr>
        <w:t>5.03</w:t>
      </w:r>
      <w:r>
        <w:rPr>
          <w:rFonts w:hint="default" w:ascii="Times New Roman" w:hAnsi="Times New Roman" w:cs="Times New Roman"/>
          <w:sz w:val="24"/>
          <w:szCs w:val="24"/>
          <w:u w:val="single"/>
        </w:rPr>
        <w:t>%；H</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S一次最大落地浓度为0.0008747mg/m</w:t>
      </w:r>
      <w:r>
        <w:rPr>
          <w:rFonts w:hint="default" w:ascii="Times New Roman" w:hAnsi="Times New Roman" w:cs="Times New Roman"/>
          <w:sz w:val="24"/>
          <w:szCs w:val="24"/>
          <w:u w:val="single"/>
          <w:vertAlign w:val="superscript"/>
        </w:rPr>
        <w:t>3</w:t>
      </w:r>
      <w:r>
        <w:rPr>
          <w:rFonts w:hint="default" w:ascii="Times New Roman" w:hAnsi="Times New Roman" w:cs="Times New Roman"/>
          <w:sz w:val="24"/>
          <w:szCs w:val="24"/>
          <w:u w:val="single"/>
        </w:rPr>
        <w:t>，占标率</w:t>
      </w:r>
      <w:r>
        <w:rPr>
          <w:rFonts w:hint="eastAsia" w:ascii="Times New Roman" w:hAnsi="Times New Roman" w:eastAsia="宋体" w:cs="Times New Roman"/>
          <w:sz w:val="24"/>
          <w:szCs w:val="24"/>
          <w:u w:val="single"/>
          <w:lang w:val="en-US" w:eastAsia="zh-CN"/>
        </w:rPr>
        <w:t>8.75</w:t>
      </w:r>
      <w:r>
        <w:rPr>
          <w:rFonts w:hint="default" w:ascii="Times New Roman" w:hAnsi="Times New Roman" w:cs="Times New Roman"/>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本项目各面源无组织大气污染物最大落地浓度占标率均比较小，对周围环境空气贡献值较小，再经过环境空气扩散后，对环境的影响也较小。</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由于臭气浓度很难定量计算，类比同类屠宰企业，经采取相应的处理措施后其有组织及厂界无组织臭气浓度均可实现达标排放，</w:t>
      </w:r>
      <w:r>
        <w:rPr>
          <w:rFonts w:hint="eastAsia" w:ascii="Times New Roman" w:hAnsi="Times New Roman" w:eastAsia="宋体" w:cs="Times New Roman"/>
          <w:sz w:val="24"/>
          <w:szCs w:val="24"/>
          <w:u w:val="single"/>
          <w:lang w:eastAsia="zh-CN"/>
        </w:rPr>
        <w:t>符合</w:t>
      </w:r>
      <w:r>
        <w:rPr>
          <w:rFonts w:hint="default" w:ascii="Times New Roman" w:hAnsi="Times New Roman" w:cs="Times New Roman"/>
          <w:sz w:val="24"/>
          <w:szCs w:val="24"/>
          <w:u w:val="single"/>
        </w:rPr>
        <w:t>《恶臭污染物排放标准》（GB14554-93）中二级标准。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非正常工部下项目有组织排放的NH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、H</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S对周边环境的影响也较小，不会对周边区域环境空气质量带来明显不利影响。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项目厂区无组织排放的污染物中H</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 xml:space="preserve">S的最大落地浓度占标率最高，为2.71%&lt;10% ，按照《环境影响评价技术导则 </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single"/>
        </w:rPr>
        <w:t>大气环境》（HJ2.2-2018）中评价工作等级划分依据，本项目大气环境评价等级应为二级。根据导则要求，二级评价项目不进行进一步预测与评价，只对污染物排放量进行核算。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（四）污染物排放量核算</w:t>
      </w:r>
    </w:p>
    <w:p>
      <w:pPr>
        <w:keepNext w:val="0"/>
        <w:keepLines w:val="0"/>
        <w:pageBreakBefore w:val="0"/>
        <w:widowControl/>
        <w:kinsoku w:val="0"/>
        <w:wordWrap/>
        <w:overflowPunct/>
        <w:topLinePunct w:val="0"/>
        <w:autoSpaceDE w:val="0"/>
        <w:autoSpaceDN w:val="0"/>
        <w:bidi w:val="0"/>
        <w:adjustRightInd w:val="0"/>
        <w:snapToGrid w:val="0"/>
        <w:spacing w:before="95" w:line="499" w:lineRule="exact"/>
        <w:jc w:val="right"/>
        <w:textAlignment w:val="baseline"/>
        <w:rPr>
          <w:rFonts w:ascii="宋体" w:hAnsi="宋体" w:eastAsia="宋体" w:cs="宋体"/>
          <w:sz w:val="24"/>
          <w:szCs w:val="24"/>
        </w:rPr>
      </w:pPr>
      <w:r>
        <w:rPr>
          <w:rFonts w:ascii="宋体" w:hAnsi="宋体" w:eastAsia="宋体" w:cs="宋体"/>
          <w:spacing w:val="-2"/>
          <w:position w:val="19"/>
          <w:sz w:val="24"/>
          <w:szCs w:val="24"/>
        </w:rPr>
        <w:t>根据项目生产工艺及产污环节，可知营运期项目废气</w:t>
      </w:r>
      <w:r>
        <w:rPr>
          <w:rFonts w:ascii="宋体" w:hAnsi="宋体" w:eastAsia="宋体" w:cs="宋体"/>
          <w:spacing w:val="-3"/>
          <w:position w:val="19"/>
          <w:sz w:val="24"/>
          <w:szCs w:val="24"/>
        </w:rPr>
        <w:t>主要为待宰区、屠宰车间、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25"/>
        <w:textAlignment w:val="baseline"/>
        <w:rPr>
          <w:rFonts w:ascii="宋体" w:hAnsi="宋体" w:eastAsia="宋体" w:cs="宋体"/>
          <w:sz w:val="24"/>
          <w:szCs w:val="24"/>
        </w:rPr>
      </w:pPr>
      <w:r>
        <w:rPr>
          <w:rFonts w:ascii="宋体" w:hAnsi="宋体" w:eastAsia="宋体" w:cs="宋体"/>
          <w:spacing w:val="-1"/>
          <w:sz w:val="24"/>
          <w:szCs w:val="24"/>
        </w:rPr>
        <w:t>污水处理站产生的恶臭气体和员工食堂产生的油烟废气。</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本项目大气污染物有组织排放量核算情况见表5-</w:t>
      </w:r>
      <w:r>
        <w:rPr>
          <w:rFonts w:hint="eastAsia" w:ascii="Times New Roman" w:hAnsi="Times New Roman" w:eastAsia="宋体" w:cs="Times New Roman"/>
          <w:sz w:val="24"/>
          <w:szCs w:val="24"/>
          <w:lang w:val="en-US" w:eastAsia="zh-CN"/>
        </w:rPr>
        <w:t>20</w:t>
      </w:r>
      <w:r>
        <w:rPr>
          <w:rFonts w:hint="default" w:ascii="Times New Roman" w:hAnsi="Times New Roman" w:cs="Times New Roman"/>
          <w:sz w:val="24"/>
          <w:szCs w:val="24"/>
        </w:rPr>
        <w:t>，无组织排放量核算表具体情况见表5-</w:t>
      </w:r>
      <w:r>
        <w:rPr>
          <w:rFonts w:hint="eastAsia" w:ascii="Times New Roman" w:hAnsi="Times New Roman" w:eastAsia="宋体" w:cs="Times New Roman"/>
          <w:sz w:val="24"/>
          <w:szCs w:val="24"/>
          <w:lang w:val="en-US" w:eastAsia="zh-CN"/>
        </w:rPr>
        <w:t>21</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26"/>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20</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大气污染物有组织排放</w:t>
      </w:r>
      <w:r>
        <w:rPr>
          <w:rFonts w:ascii="宋体" w:hAnsi="宋体" w:eastAsia="宋体" w:cs="宋体"/>
          <w:spacing w:val="-1"/>
          <w:sz w:val="24"/>
          <w:szCs w:val="24"/>
          <w14:textOutline w14:w="4358" w14:cap="sq" w14:cmpd="sng">
            <w14:solidFill>
              <w14:srgbClr w14:val="000000"/>
            </w14:solidFill>
            <w14:prstDash w14:val="solid"/>
            <w14:bevel/>
          </w14:textOutline>
        </w:rPr>
        <w:t>量核算表</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97"/>
        <w:gridCol w:w="1652"/>
        <w:gridCol w:w="1293"/>
        <w:gridCol w:w="1896"/>
        <w:gridCol w:w="1760"/>
        <w:gridCol w:w="155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90" w:hRule="atLeast"/>
        </w:trPr>
        <w:tc>
          <w:tcPr>
            <w:tcW w:w="796"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序号</w:t>
            </w:r>
          </w:p>
        </w:tc>
        <w:tc>
          <w:tcPr>
            <w:tcW w:w="16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排放口编号</w:t>
            </w:r>
          </w:p>
        </w:tc>
        <w:tc>
          <w:tcPr>
            <w:tcW w:w="129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污染物</w:t>
            </w:r>
          </w:p>
        </w:tc>
        <w:tc>
          <w:tcPr>
            <w:tcW w:w="18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排放浓度（</w:t>
            </w:r>
            <w:r>
              <w:rPr>
                <w:rFonts w:hint="default" w:ascii="Times New Roman" w:hAnsi="Times New Roman" w:eastAsia="Times New Roman" w:cs="Times New Roman"/>
                <w:b/>
                <w:bCs/>
                <w:spacing w:val="0"/>
                <w:position w:val="0"/>
                <w:sz w:val="18"/>
                <w:szCs w:val="18"/>
              </w:rPr>
              <w:t>mg/m</w:t>
            </w:r>
            <w:r>
              <w:rPr>
                <w:rFonts w:hint="eastAsia" w:ascii="Times New Roman" w:hAnsi="Times New Roman" w:eastAsia="宋体" w:cs="Times New Roman"/>
                <w:b/>
                <w:bCs/>
                <w:spacing w:val="0"/>
                <w:position w:val="0"/>
                <w:sz w:val="18"/>
                <w:szCs w:val="18"/>
                <w:vertAlign w:val="superscript"/>
                <w:lang w:val="en-US" w:eastAsia="zh-CN"/>
              </w:rPr>
              <w:t>3</w:t>
            </w: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w:t>
            </w:r>
          </w:p>
        </w:tc>
        <w:tc>
          <w:tcPr>
            <w:tcW w:w="176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排放速率</w:t>
            </w:r>
            <w:r>
              <w:rPr>
                <w:rFonts w:hint="default" w:ascii="Times New Roman" w:hAnsi="Times New Roman" w:eastAsia="Times New Roman" w:cs="Times New Roman"/>
                <w:b/>
                <w:bCs/>
                <w:spacing w:val="0"/>
                <w:position w:val="0"/>
                <w:sz w:val="18"/>
                <w:szCs w:val="18"/>
              </w:rPr>
              <w:t>/</w:t>
            </w: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w:t>
            </w:r>
            <w:r>
              <w:rPr>
                <w:rFonts w:hint="default" w:ascii="Times New Roman" w:hAnsi="Times New Roman" w:eastAsia="Times New Roman" w:cs="Times New Roman"/>
                <w:b/>
                <w:bCs/>
                <w:spacing w:val="0"/>
                <w:position w:val="0"/>
                <w:sz w:val="18"/>
                <w:szCs w:val="18"/>
              </w:rPr>
              <w:t>kg/h</w:t>
            </w: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w:t>
            </w:r>
          </w:p>
        </w:tc>
        <w:tc>
          <w:tcPr>
            <w:tcW w:w="155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年排放量（</w:t>
            </w:r>
            <w:r>
              <w:rPr>
                <w:rFonts w:hint="default" w:ascii="Times New Roman" w:hAnsi="Times New Roman" w:eastAsia="Times New Roman" w:cs="Times New Roman"/>
                <w:b/>
                <w:bCs/>
                <w:spacing w:val="0"/>
                <w:position w:val="0"/>
                <w:sz w:val="18"/>
                <w:szCs w:val="18"/>
              </w:rPr>
              <w:t>t/a</w:t>
            </w: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8950" w:type="dxa"/>
            <w:gridSpan w:val="7"/>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rPr>
              <w:t>一般排放口</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1" w:hRule="atLeast"/>
        </w:trPr>
        <w:tc>
          <w:tcPr>
            <w:tcW w:w="69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position w:val="0"/>
                <w:sz w:val="18"/>
                <w:szCs w:val="18"/>
              </w:rPr>
            </w:pPr>
            <w:r>
              <w:rPr>
                <w:rFonts w:hint="default" w:ascii="Times New Roman" w:hAnsi="Times New Roman" w:eastAsia="Times New Roman" w:cs="Times New Roman"/>
                <w:spacing w:val="0"/>
                <w:position w:val="0"/>
                <w:sz w:val="18"/>
                <w:szCs w:val="18"/>
              </w:rPr>
              <w:t>1</w:t>
            </w:r>
          </w:p>
        </w:tc>
        <w:tc>
          <w:tcPr>
            <w:tcW w:w="1749" w:type="dxa"/>
            <w:gridSpan w:val="2"/>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lang w:val="en-US" w:eastAsia="zh-CN"/>
              </w:rPr>
            </w:pPr>
            <w:r>
              <w:rPr>
                <w:rFonts w:hint="default" w:ascii="Times New Roman" w:hAnsi="Times New Roman" w:cs="Times New Roman"/>
                <w:spacing w:val="0"/>
                <w:position w:val="0"/>
                <w:sz w:val="18"/>
                <w:szCs w:val="18"/>
              </w:rPr>
              <w:t>恶臭气体除臭装置排气筒出口</w:t>
            </w:r>
            <w:r>
              <w:rPr>
                <w:rFonts w:hint="default" w:ascii="Times New Roman" w:hAnsi="Times New Roman" w:cs="Times New Roman"/>
                <w:spacing w:val="0"/>
                <w:position w:val="0"/>
                <w:sz w:val="18"/>
                <w:szCs w:val="18"/>
                <w:lang w:val="en-US" w:eastAsia="zh-CN"/>
              </w:rPr>
              <w:t>DA001</w:t>
            </w:r>
          </w:p>
        </w:tc>
        <w:tc>
          <w:tcPr>
            <w:tcW w:w="12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position w:val="0"/>
                <w:sz w:val="18"/>
                <w:szCs w:val="18"/>
              </w:rPr>
            </w:pPr>
            <w:r>
              <w:rPr>
                <w:rFonts w:hint="default" w:ascii="Times New Roman" w:hAnsi="Times New Roman" w:eastAsia="Times New Roman" w:cs="Times New Roman"/>
                <w:spacing w:val="0"/>
                <w:position w:val="0"/>
                <w:sz w:val="18"/>
                <w:szCs w:val="18"/>
              </w:rPr>
              <w:t>NH</w:t>
            </w:r>
            <w:r>
              <w:rPr>
                <w:rFonts w:hint="default" w:ascii="Times New Roman" w:hAnsi="Times New Roman" w:eastAsia="Times New Roman" w:cs="Times New Roman"/>
                <w:spacing w:val="0"/>
                <w:position w:val="0"/>
                <w:sz w:val="18"/>
                <w:szCs w:val="18"/>
                <w:vertAlign w:val="subscript"/>
              </w:rPr>
              <w:t>3</w:t>
            </w:r>
          </w:p>
        </w:tc>
        <w:tc>
          <w:tcPr>
            <w:tcW w:w="18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lang w:val="en-US" w:eastAsia="zh-CN"/>
              </w:rPr>
            </w:pPr>
            <w:r>
              <w:rPr>
                <w:rFonts w:hint="default" w:ascii="Times New Roman" w:hAnsi="Times New Roman" w:eastAsia="宋体" w:cs="Times New Roman"/>
                <w:spacing w:val="0"/>
                <w:position w:val="0"/>
                <w:sz w:val="18"/>
                <w:szCs w:val="18"/>
                <w:lang w:val="en-US" w:eastAsia="zh-CN"/>
              </w:rPr>
              <w:t>/</w:t>
            </w:r>
          </w:p>
        </w:tc>
        <w:tc>
          <w:tcPr>
            <w:tcW w:w="176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u w:val="none"/>
                <w:lang w:val="en-US" w:eastAsia="zh-CN"/>
              </w:rPr>
            </w:pPr>
            <w:r>
              <w:rPr>
                <w:rFonts w:hint="default" w:ascii="Times New Roman" w:hAnsi="Times New Roman" w:eastAsia="Times New Roman" w:cs="Times New Roman"/>
                <w:spacing w:val="0"/>
                <w:position w:val="0"/>
                <w:sz w:val="18"/>
                <w:szCs w:val="18"/>
                <w:u w:val="none"/>
                <w:lang w:val="en-US" w:eastAsia="zh-CN"/>
              </w:rPr>
              <w:t>0.011908</w:t>
            </w:r>
          </w:p>
        </w:tc>
        <w:tc>
          <w:tcPr>
            <w:tcW w:w="155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highlight w:val="none"/>
                <w:u w:val="none"/>
                <w:lang w:val="en-US" w:eastAsia="zh-CN"/>
              </w:rPr>
            </w:pPr>
            <w:r>
              <w:rPr>
                <w:rFonts w:hint="default" w:ascii="Times New Roman" w:hAnsi="Times New Roman" w:eastAsia="Times New Roman" w:cs="Times New Roman"/>
                <w:spacing w:val="0"/>
                <w:position w:val="0"/>
                <w:sz w:val="18"/>
                <w:szCs w:val="18"/>
                <w:highlight w:val="none"/>
                <w:u w:val="none"/>
                <w:lang w:val="en-US" w:eastAsia="zh-CN"/>
              </w:rPr>
              <w:t>0.07768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1" w:hRule="atLeast"/>
        </w:trPr>
        <w:tc>
          <w:tcPr>
            <w:tcW w:w="69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p>
        </w:tc>
        <w:tc>
          <w:tcPr>
            <w:tcW w:w="1749" w:type="dxa"/>
            <w:gridSpan w:val="2"/>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p>
        </w:tc>
        <w:tc>
          <w:tcPr>
            <w:tcW w:w="12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position w:val="0"/>
                <w:sz w:val="18"/>
                <w:szCs w:val="18"/>
              </w:rPr>
            </w:pPr>
            <w:r>
              <w:rPr>
                <w:rFonts w:hint="default" w:ascii="Times New Roman" w:hAnsi="Times New Roman" w:eastAsia="Times New Roman" w:cs="Times New Roman"/>
                <w:spacing w:val="0"/>
                <w:position w:val="0"/>
                <w:sz w:val="18"/>
                <w:szCs w:val="18"/>
              </w:rPr>
              <w:t>H</w:t>
            </w:r>
            <w:r>
              <w:rPr>
                <w:rFonts w:hint="default" w:ascii="Times New Roman" w:hAnsi="Times New Roman" w:eastAsia="Times New Roman" w:cs="Times New Roman"/>
                <w:spacing w:val="0"/>
                <w:position w:val="0"/>
                <w:sz w:val="18"/>
                <w:szCs w:val="18"/>
                <w:vertAlign w:val="subscript"/>
              </w:rPr>
              <w:t>2</w:t>
            </w:r>
            <w:r>
              <w:rPr>
                <w:rFonts w:hint="default" w:ascii="Times New Roman" w:hAnsi="Times New Roman" w:eastAsia="Times New Roman" w:cs="Times New Roman"/>
                <w:spacing w:val="0"/>
                <w:position w:val="0"/>
                <w:sz w:val="18"/>
                <w:szCs w:val="18"/>
              </w:rPr>
              <w:t>S</w:t>
            </w:r>
          </w:p>
        </w:tc>
        <w:tc>
          <w:tcPr>
            <w:tcW w:w="18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lang w:val="en-US" w:eastAsia="zh-CN"/>
              </w:rPr>
            </w:pPr>
            <w:r>
              <w:rPr>
                <w:rFonts w:hint="default" w:ascii="Times New Roman" w:hAnsi="Times New Roman" w:eastAsia="宋体" w:cs="Times New Roman"/>
                <w:spacing w:val="0"/>
                <w:position w:val="0"/>
                <w:sz w:val="18"/>
                <w:szCs w:val="18"/>
                <w:lang w:val="en-US" w:eastAsia="zh-CN"/>
              </w:rPr>
              <w:t>/</w:t>
            </w:r>
          </w:p>
        </w:tc>
        <w:tc>
          <w:tcPr>
            <w:tcW w:w="176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u w:val="none"/>
                <w:lang w:val="en-US" w:eastAsia="zh-CN"/>
              </w:rPr>
            </w:pPr>
            <w:r>
              <w:rPr>
                <w:rFonts w:hint="default" w:ascii="Times New Roman" w:hAnsi="Times New Roman" w:eastAsia="宋体" w:cs="Times New Roman"/>
                <w:spacing w:val="0"/>
                <w:position w:val="0"/>
                <w:sz w:val="18"/>
                <w:szCs w:val="18"/>
                <w:u w:val="none"/>
                <w:lang w:val="en-US" w:eastAsia="zh-CN"/>
              </w:rPr>
              <w:t>0.000717</w:t>
            </w:r>
          </w:p>
        </w:tc>
        <w:tc>
          <w:tcPr>
            <w:tcW w:w="155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highlight w:val="none"/>
                <w:u w:val="none"/>
                <w:lang w:val="en-US" w:eastAsia="zh-CN"/>
              </w:rPr>
            </w:pPr>
            <w:r>
              <w:rPr>
                <w:rFonts w:hint="default" w:ascii="Times New Roman" w:hAnsi="Times New Roman" w:eastAsia="Times New Roman" w:cs="Times New Roman"/>
                <w:spacing w:val="0"/>
                <w:position w:val="0"/>
                <w:sz w:val="18"/>
                <w:szCs w:val="18"/>
                <w:highlight w:val="none"/>
                <w:u w:val="none"/>
                <w:lang w:val="en-US" w:eastAsia="zh-CN"/>
              </w:rPr>
              <w:t>0.00523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1" w:hRule="atLeast"/>
        </w:trPr>
        <w:tc>
          <w:tcPr>
            <w:tcW w:w="69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val="en-US" w:eastAsia="zh-CN"/>
              </w:rPr>
              <w:t>2</w:t>
            </w:r>
          </w:p>
        </w:tc>
        <w:tc>
          <w:tcPr>
            <w:tcW w:w="174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eastAsia="zh-CN"/>
              </w:rPr>
              <w:t>餐厅油烟净化器出口</w:t>
            </w:r>
            <w:r>
              <w:rPr>
                <w:rFonts w:hint="eastAsia" w:ascii="Times New Roman" w:hAnsi="Times New Roman" w:eastAsia="宋体" w:cs="Times New Roman"/>
                <w:spacing w:val="0"/>
                <w:position w:val="0"/>
                <w:sz w:val="18"/>
                <w:szCs w:val="18"/>
                <w:lang w:val="en-US" w:eastAsia="zh-CN"/>
              </w:rPr>
              <w:t>DA002</w:t>
            </w:r>
          </w:p>
        </w:tc>
        <w:tc>
          <w:tcPr>
            <w:tcW w:w="12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0"/>
                <w:position w:val="0"/>
                <w:sz w:val="18"/>
                <w:szCs w:val="18"/>
                <w:lang w:eastAsia="zh-CN"/>
              </w:rPr>
            </w:pPr>
            <w:r>
              <w:rPr>
                <w:rFonts w:hint="eastAsia" w:ascii="Times New Roman" w:hAnsi="Times New Roman" w:eastAsia="宋体" w:cs="Times New Roman"/>
                <w:spacing w:val="0"/>
                <w:position w:val="0"/>
                <w:sz w:val="18"/>
                <w:szCs w:val="18"/>
                <w:lang w:eastAsia="zh-CN"/>
              </w:rPr>
              <w:t>油烟</w:t>
            </w:r>
          </w:p>
        </w:tc>
        <w:tc>
          <w:tcPr>
            <w:tcW w:w="18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val="en-US" w:eastAsia="zh-CN"/>
              </w:rPr>
              <w:t>0.56</w:t>
            </w:r>
          </w:p>
        </w:tc>
        <w:tc>
          <w:tcPr>
            <w:tcW w:w="176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val="en-US" w:eastAsia="zh-CN"/>
              </w:rPr>
              <w:t>0.00224</w:t>
            </w:r>
          </w:p>
        </w:tc>
        <w:tc>
          <w:tcPr>
            <w:tcW w:w="155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position w:val="0"/>
                <w:sz w:val="18"/>
                <w:szCs w:val="18"/>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0.00144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8950" w:type="dxa"/>
            <w:gridSpan w:val="7"/>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14:textOutline w14:w="3795" w14:cap="sq" w14:cmpd="sng">
                  <w14:solidFill>
                    <w14:srgbClr w14:val="000000"/>
                  </w14:solidFill>
                  <w14:prstDash w14:val="solid"/>
                  <w14:bevel/>
                </w14:textOutline>
              </w:rPr>
              <w:t>有组织排放总计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3741" w:type="dxa"/>
            <w:gridSpan w:val="4"/>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r>
              <w:rPr>
                <w:rFonts w:hint="default" w:ascii="Times New Roman" w:hAnsi="Times New Roman" w:cs="Times New Roman"/>
                <w:spacing w:val="0"/>
                <w:position w:val="0"/>
                <w:sz w:val="18"/>
                <w:szCs w:val="18"/>
              </w:rPr>
              <w:t>有组织排放总计</w:t>
            </w:r>
          </w:p>
        </w:tc>
        <w:tc>
          <w:tcPr>
            <w:tcW w:w="18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position w:val="0"/>
                <w:sz w:val="18"/>
                <w:szCs w:val="18"/>
              </w:rPr>
            </w:pPr>
            <w:r>
              <w:rPr>
                <w:rFonts w:hint="default" w:ascii="Times New Roman" w:hAnsi="Times New Roman" w:eastAsia="Times New Roman" w:cs="Times New Roman"/>
                <w:spacing w:val="0"/>
                <w:position w:val="0"/>
                <w:sz w:val="18"/>
                <w:szCs w:val="18"/>
              </w:rPr>
              <w:t>NH</w:t>
            </w:r>
            <w:r>
              <w:rPr>
                <w:rFonts w:hint="default" w:ascii="Times New Roman" w:hAnsi="Times New Roman" w:eastAsia="Times New Roman" w:cs="Times New Roman"/>
                <w:spacing w:val="0"/>
                <w:position w:val="0"/>
                <w:sz w:val="18"/>
                <w:szCs w:val="18"/>
                <w:vertAlign w:val="subscript"/>
              </w:rPr>
              <w:t>3</w:t>
            </w:r>
          </w:p>
        </w:tc>
        <w:tc>
          <w:tcPr>
            <w:tcW w:w="176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spacing w:val="0"/>
                <w:kern w:val="0"/>
                <w:position w:val="0"/>
                <w:sz w:val="18"/>
                <w:szCs w:val="18"/>
                <w:u w:val="none"/>
                <w:lang w:val="en-US" w:eastAsia="zh-CN" w:bidi="ar-SA"/>
              </w:rPr>
            </w:pPr>
            <w:r>
              <w:rPr>
                <w:rFonts w:hint="default" w:ascii="Times New Roman" w:hAnsi="Times New Roman" w:eastAsia="Times New Roman" w:cs="Times New Roman"/>
                <w:spacing w:val="0"/>
                <w:position w:val="0"/>
                <w:sz w:val="18"/>
                <w:szCs w:val="18"/>
                <w:u w:val="none"/>
                <w:lang w:val="en-US" w:eastAsia="zh-CN"/>
              </w:rPr>
              <w:t>0.011908</w:t>
            </w:r>
          </w:p>
        </w:tc>
        <w:tc>
          <w:tcPr>
            <w:tcW w:w="155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spacing w:val="0"/>
                <w:kern w:val="0"/>
                <w:position w:val="0"/>
                <w:sz w:val="18"/>
                <w:szCs w:val="18"/>
                <w:highlight w:val="none"/>
                <w:u w:val="none"/>
                <w:lang w:val="en-US" w:eastAsia="zh-CN" w:bidi="ar-SA"/>
              </w:rPr>
            </w:pPr>
            <w:r>
              <w:rPr>
                <w:rFonts w:hint="default" w:ascii="Times New Roman" w:hAnsi="Times New Roman" w:eastAsia="Times New Roman" w:cs="Times New Roman"/>
                <w:spacing w:val="0"/>
                <w:position w:val="0"/>
                <w:sz w:val="18"/>
                <w:szCs w:val="18"/>
                <w:highlight w:val="none"/>
                <w:u w:val="none"/>
                <w:lang w:val="en-US" w:eastAsia="zh-CN"/>
              </w:rPr>
              <w:t>0.07768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3741" w:type="dxa"/>
            <w:gridSpan w:val="4"/>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p>
        </w:tc>
        <w:tc>
          <w:tcPr>
            <w:tcW w:w="18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pacing w:val="0"/>
                <w:position w:val="0"/>
                <w:sz w:val="18"/>
                <w:szCs w:val="18"/>
              </w:rPr>
            </w:pPr>
            <w:r>
              <w:rPr>
                <w:rFonts w:hint="default" w:ascii="Times New Roman" w:hAnsi="Times New Roman" w:eastAsia="Times New Roman" w:cs="Times New Roman"/>
                <w:spacing w:val="0"/>
                <w:position w:val="0"/>
                <w:sz w:val="18"/>
                <w:szCs w:val="18"/>
              </w:rPr>
              <w:t>H</w:t>
            </w:r>
            <w:r>
              <w:rPr>
                <w:rFonts w:hint="default" w:ascii="Times New Roman" w:hAnsi="Times New Roman" w:eastAsia="Times New Roman" w:cs="Times New Roman"/>
                <w:spacing w:val="0"/>
                <w:position w:val="0"/>
                <w:sz w:val="18"/>
                <w:szCs w:val="18"/>
                <w:vertAlign w:val="subscript"/>
              </w:rPr>
              <w:t>2</w:t>
            </w:r>
            <w:r>
              <w:rPr>
                <w:rFonts w:hint="default" w:ascii="Times New Roman" w:hAnsi="Times New Roman" w:eastAsia="Times New Roman" w:cs="Times New Roman"/>
                <w:spacing w:val="0"/>
                <w:position w:val="0"/>
                <w:sz w:val="18"/>
                <w:szCs w:val="18"/>
              </w:rPr>
              <w:t>S</w:t>
            </w:r>
          </w:p>
        </w:tc>
        <w:tc>
          <w:tcPr>
            <w:tcW w:w="176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spacing w:val="0"/>
                <w:kern w:val="0"/>
                <w:position w:val="0"/>
                <w:sz w:val="18"/>
                <w:szCs w:val="18"/>
                <w:u w:val="none"/>
                <w:lang w:val="en-US" w:eastAsia="zh-CN" w:bidi="ar-SA"/>
              </w:rPr>
            </w:pPr>
            <w:r>
              <w:rPr>
                <w:rFonts w:hint="default" w:ascii="Times New Roman" w:hAnsi="Times New Roman" w:eastAsia="宋体" w:cs="Times New Roman"/>
                <w:spacing w:val="0"/>
                <w:position w:val="0"/>
                <w:sz w:val="18"/>
                <w:szCs w:val="18"/>
                <w:u w:val="none"/>
                <w:lang w:val="en-US" w:eastAsia="zh-CN"/>
              </w:rPr>
              <w:t>0.000717</w:t>
            </w:r>
          </w:p>
        </w:tc>
        <w:tc>
          <w:tcPr>
            <w:tcW w:w="155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spacing w:val="0"/>
                <w:kern w:val="0"/>
                <w:position w:val="0"/>
                <w:sz w:val="18"/>
                <w:szCs w:val="18"/>
                <w:highlight w:val="none"/>
                <w:u w:val="none"/>
                <w:lang w:val="en-US" w:eastAsia="zh-CN" w:bidi="ar-SA"/>
              </w:rPr>
            </w:pPr>
            <w:r>
              <w:rPr>
                <w:rFonts w:hint="default" w:ascii="Times New Roman" w:hAnsi="Times New Roman" w:eastAsia="Times New Roman" w:cs="Times New Roman"/>
                <w:spacing w:val="0"/>
                <w:position w:val="0"/>
                <w:sz w:val="18"/>
                <w:szCs w:val="18"/>
                <w:highlight w:val="none"/>
                <w:u w:val="none"/>
                <w:lang w:val="en-US" w:eastAsia="zh-CN"/>
              </w:rPr>
              <w:t>0.00523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3741" w:type="dxa"/>
            <w:gridSpan w:val="4"/>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pacing w:val="0"/>
                <w:position w:val="0"/>
                <w:sz w:val="18"/>
                <w:szCs w:val="18"/>
              </w:rPr>
            </w:pPr>
          </w:p>
        </w:tc>
        <w:tc>
          <w:tcPr>
            <w:tcW w:w="18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0"/>
                <w:position w:val="0"/>
                <w:sz w:val="18"/>
                <w:szCs w:val="18"/>
                <w:lang w:eastAsia="zh-CN"/>
              </w:rPr>
            </w:pPr>
            <w:r>
              <w:rPr>
                <w:rFonts w:hint="eastAsia" w:ascii="Times New Roman" w:hAnsi="Times New Roman" w:eastAsia="宋体" w:cs="Times New Roman"/>
                <w:spacing w:val="0"/>
                <w:position w:val="0"/>
                <w:sz w:val="18"/>
                <w:szCs w:val="18"/>
                <w:lang w:eastAsia="zh-CN"/>
              </w:rPr>
              <w:t>油烟</w:t>
            </w:r>
          </w:p>
        </w:tc>
        <w:tc>
          <w:tcPr>
            <w:tcW w:w="176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spacing w:val="0"/>
                <w:kern w:val="0"/>
                <w:position w:val="0"/>
                <w:sz w:val="18"/>
                <w:szCs w:val="18"/>
                <w:lang w:val="en-US" w:eastAsia="zh-CN" w:bidi="ar-SA"/>
              </w:rPr>
            </w:pPr>
            <w:r>
              <w:rPr>
                <w:rFonts w:hint="eastAsia" w:ascii="Times New Roman" w:hAnsi="Times New Roman" w:eastAsia="宋体" w:cs="Times New Roman"/>
                <w:spacing w:val="0"/>
                <w:position w:val="0"/>
                <w:sz w:val="18"/>
                <w:szCs w:val="18"/>
                <w:lang w:val="en-US" w:eastAsia="zh-CN"/>
              </w:rPr>
              <w:t>0.00224</w:t>
            </w:r>
          </w:p>
        </w:tc>
        <w:tc>
          <w:tcPr>
            <w:tcW w:w="155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spacing w:val="0"/>
                <w:kern w:val="0"/>
                <w:position w:val="0"/>
                <w:sz w:val="18"/>
                <w:szCs w:val="18"/>
                <w:highlight w:val="none"/>
                <w:lang w:val="en-US" w:eastAsia="zh-CN" w:bidi="ar-SA"/>
              </w:rPr>
            </w:pPr>
            <w:r>
              <w:rPr>
                <w:rFonts w:hint="eastAsia" w:ascii="Times New Roman" w:hAnsi="Times New Roman" w:eastAsia="宋体" w:cs="Times New Roman"/>
                <w:spacing w:val="0"/>
                <w:position w:val="0"/>
                <w:sz w:val="18"/>
                <w:szCs w:val="18"/>
                <w:highlight w:val="none"/>
                <w:lang w:val="en-US" w:eastAsia="zh-CN"/>
              </w:rPr>
              <w:t>0.00144</w:t>
            </w:r>
          </w:p>
        </w:tc>
      </w:tr>
    </w:tbl>
    <w:p>
      <w:pPr>
        <w:spacing w:before="128" w:line="219" w:lineRule="auto"/>
        <w:ind w:left="2188"/>
        <w:rPr>
          <w:rFonts w:ascii="宋体" w:hAnsi="宋体" w:eastAsia="宋体" w:cs="宋体"/>
          <w:sz w:val="24"/>
          <w:szCs w:val="24"/>
          <w14:textOutline w14:w="4358" w14:cap="sq" w14:cmpd="sng">
            <w14:solidFill>
              <w14:srgbClr w14:val="000000"/>
            </w14:solidFill>
            <w14:prstDash w14:val="solid"/>
            <w14:bevel/>
          </w14:textOutline>
        </w:rPr>
      </w:pPr>
    </w:p>
    <w:p>
      <w:pPr>
        <w:spacing w:before="128" w:line="219" w:lineRule="auto"/>
        <w:ind w:left="2188"/>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21</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大气污染物无组织排放</w:t>
      </w:r>
      <w:r>
        <w:rPr>
          <w:rFonts w:ascii="宋体" w:hAnsi="宋体" w:eastAsia="宋体" w:cs="宋体"/>
          <w:spacing w:val="-1"/>
          <w:sz w:val="24"/>
          <w:szCs w:val="24"/>
          <w14:textOutline w14:w="4358" w14:cap="sq" w14:cmpd="sng">
            <w14:solidFill>
              <w14:srgbClr w14:val="000000"/>
            </w14:solidFill>
            <w14:prstDash w14:val="solid"/>
            <w14:bevel/>
          </w14:textOutline>
        </w:rPr>
        <w:t>量核算表</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119"/>
        <w:gridCol w:w="924"/>
        <w:gridCol w:w="2770"/>
        <w:gridCol w:w="1345"/>
        <w:gridCol w:w="1214"/>
        <w:gridCol w:w="111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序号</w:t>
            </w:r>
          </w:p>
        </w:tc>
        <w:tc>
          <w:tcPr>
            <w:tcW w:w="111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产污环节</w:t>
            </w:r>
          </w:p>
        </w:tc>
        <w:tc>
          <w:tcPr>
            <w:tcW w:w="92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污染物</w:t>
            </w:r>
          </w:p>
        </w:tc>
        <w:tc>
          <w:tcPr>
            <w:tcW w:w="277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14:textOutline w14:w="3795" w14:cap="sq" w14:cmpd="sng">
                  <w14:solidFill>
                    <w14:srgbClr w14:val="000000"/>
                  </w14:solidFill>
                  <w14:prstDash w14:val="solid"/>
                  <w14:bevel/>
                </w14:textOutline>
              </w:rPr>
              <w:t>主要污染防治措施</w:t>
            </w:r>
          </w:p>
        </w:tc>
        <w:tc>
          <w:tcPr>
            <w:tcW w:w="2559"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国家污染物排放标准</w:t>
            </w:r>
          </w:p>
        </w:tc>
        <w:tc>
          <w:tcPr>
            <w:tcW w:w="111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8"/>
                <w14:textOutline w14:w="3795" w14:cap="sq" w14:cmpd="sng">
                  <w14:solidFill>
                    <w14:srgbClr w14:val="000000"/>
                  </w14:solidFill>
                  <w14:prstDash w14:val="solid"/>
                  <w14:bevel/>
                </w14:textOutline>
              </w:rPr>
            </w:pPr>
            <w:r>
              <w:rPr>
                <w:spacing w:val="8"/>
                <w14:textOutline w14:w="3795" w14:cap="sq" w14:cmpd="sng">
                  <w14:solidFill>
                    <w14:srgbClr w14:val="000000"/>
                  </w14:solidFill>
                  <w14:prstDash w14:val="solid"/>
                  <w14:bevel/>
                </w14:textOutline>
              </w:rPr>
              <w:t>年排放量</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14:textOutline w14:w="3795" w14:cap="sq" w14:cmpd="sng">
                  <w14:solidFill>
                    <w14:srgbClr w14:val="000000"/>
                  </w14:solidFill>
                  <w14:prstDash w14:val="solid"/>
                  <w14:bevel/>
                </w14:textOutline>
              </w:rPr>
              <w:t>（</w:t>
            </w:r>
            <w:r>
              <w:rPr>
                <w:rFonts w:ascii="Times New Roman" w:hAnsi="Times New Roman" w:eastAsia="Times New Roman" w:cs="Times New Roman"/>
                <w:b/>
                <w:bCs/>
              </w:rPr>
              <w:t>t/a</w:t>
            </w:r>
            <w:r>
              <w:rPr>
                <w14:textOutline w14:w="3795" w14:cap="sq" w14:cmpd="sng">
                  <w14:solidFill>
                    <w14:srgbClr w14:val="000000"/>
                  </w14:solidFill>
                  <w14:prstDash w14:val="solid"/>
                  <w14:bevel/>
                </w14:textOutli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11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77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4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标准名称</w:t>
            </w:r>
          </w:p>
        </w:tc>
        <w:tc>
          <w:tcPr>
            <w:tcW w:w="121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8"/>
                <w14:textOutline w14:w="3795" w14:cap="sq" w14:cmpd="sng">
                  <w14:solidFill>
                    <w14:srgbClr w14:val="000000"/>
                  </w14:solidFill>
                  <w14:prstDash w14:val="solid"/>
                  <w14:bevel/>
                </w14:textOutline>
              </w:rPr>
            </w:pPr>
            <w:r>
              <w:rPr>
                <w:spacing w:val="8"/>
                <w14:textOutline w14:w="3795" w14:cap="sq" w14:cmpd="sng">
                  <w14:solidFill>
                    <w14:srgbClr w14:val="000000"/>
                  </w14:solidFill>
                  <w14:prstDash w14:val="solid"/>
                  <w14:bevel/>
                </w14:textOutline>
              </w:rPr>
              <w:t>浓度限值</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2"/>
                <w14:textOutline w14:w="3795" w14:cap="sq" w14:cmpd="sng">
                  <w14:solidFill>
                    <w14:srgbClr w14:val="000000"/>
                  </w14:solidFill>
                  <w14:prstDash w14:val="solid"/>
                  <w14:bevel/>
                </w14:textOutline>
              </w:rPr>
              <w:t>（</w:t>
            </w:r>
            <w:r>
              <w:rPr>
                <w:rFonts w:ascii="Times New Roman" w:hAnsi="Times New Roman" w:eastAsia="Times New Roman" w:cs="Times New Roman"/>
                <w:b/>
                <w:bCs/>
              </w:rPr>
              <w:t>mg</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spacing w:val="2"/>
                <w14:textOutline w14:w="3795" w14:cap="sq" w14:cmpd="sng">
                  <w14:solidFill>
                    <w14:srgbClr w14:val="000000"/>
                  </w14:solidFill>
                  <w14:prstDash w14:val="solid"/>
                  <w14:bevel/>
                </w14:textOutline>
              </w:rPr>
              <w:t>）</w:t>
            </w:r>
          </w:p>
        </w:tc>
        <w:tc>
          <w:tcPr>
            <w:tcW w:w="111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待宰区</w:t>
            </w:r>
          </w:p>
        </w:tc>
        <w:tc>
          <w:tcPr>
            <w:tcW w:w="9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277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t>采用干清粪处理，日产日清</w:t>
            </w:r>
          </w:p>
        </w:tc>
        <w:tc>
          <w:tcPr>
            <w:tcW w:w="134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《恶臭污染</w:t>
            </w:r>
            <w:r>
              <w:t xml:space="preserve"> </w:t>
            </w:r>
            <w:r>
              <w:rPr>
                <w:spacing w:val="7"/>
              </w:rPr>
              <w:t>物排放标</w:t>
            </w:r>
            <w:r>
              <w:rPr>
                <w:spacing w:val="-1"/>
              </w:rPr>
              <w:t>准》</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1454-9</w:t>
            </w:r>
            <w:r>
              <w:rPr>
                <w:rFonts w:ascii="Times New Roman" w:hAnsi="Times New Roman" w:eastAsia="Times New Roman" w:cs="Times New Roman"/>
                <w:spacing w:val="-7"/>
              </w:rPr>
              <w:t>3</w:t>
            </w:r>
            <w:r>
              <w:rPr>
                <w:spacing w:val="-7"/>
              </w:rPr>
              <w:t>）表</w:t>
            </w:r>
            <w:r>
              <w:rPr>
                <w:rFonts w:ascii="Times New Roman" w:hAnsi="Times New Roman" w:eastAsia="Times New Roman" w:cs="Times New Roman"/>
                <w:spacing w:val="-7"/>
              </w:rPr>
              <w:t>1</w:t>
            </w:r>
            <w:r>
              <w:rPr>
                <w:spacing w:val="-7"/>
              </w:rPr>
              <w:t>中厂</w:t>
            </w:r>
            <w:r>
              <w:rPr>
                <w:spacing w:val="15"/>
              </w:rPr>
              <w:t>界标准中的</w:t>
            </w:r>
            <w:r>
              <w:rPr>
                <w:spacing w:val="6"/>
              </w:rPr>
              <w:t>二级标准</w:t>
            </w: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0.0</w:t>
            </w:r>
            <w:r>
              <w:rPr>
                <w:rFonts w:hint="eastAsia" w:ascii="Times New Roman" w:hAnsi="Times New Roman" w:eastAsia="宋体" w:cs="Times New Roman"/>
                <w:spacing w:val="3"/>
                <w:sz w:val="20"/>
                <w:szCs w:val="20"/>
                <w:lang w:val="en-US" w:eastAsia="zh-CN"/>
              </w:rPr>
              <w:t>342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p>
        </w:tc>
        <w:tc>
          <w:tcPr>
            <w:tcW w:w="111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277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0.00</w:t>
            </w:r>
            <w:r>
              <w:rPr>
                <w:rFonts w:hint="eastAsia" w:ascii="Times New Roman" w:hAnsi="Times New Roman" w:eastAsia="宋体" w:cs="Times New Roman"/>
                <w:spacing w:val="3"/>
                <w:sz w:val="20"/>
                <w:szCs w:val="20"/>
                <w:lang w:val="en-US" w:eastAsia="zh-CN"/>
              </w:rPr>
              <w:t>303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1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屠宰车间</w:t>
            </w:r>
          </w:p>
        </w:tc>
        <w:tc>
          <w:tcPr>
            <w:tcW w:w="9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277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源头控制，保持车间清洁，车间通风换气，减少胃内容</w:t>
            </w:r>
            <w:r>
              <w:rPr>
                <w:spacing w:val="10"/>
              </w:rPr>
              <w:t xml:space="preserve"> </w:t>
            </w:r>
            <w:r>
              <w:rPr>
                <w:spacing w:val="8"/>
              </w:rPr>
              <w:t>物的滞留时间</w:t>
            </w:r>
          </w:p>
        </w:tc>
        <w:tc>
          <w:tcPr>
            <w:tcW w:w="13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2"/>
                <w:sz w:val="20"/>
                <w:szCs w:val="20"/>
              </w:rPr>
              <w:t>0.0</w:t>
            </w:r>
            <w:r>
              <w:rPr>
                <w:rFonts w:hint="eastAsia" w:ascii="Times New Roman" w:hAnsi="Times New Roman" w:eastAsia="宋体" w:cs="Times New Roman"/>
                <w:spacing w:val="2"/>
                <w:sz w:val="20"/>
                <w:szCs w:val="20"/>
                <w:lang w:val="en-US" w:eastAsia="zh-CN"/>
              </w:rPr>
              <w:t>29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p>
        </w:tc>
        <w:tc>
          <w:tcPr>
            <w:tcW w:w="111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277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0.00</w:t>
            </w:r>
            <w:r>
              <w:rPr>
                <w:rFonts w:hint="eastAsia" w:ascii="Times New Roman" w:hAnsi="Times New Roman" w:eastAsia="宋体" w:cs="Times New Roman"/>
                <w:spacing w:val="3"/>
                <w:sz w:val="20"/>
                <w:szCs w:val="20"/>
                <w:lang w:val="en-US" w:eastAsia="zh-CN"/>
              </w:rPr>
              <w:t>078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1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污水处理</w:t>
            </w:r>
            <w:r>
              <w:t>站</w:t>
            </w:r>
          </w:p>
        </w:tc>
        <w:tc>
          <w:tcPr>
            <w:tcW w:w="9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2770"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减少污泥在场内堆放时间，并定期在污水处理区喷洒除</w:t>
            </w:r>
            <w:r>
              <w:rPr>
                <w:spacing w:val="4"/>
              </w:rPr>
              <w:t>臭剂</w:t>
            </w:r>
          </w:p>
        </w:tc>
        <w:tc>
          <w:tcPr>
            <w:tcW w:w="13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w:t>
            </w:r>
            <w:r>
              <w:rPr>
                <w:rFonts w:hint="eastAsia" w:ascii="Times New Roman" w:hAnsi="Times New Roman" w:eastAsia="宋体" w:cs="Times New Roman"/>
                <w:spacing w:val="3"/>
                <w:sz w:val="20"/>
                <w:szCs w:val="20"/>
                <w:lang w:val="en-US" w:eastAsia="zh-CN"/>
              </w:rPr>
              <w:t>0</w:t>
            </w:r>
            <w:r>
              <w:rPr>
                <w:rFonts w:ascii="Times New Roman" w:hAnsi="Times New Roman" w:eastAsia="Times New Roman" w:cs="Times New Roman"/>
                <w:spacing w:val="3"/>
                <w:sz w:val="20"/>
                <w:szCs w:val="20"/>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p>
        </w:tc>
        <w:tc>
          <w:tcPr>
            <w:tcW w:w="111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277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0.000</w:t>
            </w:r>
            <w:r>
              <w:rPr>
                <w:rFonts w:hint="eastAsia" w:ascii="Times New Roman" w:hAnsi="Times New Roman" w:eastAsia="宋体" w:cs="Times New Roman"/>
                <w:spacing w:val="3"/>
                <w:sz w:val="20"/>
                <w:szCs w:val="20"/>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1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r>
              <w:rPr>
                <w:rFonts w:hint="eastAsia" w:ascii="Arial"/>
                <w:sz w:val="20"/>
                <w:szCs w:val="20"/>
                <w:lang w:val="en-US" w:eastAsia="zh-CN"/>
              </w:rPr>
              <w:t>一般固废暂存间</w:t>
            </w:r>
          </w:p>
        </w:tc>
        <w:tc>
          <w:tcPr>
            <w:tcW w:w="9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000000"/>
                <w:kern w:val="0"/>
                <w:sz w:val="13"/>
                <w:szCs w:val="13"/>
                <w:lang w:val="en-US" w:eastAsia="en-US" w:bidi="ar-SA"/>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277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Arial" w:eastAsia="宋体"/>
                <w:sz w:val="21"/>
                <w:lang w:eastAsia="zh-CN"/>
              </w:rPr>
            </w:pPr>
            <w:r>
              <w:rPr>
                <w:spacing w:val="8"/>
                <w:sz w:val="20"/>
                <w:szCs w:val="20"/>
              </w:rPr>
              <w:t>减少</w:t>
            </w:r>
            <w:r>
              <w:rPr>
                <w:rFonts w:hint="eastAsia" w:eastAsia="宋体"/>
                <w:spacing w:val="8"/>
                <w:sz w:val="20"/>
                <w:szCs w:val="20"/>
                <w:lang w:eastAsia="zh-CN"/>
              </w:rPr>
              <w:t>固废</w:t>
            </w:r>
            <w:r>
              <w:rPr>
                <w:spacing w:val="8"/>
                <w:sz w:val="20"/>
                <w:szCs w:val="20"/>
              </w:rPr>
              <w:t>在场内堆放时间，并定期喷洒除</w:t>
            </w:r>
            <w:r>
              <w:rPr>
                <w:spacing w:val="4"/>
                <w:sz w:val="20"/>
                <w:szCs w:val="20"/>
              </w:rPr>
              <w:t>臭剂</w:t>
            </w:r>
            <w:r>
              <w:rPr>
                <w:rFonts w:hint="eastAsia" w:eastAsia="宋体"/>
                <w:spacing w:val="4"/>
                <w:sz w:val="20"/>
                <w:szCs w:val="20"/>
                <w:lang w:eastAsia="zh-CN"/>
              </w:rPr>
              <w:t>，日产日清</w:t>
            </w:r>
          </w:p>
        </w:tc>
        <w:tc>
          <w:tcPr>
            <w:tcW w:w="13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4"/>
                <w:sz w:val="20"/>
                <w:szCs w:val="20"/>
              </w:rPr>
              <w:t>1.5</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0"/>
                <w:szCs w:val="20"/>
                <w:lang w:val="en-US" w:eastAsia="zh-CN"/>
              </w:rPr>
            </w:pPr>
            <w:r>
              <w:rPr>
                <w:rFonts w:hint="eastAsia" w:ascii="Times New Roman" w:hAnsi="Times New Roman" w:eastAsia="宋体" w:cs="Times New Roman"/>
                <w:spacing w:val="3"/>
                <w:sz w:val="20"/>
                <w:szCs w:val="20"/>
                <w:lang w:val="en-US" w:eastAsia="zh-CN"/>
              </w:rPr>
              <w:t>0.013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46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p>
        </w:tc>
        <w:tc>
          <w:tcPr>
            <w:tcW w:w="111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277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2"/>
                <w:sz w:val="20"/>
                <w:szCs w:val="20"/>
              </w:rPr>
              <w:t>0.06</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0"/>
                <w:szCs w:val="20"/>
                <w:lang w:val="en-US" w:eastAsia="zh-CN"/>
              </w:rPr>
            </w:pPr>
            <w:r>
              <w:rPr>
                <w:rFonts w:hint="eastAsia" w:ascii="Times New Roman" w:hAnsi="Times New Roman" w:eastAsia="宋体" w:cs="Times New Roman"/>
                <w:spacing w:val="3"/>
                <w:sz w:val="20"/>
                <w:szCs w:val="20"/>
                <w:lang w:val="en-US" w:eastAsia="zh-CN"/>
              </w:rPr>
              <w:t>0.0016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trPr>
        <w:tc>
          <w:tcPr>
            <w:tcW w:w="8950" w:type="dxa"/>
            <w:gridSpan w:val="7"/>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2506" w:type="dxa"/>
            <w:gridSpan w:val="3"/>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无组织排放总计</w:t>
            </w:r>
          </w:p>
        </w:tc>
        <w:tc>
          <w:tcPr>
            <w:tcW w:w="27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134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0.0</w:t>
            </w:r>
            <w:r>
              <w:rPr>
                <w:rFonts w:hint="eastAsia" w:ascii="Times New Roman" w:hAnsi="Times New Roman" w:eastAsia="宋体" w:cs="Times New Roman"/>
                <w:spacing w:val="3"/>
                <w:sz w:val="20"/>
                <w:szCs w:val="20"/>
                <w:lang w:val="en-US" w:eastAsia="zh-CN"/>
              </w:rPr>
              <w:t>862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2506" w:type="dxa"/>
            <w:gridSpan w:val="3"/>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7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134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13"/>
                <w:szCs w:val="13"/>
                <w:lang w:val="en-US" w:eastAsia="zh-CN"/>
              </w:rPr>
            </w:pPr>
            <w:r>
              <w:rPr>
                <w:rFonts w:hint="eastAsia" w:ascii="Times New Roman" w:hAnsi="Times New Roman" w:eastAsia="宋体" w:cs="Times New Roman"/>
                <w:spacing w:val="-2"/>
                <w:sz w:val="20"/>
                <w:szCs w:val="20"/>
                <w:lang w:val="en-US" w:eastAsia="zh-CN"/>
              </w:rPr>
              <w:t>0.00581</w:t>
            </w:r>
          </w:p>
        </w:tc>
      </w:tr>
    </w:tbl>
    <w:p>
      <w:pPr>
        <w:spacing w:before="130" w:line="219" w:lineRule="auto"/>
        <w:ind w:left="602"/>
        <w:rPr>
          <w:rFonts w:ascii="宋体" w:hAnsi="宋体" w:eastAsia="宋体" w:cs="宋体"/>
          <w:spacing w:val="-1"/>
          <w:sz w:val="24"/>
          <w:szCs w:val="24"/>
        </w:rPr>
      </w:pPr>
      <w:r>
        <w:rPr>
          <w:rFonts w:ascii="宋体" w:hAnsi="宋体" w:eastAsia="宋体" w:cs="宋体"/>
          <w:spacing w:val="-1"/>
          <w:sz w:val="24"/>
          <w:szCs w:val="24"/>
        </w:rPr>
        <w:t>根据项目运营期大气污染物年排放量见表</w:t>
      </w:r>
      <w:r>
        <w:rPr>
          <w:rFonts w:ascii="Times New Roman" w:hAnsi="Times New Roman" w:eastAsia="Times New Roman" w:cs="Times New Roman"/>
          <w:spacing w:val="-1"/>
          <w:sz w:val="24"/>
          <w:szCs w:val="24"/>
        </w:rPr>
        <w:t>5-</w:t>
      </w:r>
      <w:r>
        <w:rPr>
          <w:rFonts w:hint="eastAsia" w:ascii="Times New Roman" w:hAnsi="Times New Roman" w:eastAsia="宋体" w:cs="Times New Roman"/>
          <w:spacing w:val="-1"/>
          <w:sz w:val="24"/>
          <w:szCs w:val="24"/>
          <w:lang w:val="en-US" w:eastAsia="zh-CN"/>
        </w:rPr>
        <w:t>22</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94"/>
        <w:textAlignment w:val="baseline"/>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22</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大气污</w:t>
      </w:r>
      <w:r>
        <w:rPr>
          <w:rFonts w:ascii="宋体" w:hAnsi="宋体" w:eastAsia="宋体" w:cs="宋体"/>
          <w:spacing w:val="-1"/>
          <w:sz w:val="24"/>
          <w:szCs w:val="24"/>
          <w14:textOutline w14:w="4358" w14:cap="sq" w14:cmpd="sng">
            <w14:solidFill>
              <w14:srgbClr w14:val="000000"/>
            </w14:solidFill>
            <w14:prstDash w14:val="solid"/>
            <w14:bevel/>
          </w14:textOutline>
        </w:rPr>
        <w:t>染物年排放量核算表</w:t>
      </w:r>
    </w:p>
    <w:tbl>
      <w:tblPr>
        <w:tblStyle w:val="24"/>
        <w:tblW w:w="8719"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908"/>
        <w:gridCol w:w="2903"/>
        <w:gridCol w:w="290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908" w:type="dxa"/>
            <w:tcBorders>
              <w:tl2br w:val="nil"/>
              <w:tr2bl w:val="nil"/>
            </w:tcBorders>
            <w:vAlign w:val="top"/>
          </w:tcPr>
          <w:p>
            <w:pPr>
              <w:pStyle w:val="25"/>
              <w:spacing w:before="57" w:line="229" w:lineRule="auto"/>
              <w:ind w:left="1248"/>
            </w:pPr>
            <w:r>
              <w:rPr>
                <w:spacing w:val="5"/>
              </w:rPr>
              <w:t>序号</w:t>
            </w:r>
          </w:p>
        </w:tc>
        <w:tc>
          <w:tcPr>
            <w:tcW w:w="2903" w:type="dxa"/>
            <w:tcBorders>
              <w:tl2br w:val="nil"/>
              <w:tr2bl w:val="nil"/>
            </w:tcBorders>
            <w:vAlign w:val="top"/>
          </w:tcPr>
          <w:p>
            <w:pPr>
              <w:pStyle w:val="25"/>
              <w:spacing w:before="57" w:line="228" w:lineRule="auto"/>
              <w:ind w:left="1143"/>
            </w:pPr>
            <w:r>
              <w:rPr>
                <w:spacing w:val="6"/>
              </w:rPr>
              <w:t>污染物</w:t>
            </w:r>
          </w:p>
        </w:tc>
        <w:tc>
          <w:tcPr>
            <w:tcW w:w="2908" w:type="dxa"/>
            <w:tcBorders>
              <w:tl2br w:val="nil"/>
              <w:tr2bl w:val="nil"/>
            </w:tcBorders>
            <w:vAlign w:val="top"/>
          </w:tcPr>
          <w:p>
            <w:pPr>
              <w:pStyle w:val="25"/>
              <w:spacing w:before="56" w:line="228" w:lineRule="auto"/>
              <w:ind w:left="695"/>
            </w:pPr>
            <w:r>
              <w:rPr>
                <w:spacing w:val="5"/>
              </w:rPr>
              <w:t>年排放量</w:t>
            </w:r>
            <w:r>
              <w:rPr>
                <w:rFonts w:ascii="Times New Roman" w:hAnsi="Times New Roman" w:eastAsia="Times New Roman" w:cs="Times New Roman"/>
                <w:spacing w:val="5"/>
              </w:rPr>
              <w:t>/</w:t>
            </w:r>
            <w:r>
              <w:rPr>
                <w:spacing w:val="5"/>
              </w:rPr>
              <w:t>（</w:t>
            </w:r>
            <w:r>
              <w:rPr>
                <w:rFonts w:ascii="Times New Roman" w:hAnsi="Times New Roman" w:eastAsia="Times New Roman" w:cs="Times New Roman"/>
                <w:spacing w:val="5"/>
              </w:rPr>
              <w:t>t/a</w:t>
            </w:r>
            <w:r>
              <w:rPr>
                <w:spacing w:val="5"/>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908" w:type="dxa"/>
            <w:tcBorders>
              <w:tl2br w:val="nil"/>
              <w:tr2bl w:val="nil"/>
            </w:tcBorders>
            <w:vAlign w:val="top"/>
          </w:tcPr>
          <w:p>
            <w:pPr>
              <w:spacing w:before="89" w:line="195" w:lineRule="auto"/>
              <w:ind w:left="14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03" w:type="dxa"/>
            <w:tcBorders>
              <w:tl2br w:val="nil"/>
              <w:tr2bl w:val="nil"/>
            </w:tcBorders>
            <w:vAlign w:val="top"/>
          </w:tcPr>
          <w:p>
            <w:pPr>
              <w:spacing w:before="92" w:line="199" w:lineRule="auto"/>
              <w:ind w:left="1261"/>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2908" w:type="dxa"/>
            <w:tcBorders>
              <w:tl2br w:val="nil"/>
              <w:tr2bl w:val="nil"/>
            </w:tcBorders>
            <w:vAlign w:val="top"/>
          </w:tcPr>
          <w:p>
            <w:pPr>
              <w:spacing w:before="89" w:line="195" w:lineRule="auto"/>
              <w:ind w:left="1168"/>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0.</w:t>
            </w:r>
            <w:r>
              <w:rPr>
                <w:rFonts w:hint="eastAsia" w:ascii="Times New Roman" w:hAnsi="Times New Roman" w:eastAsia="宋体" w:cs="Times New Roman"/>
                <w:spacing w:val="3"/>
                <w:sz w:val="20"/>
                <w:szCs w:val="20"/>
                <w:lang w:val="en-US" w:eastAsia="zh-CN"/>
              </w:rPr>
              <w:t>16388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908" w:type="dxa"/>
            <w:tcBorders>
              <w:tl2br w:val="nil"/>
              <w:tr2bl w:val="nil"/>
            </w:tcBorders>
            <w:vAlign w:val="top"/>
          </w:tcPr>
          <w:p>
            <w:pPr>
              <w:spacing w:before="91" w:line="195" w:lineRule="auto"/>
              <w:ind w:left="14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03" w:type="dxa"/>
            <w:tcBorders>
              <w:tl2br w:val="nil"/>
              <w:tr2bl w:val="nil"/>
            </w:tcBorders>
            <w:vAlign w:val="top"/>
          </w:tcPr>
          <w:p>
            <w:pPr>
              <w:spacing w:before="91" w:line="202" w:lineRule="auto"/>
              <w:ind w:left="1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2908" w:type="dxa"/>
            <w:tcBorders>
              <w:tl2br w:val="nil"/>
              <w:tr2bl w:val="nil"/>
            </w:tcBorders>
            <w:vAlign w:val="top"/>
          </w:tcPr>
          <w:p>
            <w:pPr>
              <w:spacing w:before="91" w:line="195" w:lineRule="auto"/>
              <w:ind w:left="1116"/>
              <w:rPr>
                <w:rFonts w:hint="default" w:ascii="Times New Roman" w:hAnsi="Times New Roman" w:eastAsia="Times New Roman" w:cs="Times New Roman"/>
                <w:sz w:val="20"/>
                <w:szCs w:val="20"/>
                <w:lang w:val="en-US"/>
              </w:rPr>
            </w:pPr>
            <w:r>
              <w:rPr>
                <w:rFonts w:hint="eastAsia" w:ascii="Times New Roman" w:hAnsi="Times New Roman" w:eastAsia="宋体" w:cs="Times New Roman"/>
                <w:spacing w:val="3"/>
                <w:sz w:val="20"/>
                <w:szCs w:val="20"/>
                <w:lang w:val="en-US" w:eastAsia="zh-CN"/>
              </w:rPr>
              <w:t>0.01104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908" w:type="dxa"/>
            <w:tcBorders>
              <w:tl2br w:val="nil"/>
              <w:tr2bl w:val="nil"/>
            </w:tcBorders>
            <w:vAlign w:val="top"/>
          </w:tcPr>
          <w:p>
            <w:pPr>
              <w:spacing w:before="91" w:line="195" w:lineRule="auto"/>
              <w:ind w:left="1403"/>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w:t>
            </w:r>
          </w:p>
        </w:tc>
        <w:tc>
          <w:tcPr>
            <w:tcW w:w="2903" w:type="dxa"/>
            <w:tcBorders>
              <w:tl2br w:val="nil"/>
              <w:tr2bl w:val="nil"/>
            </w:tcBorders>
            <w:vAlign w:val="top"/>
          </w:tcPr>
          <w:p>
            <w:pPr>
              <w:spacing w:before="91" w:line="202" w:lineRule="auto"/>
              <w:ind w:left="1283"/>
              <w:rPr>
                <w:rFonts w:hint="eastAsia" w:ascii="Times New Roman" w:hAnsi="Times New Roman" w:eastAsia="宋体" w:cs="Times New Roman"/>
                <w:spacing w:val="3"/>
                <w:sz w:val="20"/>
                <w:szCs w:val="20"/>
                <w:lang w:eastAsia="zh-CN"/>
              </w:rPr>
            </w:pPr>
            <w:r>
              <w:rPr>
                <w:rFonts w:hint="eastAsia" w:ascii="Times New Roman" w:hAnsi="Times New Roman" w:eastAsia="宋体" w:cs="Times New Roman"/>
                <w:spacing w:val="3"/>
                <w:sz w:val="20"/>
                <w:szCs w:val="20"/>
                <w:lang w:eastAsia="zh-CN"/>
              </w:rPr>
              <w:t>油烟</w:t>
            </w:r>
          </w:p>
        </w:tc>
        <w:tc>
          <w:tcPr>
            <w:tcW w:w="2908" w:type="dxa"/>
            <w:tcBorders>
              <w:tl2br w:val="nil"/>
              <w:tr2bl w:val="nil"/>
            </w:tcBorders>
            <w:vAlign w:val="top"/>
          </w:tcPr>
          <w:p>
            <w:pPr>
              <w:spacing w:before="91" w:line="195" w:lineRule="auto"/>
              <w:ind w:left="1116"/>
              <w:rPr>
                <w:rFonts w:hint="default" w:ascii="Times New Roman" w:hAnsi="Times New Roman" w:eastAsia="宋体" w:cs="Times New Roman"/>
                <w:spacing w:val="3"/>
                <w:sz w:val="20"/>
                <w:szCs w:val="20"/>
                <w:lang w:val="en-US" w:eastAsia="zh-CN"/>
              </w:rPr>
            </w:pPr>
            <w:r>
              <w:rPr>
                <w:rFonts w:hint="eastAsia" w:ascii="Times New Roman" w:hAnsi="Times New Roman" w:eastAsia="宋体" w:cs="Times New Roman"/>
                <w:spacing w:val="3"/>
                <w:sz w:val="20"/>
                <w:szCs w:val="20"/>
                <w:lang w:val="en-US" w:eastAsia="zh-CN"/>
              </w:rPr>
              <w:t>0.00144</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综上可知，项目运营期产生的大气污染物均可达标排放，对周边环境的影响较小。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（五）环境防护距离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为了保护人群健康，减小正常排放条件下大气污染物对居住区的影响，应在项目厂界以外设置一定的防护距离。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大气环境防护距离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 · 大气环境》（HJ2.2-2018），大气环境防护距离是为了保护人群健康，减少正常排放条件下大气污染物对居住区的环境影响，在污染源与居住区之间设置的环境防护区域。在大气环境防护距离内不应有长期居住的人群。</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环境防护距离取值方法为：从厂界起所有超过环境质量短期浓度标准值的网格区域，以自厂界起至超标区域的最远垂直距离作为大气防护距离。</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根据本项目运营期废气影响预测结果可知，本项目评价范围内无废气超标点，项目厂界无组织恶臭气体中NH</w:t>
      </w:r>
      <w:r>
        <w:rPr>
          <w:rFonts w:hint="eastAsia" w:ascii="Times New Roman" w:hAnsi="Times New Roman" w:eastAsia="宋体" w:cs="Times New Roman"/>
          <w:sz w:val="24"/>
          <w:szCs w:val="24"/>
          <w:vertAlign w:val="subscript"/>
          <w:lang w:val="en-US" w:eastAsia="zh-CN"/>
        </w:rPr>
        <w:t>3</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S最大地面空气质量浓度出现在</w:t>
      </w:r>
      <w:r>
        <w:rPr>
          <w:rFonts w:hint="default" w:ascii="Times New Roman" w:hAnsi="Times New Roman" w:cs="Times New Roman"/>
          <w:sz w:val="24"/>
          <w:szCs w:val="24"/>
          <w:highlight w:val="none"/>
        </w:rPr>
        <w:t>下风向</w:t>
      </w:r>
      <w:r>
        <w:rPr>
          <w:rFonts w:hint="eastAsia" w:ascii="Times New Roman" w:hAnsi="Times New Roman" w:eastAsia="宋体" w:cs="Times New Roman"/>
          <w:sz w:val="24"/>
          <w:szCs w:val="24"/>
          <w:highlight w:val="none"/>
          <w:lang w:val="en-US" w:eastAsia="zh-CN"/>
        </w:rPr>
        <w:t>103</w:t>
      </w:r>
      <w:r>
        <w:rPr>
          <w:rFonts w:hint="default" w:ascii="Times New Roman" w:hAnsi="Times New Roman" w:cs="Times New Roman"/>
          <w:sz w:val="24"/>
          <w:szCs w:val="24"/>
          <w:highlight w:val="none"/>
        </w:rPr>
        <w:t>m处</w:t>
      </w:r>
      <w:r>
        <w:rPr>
          <w:rFonts w:hint="default" w:ascii="Times New Roman" w:hAnsi="Times New Roman" w:cs="Times New Roman"/>
          <w:sz w:val="24"/>
          <w:szCs w:val="24"/>
        </w:rPr>
        <w:t>，分别为</w:t>
      </w:r>
      <w:r>
        <w:rPr>
          <w:rFonts w:hint="default" w:ascii="Times New Roman" w:hAnsi="Times New Roman" w:cs="Times New Roman"/>
          <w:sz w:val="24"/>
          <w:szCs w:val="24"/>
          <w:highlight w:val="none"/>
        </w:rPr>
        <w:t>0.0</w:t>
      </w:r>
      <w:r>
        <w:rPr>
          <w:rFonts w:hint="eastAsia" w:ascii="Times New Roman" w:hAnsi="Times New Roman" w:eastAsia="宋体" w:cs="Times New Roman"/>
          <w:sz w:val="24"/>
          <w:szCs w:val="24"/>
          <w:highlight w:val="none"/>
          <w:lang w:val="en-US" w:eastAsia="zh-CN"/>
        </w:rPr>
        <w:t>1006</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和0.000</w:t>
      </w:r>
      <w:r>
        <w:rPr>
          <w:rFonts w:hint="eastAsia" w:ascii="Times New Roman" w:hAnsi="Times New Roman" w:eastAsia="宋体" w:cs="Times New Roman"/>
          <w:sz w:val="24"/>
          <w:szCs w:val="24"/>
          <w:highlight w:val="none"/>
          <w:lang w:val="en-US" w:eastAsia="zh-CN"/>
        </w:rPr>
        <w:t>8747</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，占标率分别为</w:t>
      </w:r>
      <w:r>
        <w:rPr>
          <w:rFonts w:hint="eastAsia" w:ascii="Times New Roman" w:hAnsi="Times New Roman" w:eastAsia="宋体" w:cs="Times New Roman"/>
          <w:sz w:val="24"/>
          <w:szCs w:val="24"/>
          <w:highlight w:val="none"/>
          <w:lang w:val="en-US" w:eastAsia="zh-CN"/>
        </w:rPr>
        <w:t>5.03</w:t>
      </w:r>
      <w:r>
        <w:rPr>
          <w:rFonts w:hint="default" w:ascii="Times New Roman" w:hAnsi="Times New Roman" w:cs="Times New Roman"/>
          <w:sz w:val="24"/>
          <w:szCs w:val="24"/>
          <w:highlight w:val="none"/>
        </w:rPr>
        <w:t>%和</w:t>
      </w:r>
      <w:r>
        <w:rPr>
          <w:rFonts w:hint="eastAsia" w:ascii="Times New Roman" w:hAnsi="Times New Roman" w:eastAsia="宋体" w:cs="Times New Roman"/>
          <w:sz w:val="24"/>
          <w:szCs w:val="24"/>
          <w:highlight w:val="none"/>
          <w:lang w:val="en-US" w:eastAsia="zh-CN"/>
        </w:rPr>
        <w:t>8.75</w:t>
      </w:r>
      <w:r>
        <w:rPr>
          <w:rFonts w:hint="default" w:ascii="Times New Roman" w:hAnsi="Times New Roman" w:cs="Times New Roman"/>
          <w:sz w:val="24"/>
          <w:szCs w:val="24"/>
          <w:highlight w:val="none"/>
        </w:rPr>
        <w:t>%</w:t>
      </w:r>
      <w:r>
        <w:rPr>
          <w:rFonts w:hint="default" w:ascii="Times New Roman" w:hAnsi="Times New Roman" w:cs="Times New Roman"/>
          <w:sz w:val="24"/>
          <w:szCs w:val="24"/>
        </w:rPr>
        <w:t>，均能够</w:t>
      </w:r>
      <w:r>
        <w:rPr>
          <w:rFonts w:hint="eastAsia" w:ascii="Times New Roman" w:hAnsi="Times New Roman" w:eastAsia="宋体" w:cs="Times New Roman"/>
          <w:sz w:val="24"/>
          <w:szCs w:val="24"/>
          <w:lang w:eastAsia="zh-CN"/>
        </w:rPr>
        <w:t>符合</w:t>
      </w:r>
      <w:r>
        <w:rPr>
          <w:rFonts w:hint="default" w:ascii="Times New Roman" w:hAnsi="Times New Roman" w:cs="Times New Roman"/>
          <w:sz w:val="24"/>
          <w:szCs w:val="24"/>
        </w:rPr>
        <w:t>《环境影响评价技术导则 大气环境》（HJ2.2-2018）附录D中限值要求（NH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：200μg/m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S：10μg/m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eastAsia="宋体" w:cs="Times New Roman"/>
          <w:sz w:val="24"/>
          <w:szCs w:val="24"/>
          <w:lang w:eastAsia="zh-CN"/>
        </w:rPr>
        <w:t>。根据</w:t>
      </w:r>
      <w:r>
        <w:rPr>
          <w:rFonts w:hint="default" w:ascii="Times New Roman" w:hAnsi="Times New Roman" w:cs="Times New Roman"/>
          <w:sz w:val="24"/>
          <w:szCs w:val="24"/>
        </w:rPr>
        <w:t>《关于深化环评</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放管服</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改革及实施环评审批正面清单的通知》（豫环办〔2020〕22号）本项目大气污染物短期贡献浓度均无超标点，不超过环境质量浓度限值，本项目无需设置大气环境防护距离。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卫生环境防护距离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原卫生部和国家标准委2012年发布了《农副食品加工业卫生防护距离第 1 部分： 屠宰及肉类加工业》（GB18078.1-2012），标准规定了屠宰及肉类加工生产企业与 敏感区之间所需卫生防护距离。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2017年3月23日，国家标准委发布公告将该标准转化为推荐性国家标准（GB/T18078.1-2012），不再强制执行。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2020年11月19日，国家标准委发布公告，将包括《农副食品加工工业卫生防护距离第 1 部分：屠宰及 肉类加工业》（GB18078.1-2012）在内的卫生防护距离标准整合修订为《大气有害 物质无组织排放卫生防护距离推导技术导则》（GB/T39499-2020），取消了卫生防护距离限值。因此本项目不再设置卫生防护距离。</w:t>
      </w:r>
    </w:p>
    <w:p>
      <w:pPr>
        <w:spacing w:before="91" w:line="224" w:lineRule="auto"/>
        <w:outlineLvl w:val="3"/>
        <w:rPr>
          <w:rFonts w:ascii="楷体" w:hAnsi="楷体" w:eastAsia="楷体" w:cs="楷体"/>
          <w:b/>
          <w:bCs/>
          <w:sz w:val="28"/>
          <w:szCs w:val="28"/>
        </w:rPr>
      </w:pPr>
      <w:bookmarkStart w:id="347" w:name="bookmark94"/>
      <w:bookmarkEnd w:id="347"/>
      <w:r>
        <w:rPr>
          <w:rFonts w:ascii="Times New Roman" w:hAnsi="Times New Roman" w:eastAsia="Times New Roman" w:cs="Times New Roman"/>
          <w:b/>
          <w:bCs/>
          <w:spacing w:val="-1"/>
          <w:sz w:val="28"/>
          <w:szCs w:val="28"/>
        </w:rPr>
        <w:t>5.2.2</w:t>
      </w:r>
      <w:r>
        <w:rPr>
          <w:rFonts w:ascii="楷体" w:hAnsi="楷体" w:eastAsia="楷体" w:cs="楷体"/>
          <w:b/>
          <w:bCs/>
          <w:spacing w:val="-1"/>
          <w:sz w:val="28"/>
          <w:szCs w:val="28"/>
        </w:rPr>
        <w:t>地表水环境影响预测与评价</w:t>
      </w:r>
    </w:p>
    <w:p>
      <w:pPr>
        <w:spacing w:before="292" w:line="219" w:lineRule="auto"/>
        <w:ind w:left="56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）废水处理情况</w:t>
      </w:r>
    </w:p>
    <w:p>
      <w:pPr>
        <w:spacing w:before="214" w:line="384" w:lineRule="auto"/>
        <w:ind w:left="74" w:right="62" w:firstLine="480"/>
        <w:jc w:val="both"/>
        <w:rPr>
          <w:rFonts w:ascii="宋体" w:hAnsi="宋体" w:eastAsia="宋体" w:cs="宋体"/>
          <w:sz w:val="24"/>
          <w:szCs w:val="24"/>
        </w:rPr>
      </w:pPr>
      <w:r>
        <w:rPr>
          <w:rFonts w:ascii="宋体" w:hAnsi="宋体" w:eastAsia="宋体" w:cs="宋体"/>
          <w:spacing w:val="2"/>
          <w:sz w:val="24"/>
          <w:szCs w:val="24"/>
        </w:rPr>
        <w:t>项目外排废水主要为生产废水</w:t>
      </w:r>
      <w:r>
        <w:rPr>
          <w:rFonts w:hint="eastAsia" w:ascii="宋体" w:hAnsi="宋体" w:eastAsia="宋体" w:cs="宋体"/>
          <w:spacing w:val="2"/>
          <w:sz w:val="24"/>
          <w:szCs w:val="24"/>
          <w:lang w:eastAsia="zh-CN"/>
        </w:rPr>
        <w:t>和</w:t>
      </w:r>
      <w:r>
        <w:rPr>
          <w:rFonts w:ascii="宋体" w:hAnsi="宋体" w:eastAsia="宋体" w:cs="宋体"/>
          <w:spacing w:val="2"/>
          <w:sz w:val="24"/>
          <w:szCs w:val="24"/>
        </w:rPr>
        <w:t>生活污水，其中生活污水经化粪池处理后，与生产废水共同排至自建规模为</w:t>
      </w:r>
      <w:r>
        <w:rPr>
          <w:rFonts w:hint="eastAsia" w:ascii="Times New Roman" w:hAnsi="Times New Roman" w:eastAsia="宋体" w:cs="Times New Roman"/>
          <w:spacing w:val="2"/>
          <w:sz w:val="24"/>
          <w:szCs w:val="24"/>
          <w:highlight w:val="none"/>
          <w:lang w:val="en-US" w:eastAsia="zh-CN"/>
        </w:rPr>
        <w:t>3</w:t>
      </w:r>
      <w:r>
        <w:rPr>
          <w:rFonts w:hint="eastAsia" w:ascii="Times New Roman" w:hAnsi="Times New Roman" w:eastAsia="宋体" w:cs="Times New Roman"/>
          <w:spacing w:val="1"/>
          <w:sz w:val="24"/>
          <w:szCs w:val="24"/>
          <w:highlight w:val="none"/>
          <w:lang w:val="en-US" w:eastAsia="zh-CN"/>
        </w:rPr>
        <w:t>0</w:t>
      </w:r>
      <w:r>
        <w:rPr>
          <w:rFonts w:ascii="Times New Roman" w:hAnsi="Times New Roman" w:eastAsia="Times New Roman" w:cs="Times New Roman"/>
          <w:spacing w:val="1"/>
          <w:sz w:val="24"/>
          <w:szCs w:val="24"/>
          <w:highlight w:val="none"/>
        </w:rPr>
        <w:t>0m</w:t>
      </w:r>
      <w:r>
        <w:rPr>
          <w:rFonts w:ascii="Times New Roman" w:hAnsi="Times New Roman" w:eastAsia="Times New Roman" w:cs="Times New Roman"/>
          <w:spacing w:val="1"/>
          <w:position w:val="8"/>
          <w:sz w:val="15"/>
          <w:szCs w:val="15"/>
          <w:highlight w:val="none"/>
        </w:rPr>
        <w:t>3</w:t>
      </w:r>
      <w:r>
        <w:rPr>
          <w:rFonts w:ascii="Times New Roman" w:hAnsi="Times New Roman" w:eastAsia="Times New Roman" w:cs="Times New Roman"/>
          <w:spacing w:val="1"/>
          <w:sz w:val="24"/>
          <w:szCs w:val="24"/>
          <w:highlight w:val="none"/>
        </w:rPr>
        <w:t>/d</w:t>
      </w:r>
      <w:r>
        <w:rPr>
          <w:rFonts w:ascii="宋体" w:hAnsi="宋体" w:eastAsia="宋体" w:cs="宋体"/>
          <w:spacing w:val="1"/>
          <w:sz w:val="24"/>
          <w:szCs w:val="24"/>
        </w:rPr>
        <w:t>的污水处理站进行处</w:t>
      </w:r>
      <w:r>
        <w:rPr>
          <w:rFonts w:ascii="宋体" w:hAnsi="宋体" w:eastAsia="宋体" w:cs="宋体"/>
          <w:sz w:val="24"/>
          <w:szCs w:val="24"/>
        </w:rPr>
        <w:t>理，处理达到《肉类加工工业水污染物排放标准》（</w:t>
      </w:r>
      <w:r>
        <w:rPr>
          <w:rFonts w:ascii="Times New Roman" w:hAnsi="Times New Roman" w:eastAsia="Times New Roman" w:cs="Times New Roman"/>
          <w:sz w:val="24"/>
          <w:szCs w:val="24"/>
        </w:rPr>
        <w:t>GB1</w:t>
      </w:r>
      <w:r>
        <w:rPr>
          <w:rFonts w:ascii="Times New Roman" w:hAnsi="Times New Roman" w:eastAsia="Times New Roman" w:cs="Times New Roman"/>
          <w:spacing w:val="-1"/>
          <w:sz w:val="24"/>
          <w:szCs w:val="24"/>
        </w:rPr>
        <w:t>3457-92</w:t>
      </w:r>
      <w:r>
        <w:rPr>
          <w:rFonts w:ascii="宋体" w:hAnsi="宋体" w:eastAsia="宋体" w:cs="宋体"/>
          <w:spacing w:val="-1"/>
          <w:sz w:val="24"/>
          <w:szCs w:val="24"/>
        </w:rPr>
        <w:t>）表</w:t>
      </w:r>
      <w:r>
        <w:rPr>
          <w:rFonts w:ascii="Times New Roman" w:hAnsi="Times New Roman" w:eastAsia="Times New Roman" w:cs="Times New Roman"/>
          <w:spacing w:val="-1"/>
          <w:sz w:val="24"/>
          <w:szCs w:val="24"/>
        </w:rPr>
        <w:t>3</w:t>
      </w:r>
      <w:r>
        <w:rPr>
          <w:rFonts w:ascii="宋体" w:hAnsi="宋体" w:eastAsia="宋体" w:cs="宋体"/>
          <w:spacing w:val="-1"/>
          <w:sz w:val="24"/>
          <w:szCs w:val="24"/>
        </w:rPr>
        <w:t>畜类三级标准限值和</w:t>
      </w:r>
      <w:r>
        <w:rPr>
          <w:rFonts w:hint="eastAsia" w:ascii="宋体" w:hAnsi="宋体" w:eastAsia="宋体" w:cs="宋体"/>
          <w:spacing w:val="-1"/>
          <w:sz w:val="24"/>
          <w:szCs w:val="24"/>
          <w:lang w:eastAsia="zh-CN"/>
        </w:rPr>
        <w:t>叶县县城</w:t>
      </w:r>
      <w:r>
        <w:rPr>
          <w:rFonts w:ascii="宋体" w:hAnsi="宋体" w:eastAsia="宋体" w:cs="宋体"/>
          <w:spacing w:val="-1"/>
          <w:sz w:val="24"/>
          <w:szCs w:val="24"/>
        </w:rPr>
        <w:t>污水处理厂接管标准后，排入</w:t>
      </w:r>
      <w:r>
        <w:rPr>
          <w:rFonts w:hint="eastAsia" w:ascii="宋体" w:hAnsi="宋体" w:eastAsia="宋体" w:cs="宋体"/>
          <w:spacing w:val="-1"/>
          <w:sz w:val="24"/>
          <w:szCs w:val="24"/>
          <w:lang w:eastAsia="zh-CN"/>
        </w:rPr>
        <w:t>叶县县城</w:t>
      </w:r>
      <w:r>
        <w:rPr>
          <w:rFonts w:ascii="宋体" w:hAnsi="宋体" w:eastAsia="宋体" w:cs="宋体"/>
          <w:spacing w:val="-1"/>
          <w:sz w:val="24"/>
          <w:szCs w:val="24"/>
        </w:rPr>
        <w:t>污水处理厂。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56"/>
        <w:textAlignment w:val="baseline"/>
        <w:rPr>
          <w:rFonts w:ascii="宋体" w:hAnsi="宋体" w:eastAsia="宋体" w:cs="宋体"/>
          <w:sz w:val="24"/>
          <w:szCs w:val="24"/>
        </w:rPr>
      </w:pPr>
      <w:r>
        <w:rPr>
          <w:rFonts w:ascii="宋体" w:hAnsi="宋体" w:eastAsia="宋体" w:cs="宋体"/>
          <w:spacing w:val="-1"/>
          <w:sz w:val="24"/>
          <w:szCs w:val="24"/>
        </w:rPr>
        <w:t>项目废水经污水处理站处理后排放情况见表</w:t>
      </w:r>
      <w:r>
        <w:rPr>
          <w:rFonts w:ascii="Times New Roman" w:hAnsi="Times New Roman" w:eastAsia="Times New Roman" w:cs="Times New Roman"/>
          <w:spacing w:val="-1"/>
          <w:sz w:val="24"/>
          <w:szCs w:val="24"/>
        </w:rPr>
        <w:t>5-</w:t>
      </w:r>
      <w:r>
        <w:rPr>
          <w:rFonts w:hint="eastAsia" w:ascii="Times New Roman" w:hAnsi="Times New Roman" w:eastAsia="宋体" w:cs="Times New Roman"/>
          <w:spacing w:val="-2"/>
          <w:sz w:val="24"/>
          <w:szCs w:val="24"/>
          <w:lang w:val="en-US" w:eastAsia="zh-CN"/>
        </w:rPr>
        <w:t>23</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23</w:t>
      </w:r>
      <w:r>
        <w:rPr>
          <w:rFonts w:ascii="Times New Roman" w:hAnsi="Times New Roman" w:eastAsia="Times New Roman" w:cs="Times New Roman"/>
          <w:b/>
          <w:bCs/>
          <w:sz w:val="24"/>
          <w:szCs w:val="24"/>
        </w:rPr>
        <w:t xml:space="preserve">              </w:t>
      </w:r>
      <w:r>
        <w:rPr>
          <w:rFonts w:ascii="宋体" w:hAnsi="宋体" w:eastAsia="宋体" w:cs="宋体"/>
          <w:sz w:val="24"/>
          <w:szCs w:val="24"/>
          <w:highlight w:val="none"/>
          <w14:textOutline w14:w="4358" w14:cap="sq" w14:cmpd="sng">
            <w14:solidFill>
              <w14:srgbClr w14:val="000000"/>
            </w14:solidFill>
            <w14:prstDash w14:val="solid"/>
            <w14:bevel/>
          </w14:textOutline>
        </w:rPr>
        <w:t>全厂</w:t>
      </w:r>
      <w:r>
        <w:rPr>
          <w:rFonts w:ascii="宋体" w:hAnsi="宋体" w:eastAsia="宋体" w:cs="宋体"/>
          <w:spacing w:val="-1"/>
          <w:sz w:val="24"/>
          <w:szCs w:val="24"/>
          <w:highlight w:val="none"/>
          <w14:textOutline w14:w="4358" w14:cap="sq" w14:cmpd="sng">
            <w14:solidFill>
              <w14:srgbClr w14:val="000000"/>
            </w14:solidFill>
            <w14:prstDash w14:val="solid"/>
            <w14:bevel/>
          </w14:textOutline>
        </w:rPr>
        <w:t>废水产排情况一览表</w:t>
      </w:r>
    </w:p>
    <w:tbl>
      <w:tblPr>
        <w:tblStyle w:val="24"/>
        <w:tblW w:w="9375"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12"/>
        <w:gridCol w:w="602"/>
        <w:gridCol w:w="1209"/>
        <w:gridCol w:w="825"/>
        <w:gridCol w:w="725"/>
        <w:gridCol w:w="737"/>
        <w:gridCol w:w="701"/>
        <w:gridCol w:w="623"/>
        <w:gridCol w:w="701"/>
        <w:gridCol w:w="674"/>
        <w:gridCol w:w="804"/>
        <w:gridCol w:w="608"/>
        <w:gridCol w:w="75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412"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14:textOutline w14:w="3795" w14:cap="sq" w14:cmpd="sng">
                  <w14:solidFill>
                    <w14:srgbClr w14:val="000000"/>
                  </w14:solidFill>
                  <w14:prstDash w14:val="solid"/>
                  <w14:bevel/>
                </w14:textOutline>
              </w:rPr>
              <w:t>序号</w:t>
            </w:r>
          </w:p>
        </w:tc>
        <w:tc>
          <w:tcPr>
            <w:tcW w:w="60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14:textOutline w14:w="3795" w14:cap="sq" w14:cmpd="sng">
                  <w14:solidFill>
                    <w14:srgbClr w14:val="000000"/>
                  </w14:solidFill>
                  <w14:prstDash w14:val="solid"/>
                  <w14:bevel/>
                </w14:textOutline>
              </w:rPr>
              <w:t>废水</w:t>
            </w:r>
            <w:r>
              <w:rPr>
                <w:sz w:val="20"/>
                <w:szCs w:val="20"/>
              </w:rPr>
              <w:t xml:space="preserve"> </w:t>
            </w:r>
            <w:r>
              <w:rPr>
                <w:spacing w:val="6"/>
                <w:sz w:val="20"/>
                <w:szCs w:val="20"/>
                <w14:textOutline w14:w="3795" w14:cap="sq" w14:cmpd="sng">
                  <w14:solidFill>
                    <w14:srgbClr w14:val="000000"/>
                  </w14:solidFill>
                  <w14:prstDash w14:val="solid"/>
                  <w14:bevel/>
                </w14:textOutline>
              </w:rPr>
              <w:t>种类</w:t>
            </w:r>
          </w:p>
        </w:tc>
        <w:tc>
          <w:tcPr>
            <w:tcW w:w="120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7"/>
                <w:sz w:val="20"/>
                <w:szCs w:val="20"/>
                <w14:textOutline w14:w="3795" w14:cap="sq" w14:cmpd="sng">
                  <w14:solidFill>
                    <w14:srgbClr w14:val="000000"/>
                  </w14:solidFill>
                  <w14:prstDash w14:val="solid"/>
                  <w14:bevel/>
                </w14:textOutline>
              </w:rPr>
              <w:t>污染源</w:t>
            </w:r>
          </w:p>
        </w:tc>
        <w:tc>
          <w:tcPr>
            <w:tcW w:w="82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14:textOutline w14:w="3795" w14:cap="sq" w14:cmpd="sng">
                  <w14:solidFill>
                    <w14:srgbClr w14:val="000000"/>
                  </w14:solidFill>
                  <w14:prstDash w14:val="solid"/>
                  <w14:bevel/>
                </w14:textOutline>
              </w:rPr>
              <w:t>排放量</w:t>
            </w:r>
            <w:r>
              <w:rPr>
                <w:sz w:val="20"/>
                <w:szCs w:val="20"/>
              </w:rPr>
              <w:t xml:space="preserve">  </w:t>
            </w:r>
            <w:r>
              <w:rPr>
                <w:spacing w:val="-1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2"/>
                <w:sz w:val="20"/>
                <w:szCs w:val="20"/>
              </w:rPr>
              <w:t>m</w:t>
            </w:r>
            <w:r>
              <w:rPr>
                <w:rFonts w:hint="eastAsia" w:ascii="Times New Roman" w:hAnsi="Times New Roman" w:eastAsia="宋体" w:cs="Times New Roman"/>
                <w:b/>
                <w:bCs/>
                <w:spacing w:val="-12"/>
                <w:sz w:val="20"/>
                <w:szCs w:val="20"/>
                <w:vertAlign w:val="superscript"/>
                <w:lang w:val="en-US" w:eastAsia="zh-CN"/>
              </w:rPr>
              <w:t>3</w:t>
            </w:r>
            <w:r>
              <w:rPr>
                <w:rFonts w:ascii="Times New Roman" w:hAnsi="Times New Roman" w:eastAsia="Times New Roman" w:cs="Times New Roman"/>
                <w:b/>
                <w:bCs/>
                <w:spacing w:val="-2"/>
                <w:sz w:val="20"/>
                <w:szCs w:val="20"/>
              </w:rPr>
              <w:t>/d</w:t>
            </w:r>
            <w:r>
              <w:rPr>
                <w:spacing w:val="-21"/>
                <w:sz w:val="20"/>
                <w:szCs w:val="20"/>
                <w14:textOutline w14:w="3795" w14:cap="sq" w14:cmpd="sng">
                  <w14:solidFill>
                    <w14:srgbClr w14:val="000000"/>
                  </w14:solidFill>
                  <w14:prstDash w14:val="solid"/>
                  <w14:bevel/>
                </w14:textOutline>
              </w:rPr>
              <w:t>）</w:t>
            </w:r>
          </w:p>
        </w:tc>
        <w:tc>
          <w:tcPr>
            <w:tcW w:w="4965" w:type="dxa"/>
            <w:gridSpan w:val="7"/>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8"/>
                <w:sz w:val="20"/>
                <w:szCs w:val="20"/>
                <w14:textOutline w14:w="3795" w14:cap="sq" w14:cmpd="sng">
                  <w14:solidFill>
                    <w14:srgbClr w14:val="000000"/>
                  </w14:solidFill>
                  <w14:prstDash w14:val="solid"/>
                  <w14:bevel/>
                </w14:textOutline>
              </w:rPr>
              <w:t>污染物浓度（</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8"/>
                <w:sz w:val="20"/>
                <w:szCs w:val="20"/>
              </w:rPr>
              <w:t>/L</w:t>
            </w:r>
            <w:r>
              <w:rPr>
                <w:spacing w:val="8"/>
                <w:sz w:val="20"/>
                <w:szCs w:val="20"/>
                <w14:textOutline w14:w="3795" w14:cap="sq" w14:cmpd="sng">
                  <w14:solidFill>
                    <w14:srgbClr w14:val="000000"/>
                  </w14:solidFill>
                  <w14:prstDash w14:val="solid"/>
                  <w14:bevel/>
                </w14:textOutline>
              </w:rPr>
              <w:t>）</w:t>
            </w:r>
          </w:p>
        </w:tc>
        <w:tc>
          <w:tcPr>
            <w:tcW w:w="608"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14:textOutline w14:w="3795" w14:cap="sq" w14:cmpd="sng">
                  <w14:solidFill>
                    <w14:srgbClr w14:val="000000"/>
                  </w14:solidFill>
                  <w14:prstDash w14:val="solid"/>
                  <w14:bevel/>
                </w14:textOutline>
              </w:rPr>
              <w:t>排放</w:t>
            </w:r>
            <w:r>
              <w:rPr>
                <w:sz w:val="20"/>
                <w:szCs w:val="20"/>
              </w:rPr>
              <w:t xml:space="preserve"> </w:t>
            </w:r>
            <w:r>
              <w:rPr>
                <w:spacing w:val="5"/>
                <w:sz w:val="20"/>
                <w:szCs w:val="20"/>
                <w14:textOutline w14:w="3795" w14:cap="sq" w14:cmpd="sng">
                  <w14:solidFill>
                    <w14:srgbClr w14:val="000000"/>
                  </w14:solidFill>
                  <w14:prstDash w14:val="solid"/>
                  <w14:bevel/>
                </w14:textOutline>
              </w:rPr>
              <w:t>方式</w:t>
            </w:r>
          </w:p>
        </w:tc>
        <w:tc>
          <w:tcPr>
            <w:tcW w:w="75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4"/>
                <w:sz w:val="20"/>
                <w:szCs w:val="20"/>
                <w14:textOutline w14:w="3795" w14:cap="sq" w14:cmpd="sng">
                  <w14:solidFill>
                    <w14:srgbClr w14:val="000000"/>
                  </w14:solidFill>
                  <w14:prstDash w14:val="solid"/>
                  <w14:bevel/>
                </w14:textOutline>
              </w:rPr>
              <w:t>去向</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412"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c>
          <w:tcPr>
            <w:tcW w:w="60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c>
          <w:tcPr>
            <w:tcW w:w="120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c>
          <w:tcPr>
            <w:tcW w:w="82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73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z w:val="20"/>
                <w:szCs w:val="20"/>
              </w:rPr>
              <w:t>BOD</w:t>
            </w:r>
          </w:p>
        </w:tc>
        <w:tc>
          <w:tcPr>
            <w:tcW w:w="7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6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14:textOutline w14:w="3795" w14:cap="sq" w14:cmpd="sng">
                  <w14:solidFill>
                    <w14:srgbClr w14:val="000000"/>
                  </w14:solidFill>
                  <w14:prstDash w14:val="solid"/>
                  <w14:bevel/>
                </w14:textOutline>
              </w:rPr>
              <w:t>氨氮</w:t>
            </w:r>
          </w:p>
        </w:tc>
        <w:tc>
          <w:tcPr>
            <w:tcW w:w="70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3"/>
                <w:sz w:val="20"/>
                <w:szCs w:val="20"/>
                <w14:textOutline w14:w="3795" w14:cap="sq" w14:cmpd="sng">
                  <w14:solidFill>
                    <w14:srgbClr w14:val="000000"/>
                  </w14:solidFill>
                  <w14:prstDash w14:val="solid"/>
                  <w14:bevel/>
                </w14:textOutline>
              </w:rPr>
              <w:t>总磷</w:t>
            </w:r>
          </w:p>
        </w:tc>
        <w:tc>
          <w:tcPr>
            <w:tcW w:w="67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3"/>
                <w:sz w:val="20"/>
                <w:szCs w:val="20"/>
                <w14:textOutline w14:w="3795" w14:cap="sq" w14:cmpd="sng">
                  <w14:solidFill>
                    <w14:srgbClr w14:val="000000"/>
                  </w14:solidFill>
                  <w14:prstDash w14:val="solid"/>
                  <w14:bevel/>
                </w14:textOutline>
              </w:rPr>
              <w:t>总氮</w:t>
            </w:r>
          </w:p>
        </w:tc>
        <w:tc>
          <w:tcPr>
            <w:tcW w:w="80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7"/>
                <w:sz w:val="20"/>
                <w:szCs w:val="20"/>
                <w14:textOutline w14:w="3795" w14:cap="sq" w14:cmpd="sng">
                  <w14:solidFill>
                    <w14:srgbClr w14:val="000000"/>
                  </w14:solidFill>
                  <w14:prstDash w14:val="solid"/>
                  <w14:bevel/>
                </w14:textOutline>
              </w:rPr>
              <w:t>动植物</w:t>
            </w:r>
            <w:r>
              <w:rPr>
                <w:sz w:val="20"/>
                <w:szCs w:val="20"/>
              </w:rPr>
              <w:t xml:space="preserve"> </w:t>
            </w:r>
            <w:r>
              <w:rPr>
                <w:sz w:val="20"/>
                <w:szCs w:val="20"/>
                <w14:textOutline w14:w="3795" w14:cap="sq" w14:cmpd="sng">
                  <w14:solidFill>
                    <w14:srgbClr w14:val="000000"/>
                  </w14:solidFill>
                  <w14:prstDash w14:val="solid"/>
                  <w14:bevel/>
                </w14:textOutline>
              </w:rPr>
              <w:t>油</w:t>
            </w:r>
          </w:p>
        </w:tc>
        <w:tc>
          <w:tcPr>
            <w:tcW w:w="608"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c>
          <w:tcPr>
            <w:tcW w:w="7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41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0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3"/>
                <w:sz w:val="20"/>
                <w:szCs w:val="20"/>
              </w:rPr>
              <w:t>生产</w:t>
            </w:r>
            <w:r>
              <w:rPr>
                <w:sz w:val="20"/>
                <w:szCs w:val="20"/>
              </w:rPr>
              <w:t xml:space="preserve"> </w:t>
            </w:r>
            <w:r>
              <w:rPr>
                <w:spacing w:val="5"/>
                <w:sz w:val="20"/>
                <w:szCs w:val="20"/>
              </w:rPr>
              <w:t>废水</w:t>
            </w:r>
          </w:p>
        </w:tc>
        <w:tc>
          <w:tcPr>
            <w:tcW w:w="120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7"/>
                <w:sz w:val="20"/>
                <w:szCs w:val="20"/>
              </w:rPr>
              <w:t>待宰区地面</w:t>
            </w:r>
            <w:r>
              <w:rPr>
                <w:spacing w:val="4"/>
                <w:sz w:val="20"/>
                <w:szCs w:val="20"/>
              </w:rPr>
              <w:t>冲洗</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2"/>
                <w:sz w:val="20"/>
                <w:szCs w:val="20"/>
                <w:lang w:val="en-US" w:eastAsia="zh-CN"/>
              </w:rPr>
              <w:t>4.05</w:t>
            </w:r>
          </w:p>
        </w:tc>
        <w:tc>
          <w:tcPr>
            <w:tcW w:w="72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800</w:t>
            </w:r>
          </w:p>
        </w:tc>
        <w:tc>
          <w:tcPr>
            <w:tcW w:w="737"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500</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500</w:t>
            </w:r>
          </w:p>
        </w:tc>
        <w:tc>
          <w:tcPr>
            <w:tcW w:w="623"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40</w:t>
            </w:r>
          </w:p>
        </w:tc>
        <w:tc>
          <w:tcPr>
            <w:tcW w:w="701" w:type="dxa"/>
            <w:tcBorders>
              <w:tl2br w:val="nil"/>
              <w:tr2bl w:val="nil"/>
            </w:tcBorders>
            <w:vAlign w:val="center"/>
          </w:tcPr>
          <w:p>
            <w:pPr>
              <w:jc w:val="center"/>
              <w:rPr>
                <w:rFonts w:hint="eastAsia" w:ascii="Times New Roman" w:hAnsi="Times New Roman" w:eastAsia="宋体" w:cs="Times New Roman"/>
                <w:snapToGrid w:val="0"/>
                <w:color w:val="000000"/>
                <w:kern w:val="0"/>
                <w:sz w:val="20"/>
                <w:szCs w:val="20"/>
                <w:lang w:val="en-US" w:eastAsia="en-US" w:bidi="ar-SA"/>
              </w:rPr>
            </w:pPr>
            <w:r>
              <w:rPr>
                <w:rFonts w:hint="eastAsia" w:ascii="Times New Roman" w:hAnsi="Times New Roman" w:eastAsia="宋体" w:cs="Times New Roman"/>
                <w:sz w:val="20"/>
                <w:szCs w:val="20"/>
                <w:lang w:val="en-US" w:eastAsia="zh-CN"/>
              </w:rPr>
              <w:t>5</w:t>
            </w:r>
          </w:p>
        </w:tc>
        <w:tc>
          <w:tcPr>
            <w:tcW w:w="67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w:t>
            </w:r>
            <w:r>
              <w:rPr>
                <w:rFonts w:hint="eastAsia" w:ascii="Times New Roman" w:hAnsi="Times New Roman" w:eastAsia="宋体" w:cs="Times New Roman"/>
                <w:sz w:val="20"/>
                <w:szCs w:val="20"/>
                <w:lang w:val="en-US" w:eastAsia="zh-CN"/>
              </w:rPr>
              <w:t>6</w:t>
            </w:r>
            <w:r>
              <w:rPr>
                <w:rFonts w:hint="default" w:ascii="Times New Roman" w:hAnsi="Times New Roman" w:eastAsia="宋体" w:cs="Times New Roman"/>
                <w:sz w:val="20"/>
                <w:szCs w:val="20"/>
              </w:rPr>
              <w:t>0</w:t>
            </w:r>
          </w:p>
        </w:tc>
        <w:tc>
          <w:tcPr>
            <w:tcW w:w="80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60</w:t>
            </w:r>
          </w:p>
        </w:tc>
        <w:tc>
          <w:tcPr>
            <w:tcW w:w="60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4"/>
                <w:sz w:val="20"/>
                <w:szCs w:val="20"/>
              </w:rPr>
              <w:t>间歇</w:t>
            </w:r>
          </w:p>
        </w:tc>
        <w:tc>
          <w:tcPr>
            <w:tcW w:w="75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rPr>
              <w:t>厂区自</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rPr>
              <w:t>建污水</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z w:val="20"/>
                <w:szCs w:val="20"/>
              </w:rPr>
              <w:t>站</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41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02" w:type="dxa"/>
            <w:vMerge w:val="continue"/>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p>
        </w:tc>
        <w:tc>
          <w:tcPr>
            <w:tcW w:w="120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napToGrid w:val="0"/>
                <w:color w:val="000000"/>
                <w:kern w:val="0"/>
                <w:sz w:val="20"/>
                <w:szCs w:val="20"/>
                <w:lang w:val="en-US" w:eastAsia="zh-CN" w:bidi="ar-SA"/>
              </w:rPr>
            </w:pPr>
            <w:r>
              <w:rPr>
                <w:spacing w:val="7"/>
                <w:sz w:val="20"/>
                <w:szCs w:val="20"/>
              </w:rPr>
              <w:t>屠宰</w:t>
            </w:r>
            <w:r>
              <w:rPr>
                <w:rFonts w:hint="eastAsia"/>
                <w:spacing w:val="7"/>
                <w:sz w:val="20"/>
                <w:szCs w:val="20"/>
                <w:lang w:eastAsia="zh-CN"/>
              </w:rPr>
              <w:t>废水</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1"/>
                <w:sz w:val="20"/>
                <w:szCs w:val="20"/>
                <w:lang w:val="en-US" w:eastAsia="zh-CN"/>
              </w:rPr>
              <w:t>246.9</w:t>
            </w:r>
          </w:p>
        </w:tc>
        <w:tc>
          <w:tcPr>
            <w:tcW w:w="72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2000</w:t>
            </w:r>
          </w:p>
        </w:tc>
        <w:tc>
          <w:tcPr>
            <w:tcW w:w="737"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900</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1000</w:t>
            </w:r>
          </w:p>
        </w:tc>
        <w:tc>
          <w:tcPr>
            <w:tcW w:w="623"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100</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highlight w:val="none"/>
                <w:lang w:val="en-US" w:eastAsia="en-US" w:bidi="ar-SA"/>
              </w:rPr>
            </w:pPr>
            <w:r>
              <w:rPr>
                <w:rFonts w:hint="eastAsia" w:ascii="Times New Roman" w:hAnsi="Times New Roman" w:eastAsia="宋体" w:cs="Times New Roman"/>
                <w:sz w:val="20"/>
                <w:szCs w:val="20"/>
                <w:highlight w:val="none"/>
                <w:lang w:val="en-US" w:eastAsia="zh-CN"/>
              </w:rPr>
              <w:t>12</w:t>
            </w:r>
          </w:p>
        </w:tc>
        <w:tc>
          <w:tcPr>
            <w:tcW w:w="67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highlight w:val="none"/>
                <w:lang w:val="en-US" w:eastAsia="en-US" w:bidi="ar-SA"/>
              </w:rPr>
            </w:pPr>
            <w:r>
              <w:rPr>
                <w:rFonts w:hint="eastAsia" w:ascii="Times New Roman" w:hAnsi="Times New Roman" w:eastAsia="宋体" w:cs="Times New Roman"/>
                <w:sz w:val="20"/>
                <w:szCs w:val="20"/>
                <w:highlight w:val="none"/>
                <w:lang w:val="en-US" w:eastAsia="zh-CN"/>
              </w:rPr>
              <w:t>210</w:t>
            </w:r>
          </w:p>
        </w:tc>
        <w:tc>
          <w:tcPr>
            <w:tcW w:w="80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150</w:t>
            </w:r>
          </w:p>
        </w:tc>
        <w:tc>
          <w:tcPr>
            <w:tcW w:w="60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4"/>
                <w:sz w:val="20"/>
                <w:szCs w:val="20"/>
              </w:rPr>
              <w:t>间歇</w:t>
            </w:r>
          </w:p>
        </w:tc>
        <w:tc>
          <w:tcPr>
            <w:tcW w:w="7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41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0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c>
          <w:tcPr>
            <w:tcW w:w="120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7"/>
                <w:sz w:val="20"/>
                <w:szCs w:val="20"/>
              </w:rPr>
              <w:t>检验废水</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snapToGrid w:val="0"/>
                <w:color w:val="000000"/>
                <w:kern w:val="0"/>
                <w:sz w:val="20"/>
                <w:szCs w:val="20"/>
                <w:lang w:val="en-US" w:eastAsia="zh-CN" w:bidi="ar-SA"/>
              </w:rPr>
            </w:pPr>
            <w:r>
              <w:rPr>
                <w:rFonts w:ascii="Times New Roman" w:hAnsi="Times New Roman" w:eastAsia="Times New Roman" w:cs="Times New Roman"/>
                <w:spacing w:val="2"/>
                <w:sz w:val="20"/>
                <w:szCs w:val="20"/>
              </w:rPr>
              <w:t>0.09</w:t>
            </w:r>
          </w:p>
        </w:tc>
        <w:tc>
          <w:tcPr>
            <w:tcW w:w="72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300</w:t>
            </w:r>
          </w:p>
        </w:tc>
        <w:tc>
          <w:tcPr>
            <w:tcW w:w="737"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180</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200</w:t>
            </w:r>
          </w:p>
        </w:tc>
        <w:tc>
          <w:tcPr>
            <w:tcW w:w="623"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30</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w:t>
            </w:r>
          </w:p>
        </w:tc>
        <w:tc>
          <w:tcPr>
            <w:tcW w:w="67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w:t>
            </w:r>
          </w:p>
        </w:tc>
        <w:tc>
          <w:tcPr>
            <w:tcW w:w="80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30</w:t>
            </w:r>
          </w:p>
        </w:tc>
        <w:tc>
          <w:tcPr>
            <w:tcW w:w="60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4"/>
                <w:sz w:val="20"/>
                <w:szCs w:val="20"/>
              </w:rPr>
              <w:t>间歇</w:t>
            </w:r>
          </w:p>
        </w:tc>
        <w:tc>
          <w:tcPr>
            <w:tcW w:w="7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41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0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c>
          <w:tcPr>
            <w:tcW w:w="120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napToGrid w:val="0"/>
                <w:color w:val="000000"/>
                <w:kern w:val="0"/>
                <w:sz w:val="20"/>
                <w:szCs w:val="20"/>
                <w:lang w:val="en-US" w:eastAsia="zh-CN" w:bidi="ar-SA"/>
              </w:rPr>
            </w:pPr>
            <w:r>
              <w:rPr>
                <w:spacing w:val="7"/>
                <w:sz w:val="20"/>
                <w:szCs w:val="20"/>
              </w:rPr>
              <w:t>车辆冲洗废</w:t>
            </w:r>
            <w:r>
              <w:rPr>
                <w:sz w:val="20"/>
                <w:szCs w:val="20"/>
              </w:rPr>
              <w:t>水</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pacing w:val="-3"/>
                <w:sz w:val="20"/>
                <w:szCs w:val="20"/>
                <w:lang w:val="en-US" w:eastAsia="zh-CN"/>
              </w:rPr>
              <w:t>0.44</w:t>
            </w:r>
          </w:p>
        </w:tc>
        <w:tc>
          <w:tcPr>
            <w:tcW w:w="72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1200</w:t>
            </w:r>
          </w:p>
        </w:tc>
        <w:tc>
          <w:tcPr>
            <w:tcW w:w="737"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550</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550</w:t>
            </w:r>
          </w:p>
        </w:tc>
        <w:tc>
          <w:tcPr>
            <w:tcW w:w="623"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20</w:t>
            </w:r>
          </w:p>
        </w:tc>
        <w:tc>
          <w:tcPr>
            <w:tcW w:w="701" w:type="dxa"/>
            <w:tcBorders>
              <w:tl2br w:val="nil"/>
              <w:tr2bl w:val="nil"/>
            </w:tcBorders>
            <w:vAlign w:val="center"/>
          </w:tcPr>
          <w:p>
            <w:pPr>
              <w:jc w:val="center"/>
              <w:rPr>
                <w:rFonts w:hint="eastAsia" w:ascii="Times New Roman" w:hAnsi="Times New Roman" w:eastAsia="宋体" w:cs="Times New Roman"/>
                <w:snapToGrid w:val="0"/>
                <w:color w:val="000000"/>
                <w:kern w:val="0"/>
                <w:sz w:val="20"/>
                <w:szCs w:val="20"/>
                <w:lang w:val="en-US" w:eastAsia="en-US" w:bidi="ar-SA"/>
              </w:rPr>
            </w:pPr>
            <w:r>
              <w:rPr>
                <w:rFonts w:hint="eastAsia" w:ascii="Times New Roman" w:hAnsi="Times New Roman" w:eastAsia="宋体" w:cs="Times New Roman"/>
                <w:sz w:val="20"/>
                <w:szCs w:val="20"/>
                <w:lang w:val="en-US" w:eastAsia="zh-CN"/>
              </w:rPr>
              <w:t>6</w:t>
            </w:r>
          </w:p>
        </w:tc>
        <w:tc>
          <w:tcPr>
            <w:tcW w:w="67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w:t>
            </w:r>
            <w:r>
              <w:rPr>
                <w:rFonts w:hint="eastAsia" w:ascii="Times New Roman" w:hAnsi="Times New Roman" w:eastAsia="宋体" w:cs="Times New Roman"/>
                <w:sz w:val="20"/>
                <w:szCs w:val="20"/>
                <w:lang w:val="en-US" w:eastAsia="zh-CN"/>
              </w:rPr>
              <w:t>1</w:t>
            </w:r>
            <w:r>
              <w:rPr>
                <w:rFonts w:hint="default" w:ascii="Times New Roman" w:hAnsi="Times New Roman" w:eastAsia="宋体" w:cs="Times New Roman"/>
                <w:sz w:val="20"/>
                <w:szCs w:val="20"/>
              </w:rPr>
              <w:t>0</w:t>
            </w:r>
          </w:p>
        </w:tc>
        <w:tc>
          <w:tcPr>
            <w:tcW w:w="80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15</w:t>
            </w:r>
          </w:p>
        </w:tc>
        <w:tc>
          <w:tcPr>
            <w:tcW w:w="60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4"/>
                <w:sz w:val="20"/>
                <w:szCs w:val="20"/>
              </w:rPr>
              <w:t>间歇</w:t>
            </w:r>
          </w:p>
        </w:tc>
        <w:tc>
          <w:tcPr>
            <w:tcW w:w="7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41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0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3"/>
                <w:sz w:val="20"/>
                <w:szCs w:val="20"/>
              </w:rPr>
              <w:t>生活</w:t>
            </w:r>
            <w:r>
              <w:rPr>
                <w:sz w:val="20"/>
                <w:szCs w:val="20"/>
              </w:rPr>
              <w:t xml:space="preserve"> </w:t>
            </w:r>
            <w:r>
              <w:rPr>
                <w:spacing w:val="3"/>
                <w:sz w:val="20"/>
                <w:szCs w:val="20"/>
              </w:rPr>
              <w:t>污水</w:t>
            </w:r>
          </w:p>
        </w:tc>
        <w:tc>
          <w:tcPr>
            <w:tcW w:w="120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7"/>
                <w:sz w:val="20"/>
                <w:szCs w:val="20"/>
              </w:rPr>
              <w:t>职工生活</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000000"/>
                <w:kern w:val="0"/>
                <w:sz w:val="20"/>
                <w:szCs w:val="20"/>
                <w:lang w:val="en-US" w:eastAsia="en-US" w:bidi="ar-SA"/>
              </w:rPr>
            </w:pPr>
            <w:r>
              <w:rPr>
                <w:rFonts w:hint="eastAsia" w:ascii="Times New Roman" w:hAnsi="Times New Roman" w:eastAsia="宋体" w:cs="Times New Roman"/>
                <w:sz w:val="20"/>
                <w:szCs w:val="20"/>
                <w:lang w:val="en-US" w:eastAsia="zh-CN"/>
              </w:rPr>
              <w:t>4</w:t>
            </w:r>
          </w:p>
        </w:tc>
        <w:tc>
          <w:tcPr>
            <w:tcW w:w="72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300</w:t>
            </w:r>
          </w:p>
        </w:tc>
        <w:tc>
          <w:tcPr>
            <w:tcW w:w="737"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180</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200</w:t>
            </w:r>
          </w:p>
        </w:tc>
        <w:tc>
          <w:tcPr>
            <w:tcW w:w="623"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30</w:t>
            </w:r>
          </w:p>
        </w:tc>
        <w:tc>
          <w:tcPr>
            <w:tcW w:w="701" w:type="dxa"/>
            <w:tcBorders>
              <w:tl2br w:val="nil"/>
              <w:tr2bl w:val="nil"/>
            </w:tcBorders>
            <w:vAlign w:val="center"/>
          </w:tcPr>
          <w:p>
            <w:pPr>
              <w:jc w:val="center"/>
              <w:rPr>
                <w:rFonts w:hint="eastAsia" w:ascii="Times New Roman" w:hAnsi="Times New Roman" w:eastAsia="宋体" w:cs="Times New Roman"/>
                <w:snapToGrid w:val="0"/>
                <w:color w:val="000000"/>
                <w:kern w:val="0"/>
                <w:sz w:val="20"/>
                <w:szCs w:val="20"/>
                <w:lang w:val="en-US" w:eastAsia="en-US" w:bidi="ar-SA"/>
              </w:rPr>
            </w:pPr>
            <w:r>
              <w:rPr>
                <w:rFonts w:hint="eastAsia" w:ascii="Times New Roman" w:hAnsi="Times New Roman" w:eastAsia="宋体" w:cs="Times New Roman"/>
                <w:sz w:val="20"/>
                <w:szCs w:val="20"/>
                <w:lang w:val="en-US" w:eastAsia="zh-CN"/>
              </w:rPr>
              <w:t>5</w:t>
            </w:r>
          </w:p>
        </w:tc>
        <w:tc>
          <w:tcPr>
            <w:tcW w:w="67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eastAsia" w:ascii="Times New Roman" w:hAnsi="Times New Roman" w:eastAsia="宋体" w:cs="Times New Roman"/>
                <w:sz w:val="20"/>
                <w:szCs w:val="20"/>
                <w:lang w:val="en-US" w:eastAsia="zh-CN"/>
              </w:rPr>
              <w:t>40</w:t>
            </w:r>
          </w:p>
        </w:tc>
        <w:tc>
          <w:tcPr>
            <w:tcW w:w="80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z w:val="20"/>
                <w:szCs w:val="20"/>
              </w:rPr>
              <w:t>30</w:t>
            </w:r>
          </w:p>
        </w:tc>
        <w:tc>
          <w:tcPr>
            <w:tcW w:w="60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0"/>
                <w:szCs w:val="20"/>
                <w:lang w:val="en-US" w:eastAsia="en-US" w:bidi="ar-SA"/>
              </w:rPr>
            </w:pPr>
            <w:r>
              <w:rPr>
                <w:spacing w:val="-4"/>
                <w:sz w:val="20"/>
                <w:szCs w:val="20"/>
              </w:rPr>
              <w:t>间歇</w:t>
            </w:r>
          </w:p>
        </w:tc>
        <w:tc>
          <w:tcPr>
            <w:tcW w:w="7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2223"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7"/>
                <w:sz w:val="20"/>
                <w:szCs w:val="20"/>
              </w:rPr>
              <w:t>混合后废水</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255.54</w:t>
            </w:r>
          </w:p>
        </w:tc>
        <w:tc>
          <w:tcPr>
            <w:tcW w:w="725"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z w:val="21"/>
                <w:szCs w:val="21"/>
              </w:rPr>
              <w:t>19</w:t>
            </w:r>
            <w:r>
              <w:rPr>
                <w:rFonts w:hint="eastAsia" w:ascii="Times New Roman" w:hAnsi="Times New Roman" w:eastAsia="宋体" w:cs="Times New Roman"/>
                <w:sz w:val="21"/>
                <w:szCs w:val="21"/>
                <w:lang w:val="en-US" w:eastAsia="zh-CN"/>
              </w:rPr>
              <w:t>18</w:t>
            </w:r>
          </w:p>
        </w:tc>
        <w:tc>
          <w:tcPr>
            <w:tcW w:w="737" w:type="dxa"/>
            <w:tcBorders>
              <w:tl2br w:val="nil"/>
              <w:tr2bl w:val="nil"/>
            </w:tcBorders>
            <w:vAlign w:val="center"/>
          </w:tcPr>
          <w:p>
            <w:pPr>
              <w:jc w:val="center"/>
              <w:rPr>
                <w:rFonts w:hint="eastAsia"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z w:val="21"/>
                <w:szCs w:val="21"/>
              </w:rPr>
              <w:t>86</w:t>
            </w:r>
            <w:r>
              <w:rPr>
                <w:rFonts w:hint="eastAsia" w:ascii="Times New Roman" w:hAnsi="Times New Roman" w:eastAsia="宋体" w:cs="Times New Roman"/>
                <w:sz w:val="21"/>
                <w:szCs w:val="21"/>
                <w:lang w:val="en-US" w:eastAsia="zh-CN"/>
              </w:rPr>
              <w:t>8</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z w:val="21"/>
                <w:szCs w:val="21"/>
              </w:rPr>
              <w:t>9</w:t>
            </w:r>
            <w:r>
              <w:rPr>
                <w:rFonts w:hint="eastAsia" w:ascii="Times New Roman" w:hAnsi="Times New Roman" w:eastAsia="宋体" w:cs="Times New Roman"/>
                <w:sz w:val="21"/>
                <w:szCs w:val="21"/>
                <w:lang w:val="en-US" w:eastAsia="zh-CN"/>
              </w:rPr>
              <w:t>63</w:t>
            </w:r>
          </w:p>
        </w:tc>
        <w:tc>
          <w:tcPr>
            <w:tcW w:w="623" w:type="dxa"/>
            <w:tcBorders>
              <w:tl2br w:val="nil"/>
              <w:tr2bl w:val="nil"/>
            </w:tcBorders>
            <w:vAlign w:val="center"/>
          </w:tcPr>
          <w:p>
            <w:pPr>
              <w:jc w:val="center"/>
              <w:rPr>
                <w:rFonts w:hint="eastAsia"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z w:val="21"/>
                <w:szCs w:val="21"/>
              </w:rPr>
              <w:t>9</w:t>
            </w:r>
            <w:r>
              <w:rPr>
                <w:rFonts w:hint="eastAsia" w:ascii="Times New Roman" w:hAnsi="Times New Roman" w:eastAsia="宋体" w:cs="Times New Roman"/>
                <w:sz w:val="21"/>
                <w:szCs w:val="21"/>
                <w:lang w:val="en-US" w:eastAsia="zh-CN"/>
              </w:rPr>
              <w:t>6</w:t>
            </w:r>
          </w:p>
        </w:tc>
        <w:tc>
          <w:tcPr>
            <w:tcW w:w="701"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1"/>
                <w:szCs w:val="21"/>
                <w:lang w:val="en-US" w:eastAsia="zh-CN"/>
              </w:rPr>
              <w:t>11.6</w:t>
            </w:r>
          </w:p>
        </w:tc>
        <w:tc>
          <w:tcPr>
            <w:tcW w:w="67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1"/>
                <w:szCs w:val="21"/>
                <w:lang w:val="en-US" w:eastAsia="zh-CN"/>
              </w:rPr>
              <w:t>204</w:t>
            </w:r>
          </w:p>
        </w:tc>
        <w:tc>
          <w:tcPr>
            <w:tcW w:w="804"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44</w:t>
            </w:r>
          </w:p>
        </w:tc>
        <w:tc>
          <w:tcPr>
            <w:tcW w:w="60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7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2223"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8"/>
                <w:sz w:val="20"/>
                <w:szCs w:val="20"/>
              </w:rPr>
              <w:t>污水站外排口废水</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255.54</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222</w:t>
            </w:r>
          </w:p>
        </w:tc>
        <w:tc>
          <w:tcPr>
            <w:tcW w:w="73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ascii="Times New Roman" w:hAnsi="Times New Roman" w:eastAsia="Times New Roman" w:cs="Times New Roman"/>
                <w:sz w:val="20"/>
                <w:szCs w:val="20"/>
              </w:rPr>
              <w:t>10</w:t>
            </w:r>
            <w:r>
              <w:rPr>
                <w:rFonts w:hint="eastAsia" w:ascii="Times New Roman" w:hAnsi="Times New Roman" w:eastAsia="宋体" w:cs="Times New Roman"/>
                <w:sz w:val="20"/>
                <w:szCs w:val="20"/>
                <w:lang w:val="en-US" w:eastAsia="zh-CN"/>
              </w:rPr>
              <w:t>4</w:t>
            </w:r>
          </w:p>
        </w:tc>
        <w:tc>
          <w:tcPr>
            <w:tcW w:w="7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9</w:t>
            </w:r>
            <w:r>
              <w:rPr>
                <w:rFonts w:hint="eastAsia" w:ascii="Times New Roman" w:hAnsi="Times New Roman" w:eastAsia="宋体" w:cs="Times New Roman"/>
                <w:spacing w:val="3"/>
                <w:sz w:val="20"/>
                <w:szCs w:val="20"/>
                <w:lang w:val="en-US" w:eastAsia="zh-CN"/>
              </w:rPr>
              <w:t>2.4</w:t>
            </w:r>
          </w:p>
        </w:tc>
        <w:tc>
          <w:tcPr>
            <w:tcW w:w="62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1"/>
                <w:sz w:val="20"/>
                <w:szCs w:val="20"/>
              </w:rPr>
              <w:t>1</w:t>
            </w:r>
            <w:r>
              <w:rPr>
                <w:rFonts w:hint="eastAsia" w:ascii="Times New Roman" w:hAnsi="Times New Roman" w:eastAsia="宋体" w:cs="Times New Roman"/>
                <w:spacing w:val="-1"/>
                <w:sz w:val="20"/>
                <w:szCs w:val="20"/>
                <w:lang w:val="en-US" w:eastAsia="zh-CN"/>
              </w:rPr>
              <w:t>8.2</w:t>
            </w:r>
          </w:p>
        </w:tc>
        <w:tc>
          <w:tcPr>
            <w:tcW w:w="7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ascii="Times New Roman" w:hAnsi="Times New Roman" w:eastAsia="Times New Roman" w:cs="Times New Roman"/>
                <w:spacing w:val="-2"/>
                <w:sz w:val="20"/>
                <w:szCs w:val="20"/>
              </w:rPr>
              <w:t>1.</w:t>
            </w:r>
            <w:r>
              <w:rPr>
                <w:rFonts w:hint="eastAsia" w:ascii="Times New Roman" w:hAnsi="Times New Roman" w:eastAsia="宋体" w:cs="Times New Roman"/>
                <w:spacing w:val="-2"/>
                <w:sz w:val="20"/>
                <w:szCs w:val="20"/>
                <w:lang w:val="en-US" w:eastAsia="zh-CN"/>
              </w:rPr>
              <w:t>8</w:t>
            </w:r>
          </w:p>
        </w:tc>
        <w:tc>
          <w:tcPr>
            <w:tcW w:w="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1"/>
                <w:sz w:val="20"/>
                <w:szCs w:val="20"/>
                <w:lang w:val="en-US" w:eastAsia="zh-CN"/>
              </w:rPr>
              <w:t>30.6</w:t>
            </w:r>
          </w:p>
        </w:tc>
        <w:tc>
          <w:tcPr>
            <w:tcW w:w="80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2</w:t>
            </w:r>
            <w:r>
              <w:rPr>
                <w:rFonts w:hint="eastAsia" w:ascii="Times New Roman" w:hAnsi="Times New Roman" w:eastAsia="宋体" w:cs="Times New Roman"/>
                <w:spacing w:val="3"/>
                <w:sz w:val="20"/>
                <w:szCs w:val="20"/>
                <w:lang w:val="en-US" w:eastAsia="zh-CN"/>
              </w:rPr>
              <w:t>7.2</w:t>
            </w:r>
          </w:p>
        </w:tc>
        <w:tc>
          <w:tcPr>
            <w:tcW w:w="60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75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hint="eastAsia"/>
                <w:spacing w:val="6"/>
                <w:sz w:val="20"/>
                <w:szCs w:val="20"/>
                <w:lang w:eastAsia="zh-CN"/>
              </w:rPr>
              <w:t>叶县县城</w:t>
            </w:r>
            <w:r>
              <w:rPr>
                <w:spacing w:val="6"/>
                <w:sz w:val="20"/>
                <w:szCs w:val="20"/>
              </w:rPr>
              <w:t>污水处</w:t>
            </w:r>
            <w:r>
              <w:rPr>
                <w:spacing w:val="3"/>
                <w:sz w:val="20"/>
                <w:szCs w:val="20"/>
              </w:rPr>
              <w:t>理厂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2223"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8"/>
                <w:sz w:val="20"/>
                <w:szCs w:val="20"/>
              </w:rPr>
              <w:t>《肉类加工工业水污</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rPr>
              <w:t>染物排放标准》</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2"/>
                <w:sz w:val="20"/>
                <w:szCs w:val="20"/>
              </w:rPr>
              <w:t>（</w:t>
            </w:r>
            <w:r>
              <w:rPr>
                <w:rFonts w:ascii="Times New Roman" w:hAnsi="Times New Roman" w:eastAsia="Times New Roman" w:cs="Times New Roman"/>
                <w:spacing w:val="-2"/>
                <w:sz w:val="20"/>
                <w:szCs w:val="20"/>
              </w:rPr>
              <w:t>GB13457-92</w:t>
            </w:r>
            <w:r>
              <w:rPr>
                <w:spacing w:val="-2"/>
                <w:sz w:val="20"/>
                <w:szCs w:val="20"/>
              </w:rPr>
              <w:t>）表</w:t>
            </w:r>
            <w:r>
              <w:rPr>
                <w:rFonts w:ascii="Times New Roman" w:hAnsi="Times New Roman" w:eastAsia="Times New Roman" w:cs="Times New Roman"/>
                <w:spacing w:val="-2"/>
                <w:sz w:val="20"/>
                <w:szCs w:val="20"/>
              </w:rPr>
              <w:t>3</w:t>
            </w:r>
            <w:r>
              <w:rPr>
                <w:spacing w:val="-2"/>
                <w:sz w:val="20"/>
                <w:szCs w:val="20"/>
              </w:rPr>
              <w:t>中</w:t>
            </w:r>
            <w:r>
              <w:rPr>
                <w:spacing w:val="7"/>
                <w:sz w:val="20"/>
                <w:szCs w:val="20"/>
              </w:rPr>
              <w:t>三级标准</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10"/>
                <w:position w:val="-2"/>
                <w:sz w:val="20"/>
                <w:szCs w:val="20"/>
                <w:lang w:val="en-US" w:eastAsia="zh-CN"/>
              </w:rPr>
              <w:t>/</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73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7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62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0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0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10"/>
                <w:position w:val="-2"/>
                <w:sz w:val="20"/>
                <w:szCs w:val="20"/>
                <w:lang w:val="en-US" w:eastAsia="zh-CN"/>
              </w:rPr>
              <w:t>/</w:t>
            </w:r>
          </w:p>
        </w:tc>
        <w:tc>
          <w:tcPr>
            <w:tcW w:w="7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2223"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hint="eastAsia"/>
                <w:spacing w:val="8"/>
                <w:sz w:val="20"/>
                <w:szCs w:val="20"/>
                <w:lang w:eastAsia="zh-CN"/>
              </w:rPr>
              <w:t>叶县县城污水处理厂</w:t>
            </w:r>
            <w:r>
              <w:rPr>
                <w:spacing w:val="8"/>
                <w:sz w:val="20"/>
                <w:szCs w:val="20"/>
              </w:rPr>
              <w:t>纳</w:t>
            </w:r>
            <w:r>
              <w:rPr>
                <w:spacing w:val="7"/>
                <w:sz w:val="20"/>
                <w:szCs w:val="20"/>
              </w:rPr>
              <w:t xml:space="preserve"> </w:t>
            </w:r>
            <w:r>
              <w:rPr>
                <w:spacing w:val="5"/>
                <w:sz w:val="20"/>
                <w:szCs w:val="20"/>
              </w:rPr>
              <w:t>管标准</w:t>
            </w: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10"/>
                <w:position w:val="-2"/>
                <w:sz w:val="20"/>
                <w:szCs w:val="20"/>
                <w:lang w:val="en-US" w:eastAsia="zh-CN"/>
              </w:rPr>
              <w:t>/</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1"/>
                <w:sz w:val="20"/>
                <w:szCs w:val="20"/>
                <w:lang w:val="en-US" w:eastAsia="zh-CN"/>
              </w:rPr>
              <w:t>350</w:t>
            </w:r>
          </w:p>
        </w:tc>
        <w:tc>
          <w:tcPr>
            <w:tcW w:w="73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2"/>
                <w:sz w:val="20"/>
                <w:szCs w:val="20"/>
                <w:lang w:val="en-US" w:eastAsia="zh-CN"/>
              </w:rPr>
              <w:t>16</w:t>
            </w:r>
            <w:r>
              <w:rPr>
                <w:rFonts w:ascii="Times New Roman" w:hAnsi="Times New Roman" w:eastAsia="Times New Roman" w:cs="Times New Roman"/>
                <w:spacing w:val="2"/>
                <w:sz w:val="20"/>
                <w:szCs w:val="20"/>
              </w:rPr>
              <w:t>0</w:t>
            </w:r>
          </w:p>
        </w:tc>
        <w:tc>
          <w:tcPr>
            <w:tcW w:w="7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3"/>
                <w:sz w:val="20"/>
                <w:szCs w:val="20"/>
                <w:lang w:val="en-US" w:eastAsia="zh-CN"/>
              </w:rPr>
              <w:t>180</w:t>
            </w:r>
          </w:p>
        </w:tc>
        <w:tc>
          <w:tcPr>
            <w:tcW w:w="62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ascii="Times New Roman" w:hAnsi="Times New Roman" w:eastAsia="Times New Roman" w:cs="Times New Roman"/>
                <w:sz w:val="20"/>
                <w:szCs w:val="20"/>
              </w:rPr>
              <w:t>3</w:t>
            </w:r>
            <w:r>
              <w:rPr>
                <w:rFonts w:hint="eastAsia" w:ascii="Times New Roman" w:hAnsi="Times New Roman" w:eastAsia="宋体" w:cs="Times New Roman"/>
                <w:sz w:val="20"/>
                <w:szCs w:val="20"/>
                <w:lang w:val="en-US" w:eastAsia="zh-CN"/>
              </w:rPr>
              <w:t>0</w:t>
            </w:r>
          </w:p>
        </w:tc>
        <w:tc>
          <w:tcPr>
            <w:tcW w:w="70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2"/>
                <w:sz w:val="20"/>
                <w:szCs w:val="20"/>
                <w:lang w:val="en-US" w:eastAsia="zh-CN"/>
              </w:rPr>
              <w:t>4</w:t>
            </w:r>
          </w:p>
        </w:tc>
        <w:tc>
          <w:tcPr>
            <w:tcW w:w="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2"/>
                <w:sz w:val="20"/>
                <w:szCs w:val="20"/>
                <w:lang w:val="en-US" w:eastAsia="zh-CN"/>
              </w:rPr>
              <w:t>40</w:t>
            </w:r>
          </w:p>
        </w:tc>
        <w:tc>
          <w:tcPr>
            <w:tcW w:w="80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0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10"/>
                <w:position w:val="-2"/>
                <w:sz w:val="20"/>
                <w:szCs w:val="20"/>
                <w:lang w:val="en-US" w:eastAsia="zh-CN"/>
              </w:rPr>
              <w:t>/</w:t>
            </w:r>
          </w:p>
        </w:tc>
        <w:tc>
          <w:tcPr>
            <w:tcW w:w="7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0"/>
                <w:szCs w:val="20"/>
              </w:rPr>
            </w:pPr>
          </w:p>
        </w:tc>
      </w:tr>
    </w:tbl>
    <w:p>
      <w:pPr>
        <w:keepNext w:val="0"/>
        <w:keepLines w:val="0"/>
        <w:pageBreakBefore w:val="0"/>
        <w:widowControl/>
        <w:kinsoku/>
        <w:wordWrap/>
        <w:overflowPunct/>
        <w:topLinePunct w:val="0"/>
        <w:autoSpaceDE w:val="0"/>
        <w:autoSpaceDN w:val="0"/>
        <w:bidi w:val="0"/>
        <w:adjustRightInd w:val="0"/>
        <w:snapToGrid w:val="0"/>
        <w:spacing w:before="129" w:line="384" w:lineRule="auto"/>
        <w:ind w:left="68" w:right="130" w:firstLine="482"/>
        <w:jc w:val="both"/>
        <w:textAlignment w:val="baseline"/>
        <w:rPr>
          <w:rFonts w:ascii="宋体" w:hAnsi="宋体" w:eastAsia="宋体" w:cs="宋体"/>
          <w:sz w:val="24"/>
          <w:szCs w:val="24"/>
        </w:rPr>
      </w:pPr>
      <w:r>
        <w:rPr>
          <w:rFonts w:ascii="宋体" w:hAnsi="宋体" w:eastAsia="宋体" w:cs="宋体"/>
          <w:spacing w:val="2"/>
          <w:sz w:val="24"/>
          <w:szCs w:val="24"/>
        </w:rPr>
        <w:t>根据工程污染因素分析的相关内容可知：本工程废水主要包括生活污水、生产废水，经厂内拟建污水处理站进行处理，处理后主要污染物排放浓度为</w:t>
      </w:r>
      <w:r>
        <w:rPr>
          <w:rFonts w:ascii="Times New Roman" w:hAnsi="Times New Roman" w:eastAsia="Times New Roman" w:cs="Times New Roman"/>
          <w:spacing w:val="-4"/>
          <w:sz w:val="24"/>
          <w:szCs w:val="24"/>
          <w:highlight w:val="none"/>
        </w:rPr>
        <w:t>COD</w:t>
      </w:r>
      <w:r>
        <w:rPr>
          <w:rFonts w:hint="eastAsia" w:ascii="Times New Roman" w:hAnsi="Times New Roman" w:eastAsia="宋体" w:cs="Times New Roman"/>
          <w:spacing w:val="-4"/>
          <w:sz w:val="24"/>
          <w:szCs w:val="24"/>
          <w:highlight w:val="none"/>
          <w:lang w:val="en-US" w:eastAsia="zh-CN"/>
        </w:rPr>
        <w:t xml:space="preserve"> </w:t>
      </w:r>
      <w:r>
        <w:rPr>
          <w:rFonts w:ascii="Times New Roman" w:hAnsi="Times New Roman" w:eastAsia="Times New Roman" w:cs="Times New Roman"/>
          <w:spacing w:val="-4"/>
          <w:sz w:val="24"/>
          <w:szCs w:val="24"/>
          <w:highlight w:val="none"/>
        </w:rPr>
        <w:t>222.2mg/L</w:t>
      </w:r>
      <w:r>
        <w:rPr>
          <w:rFonts w:ascii="宋体" w:hAnsi="宋体" w:eastAsia="宋体" w:cs="宋体"/>
          <w:spacing w:val="-4"/>
          <w:sz w:val="24"/>
          <w:szCs w:val="24"/>
          <w:highlight w:val="none"/>
        </w:rPr>
        <w:t>、</w:t>
      </w:r>
      <w:r>
        <w:rPr>
          <w:rFonts w:ascii="Times New Roman" w:hAnsi="Times New Roman" w:eastAsia="Times New Roman" w:cs="Times New Roman"/>
          <w:spacing w:val="-4"/>
          <w:sz w:val="24"/>
          <w:szCs w:val="24"/>
          <w:highlight w:val="none"/>
        </w:rPr>
        <w:t>BOD</w:t>
      </w:r>
      <w:r>
        <w:rPr>
          <w:rFonts w:ascii="Times New Roman" w:hAnsi="Times New Roman" w:eastAsia="Times New Roman" w:cs="Times New Roman"/>
          <w:spacing w:val="-4"/>
          <w:position w:val="-1"/>
          <w:sz w:val="15"/>
          <w:szCs w:val="15"/>
          <w:highlight w:val="none"/>
        </w:rPr>
        <w:t>5</w:t>
      </w:r>
      <w:r>
        <w:rPr>
          <w:rFonts w:hint="eastAsia" w:ascii="Times New Roman" w:hAnsi="Times New Roman" w:eastAsia="宋体" w:cs="Times New Roman"/>
          <w:spacing w:val="-4"/>
          <w:position w:val="-1"/>
          <w:sz w:val="15"/>
          <w:szCs w:val="15"/>
          <w:highlight w:val="none"/>
          <w:lang w:val="en-US" w:eastAsia="zh-CN"/>
        </w:rPr>
        <w:t xml:space="preserve"> </w:t>
      </w:r>
      <w:r>
        <w:rPr>
          <w:rFonts w:ascii="Times New Roman" w:hAnsi="Times New Roman" w:eastAsia="Times New Roman" w:cs="Times New Roman"/>
          <w:spacing w:val="-4"/>
          <w:sz w:val="24"/>
          <w:szCs w:val="24"/>
          <w:highlight w:val="none"/>
        </w:rPr>
        <w:t>10</w:t>
      </w:r>
      <w:r>
        <w:rPr>
          <w:rFonts w:hint="eastAsia" w:ascii="Times New Roman" w:hAnsi="Times New Roman" w:eastAsia="宋体" w:cs="Times New Roman"/>
          <w:spacing w:val="-4"/>
          <w:sz w:val="24"/>
          <w:szCs w:val="24"/>
          <w:highlight w:val="none"/>
          <w:lang w:val="en-US" w:eastAsia="zh-CN"/>
        </w:rPr>
        <w:t>4</w:t>
      </w:r>
      <w:r>
        <w:rPr>
          <w:rFonts w:ascii="Times New Roman" w:hAnsi="Times New Roman" w:eastAsia="Times New Roman" w:cs="Times New Roman"/>
          <w:spacing w:val="-4"/>
          <w:sz w:val="24"/>
          <w:szCs w:val="24"/>
          <w:highlight w:val="none"/>
        </w:rPr>
        <w:t>mg/L</w:t>
      </w:r>
      <w:r>
        <w:rPr>
          <w:rFonts w:ascii="宋体" w:hAnsi="宋体" w:eastAsia="宋体" w:cs="宋体"/>
          <w:spacing w:val="-4"/>
          <w:sz w:val="24"/>
          <w:szCs w:val="24"/>
          <w:highlight w:val="none"/>
        </w:rPr>
        <w:t>、</w:t>
      </w:r>
      <w:r>
        <w:rPr>
          <w:rFonts w:ascii="Times New Roman" w:hAnsi="Times New Roman" w:eastAsia="Times New Roman" w:cs="Times New Roman"/>
          <w:spacing w:val="-4"/>
          <w:sz w:val="24"/>
          <w:szCs w:val="24"/>
          <w:highlight w:val="none"/>
        </w:rPr>
        <w:t>SS</w:t>
      </w:r>
      <w:r>
        <w:rPr>
          <w:rFonts w:hint="eastAsia" w:ascii="Times New Roman" w:hAnsi="Times New Roman" w:eastAsia="宋体" w:cs="Times New Roman"/>
          <w:spacing w:val="-4"/>
          <w:sz w:val="24"/>
          <w:szCs w:val="24"/>
          <w:highlight w:val="none"/>
          <w:lang w:val="en-US" w:eastAsia="zh-CN"/>
        </w:rPr>
        <w:t xml:space="preserve"> </w:t>
      </w:r>
      <w:r>
        <w:rPr>
          <w:rFonts w:ascii="Times New Roman" w:hAnsi="Times New Roman" w:eastAsia="Times New Roman" w:cs="Times New Roman"/>
          <w:spacing w:val="-4"/>
          <w:sz w:val="24"/>
          <w:szCs w:val="24"/>
          <w:highlight w:val="none"/>
        </w:rPr>
        <w:t>9</w:t>
      </w:r>
      <w:r>
        <w:rPr>
          <w:rFonts w:hint="eastAsia" w:ascii="Times New Roman" w:hAnsi="Times New Roman" w:eastAsia="宋体" w:cs="Times New Roman"/>
          <w:spacing w:val="-4"/>
          <w:sz w:val="24"/>
          <w:szCs w:val="24"/>
          <w:highlight w:val="none"/>
          <w:lang w:val="en-US" w:eastAsia="zh-CN"/>
        </w:rPr>
        <w:t>2.4</w:t>
      </w:r>
      <w:r>
        <w:rPr>
          <w:rFonts w:ascii="Times New Roman" w:hAnsi="Times New Roman" w:eastAsia="Times New Roman" w:cs="Times New Roman"/>
          <w:spacing w:val="-5"/>
          <w:sz w:val="24"/>
          <w:szCs w:val="24"/>
          <w:highlight w:val="none"/>
        </w:rPr>
        <w:t>mg/L</w:t>
      </w:r>
      <w:r>
        <w:rPr>
          <w:rFonts w:ascii="宋体" w:hAnsi="宋体" w:eastAsia="宋体" w:cs="宋体"/>
          <w:spacing w:val="-5"/>
          <w:sz w:val="24"/>
          <w:szCs w:val="24"/>
          <w:highlight w:val="none"/>
        </w:rPr>
        <w:t>、氨氮</w:t>
      </w:r>
      <w:r>
        <w:rPr>
          <w:rFonts w:ascii="宋体" w:hAnsi="宋体" w:eastAsia="宋体" w:cs="宋体"/>
          <w:spacing w:val="-32"/>
          <w:sz w:val="24"/>
          <w:szCs w:val="24"/>
          <w:highlight w:val="none"/>
        </w:rPr>
        <w:t xml:space="preserve"> </w:t>
      </w:r>
      <w:r>
        <w:rPr>
          <w:rFonts w:ascii="Times New Roman" w:hAnsi="Times New Roman" w:eastAsia="Times New Roman" w:cs="Times New Roman"/>
          <w:spacing w:val="-5"/>
          <w:sz w:val="24"/>
          <w:szCs w:val="24"/>
          <w:highlight w:val="none"/>
        </w:rPr>
        <w:t>1</w:t>
      </w:r>
      <w:r>
        <w:rPr>
          <w:rFonts w:hint="eastAsia" w:ascii="Times New Roman" w:hAnsi="Times New Roman" w:eastAsia="宋体" w:cs="Times New Roman"/>
          <w:spacing w:val="-5"/>
          <w:sz w:val="24"/>
          <w:szCs w:val="24"/>
          <w:highlight w:val="none"/>
          <w:lang w:val="en-US" w:eastAsia="zh-CN"/>
        </w:rPr>
        <w:t>8.2</w:t>
      </w:r>
      <w:r>
        <w:rPr>
          <w:rFonts w:ascii="Times New Roman" w:hAnsi="Times New Roman" w:eastAsia="Times New Roman" w:cs="Times New Roman"/>
          <w:spacing w:val="-5"/>
          <w:sz w:val="24"/>
          <w:szCs w:val="24"/>
          <w:highlight w:val="none"/>
        </w:rPr>
        <w:t>mg/L</w:t>
      </w:r>
      <w:r>
        <w:rPr>
          <w:rFonts w:ascii="宋体" w:hAnsi="宋体" w:eastAsia="宋体" w:cs="宋体"/>
          <w:spacing w:val="-5"/>
          <w:sz w:val="24"/>
          <w:szCs w:val="24"/>
          <w:highlight w:val="none"/>
        </w:rPr>
        <w:t>、</w:t>
      </w:r>
      <w:r>
        <w:rPr>
          <w:rFonts w:ascii="宋体" w:hAnsi="宋体" w:eastAsia="宋体" w:cs="宋体"/>
          <w:spacing w:val="0"/>
          <w:sz w:val="24"/>
          <w:szCs w:val="24"/>
          <w:highlight w:val="none"/>
        </w:rPr>
        <w:t xml:space="preserve">总磷 </w:t>
      </w:r>
      <w:r>
        <w:rPr>
          <w:rFonts w:ascii="Times New Roman" w:hAnsi="Times New Roman" w:eastAsia="Times New Roman" w:cs="Times New Roman"/>
          <w:spacing w:val="0"/>
          <w:sz w:val="24"/>
          <w:szCs w:val="24"/>
          <w:highlight w:val="none"/>
        </w:rPr>
        <w:t>1.</w:t>
      </w:r>
      <w:r>
        <w:rPr>
          <w:rFonts w:hint="eastAsia" w:ascii="Times New Roman" w:hAnsi="Times New Roman" w:eastAsia="宋体" w:cs="Times New Roman"/>
          <w:spacing w:val="0"/>
          <w:sz w:val="24"/>
          <w:szCs w:val="24"/>
          <w:highlight w:val="none"/>
          <w:lang w:val="en-US" w:eastAsia="zh-CN"/>
        </w:rPr>
        <w:t>8</w:t>
      </w:r>
      <w:r>
        <w:rPr>
          <w:rFonts w:ascii="Times New Roman" w:hAnsi="Times New Roman" w:eastAsia="Times New Roman" w:cs="Times New Roman"/>
          <w:spacing w:val="0"/>
          <w:sz w:val="24"/>
          <w:szCs w:val="24"/>
          <w:highlight w:val="none"/>
        </w:rPr>
        <w:t>mg/L</w:t>
      </w:r>
      <w:r>
        <w:rPr>
          <w:rFonts w:ascii="宋体" w:hAnsi="宋体" w:eastAsia="宋体" w:cs="宋体"/>
          <w:spacing w:val="0"/>
          <w:sz w:val="24"/>
          <w:szCs w:val="24"/>
          <w:highlight w:val="none"/>
        </w:rPr>
        <w:t>、总氮</w:t>
      </w:r>
      <w:r>
        <w:rPr>
          <w:rFonts w:hint="default" w:ascii="Times New Roman" w:hAnsi="Times New Roman" w:eastAsia="宋体" w:cs="Times New Roman"/>
          <w:spacing w:val="0"/>
          <w:sz w:val="24"/>
          <w:szCs w:val="24"/>
          <w:highlight w:val="none"/>
          <w:lang w:val="en-US" w:eastAsia="zh-CN"/>
        </w:rPr>
        <w:t>30.6</w:t>
      </w:r>
      <w:r>
        <w:rPr>
          <w:rFonts w:ascii="Times New Roman" w:hAnsi="Times New Roman" w:eastAsia="Times New Roman" w:cs="Times New Roman"/>
          <w:spacing w:val="0"/>
          <w:sz w:val="24"/>
          <w:szCs w:val="24"/>
          <w:highlight w:val="none"/>
        </w:rPr>
        <w:t>mg/L</w:t>
      </w:r>
      <w:r>
        <w:rPr>
          <w:rFonts w:ascii="宋体" w:hAnsi="宋体" w:eastAsia="宋体" w:cs="宋体"/>
          <w:spacing w:val="0"/>
          <w:sz w:val="24"/>
          <w:szCs w:val="24"/>
          <w:highlight w:val="none"/>
        </w:rPr>
        <w:t>、</w:t>
      </w:r>
      <w:r>
        <w:rPr>
          <w:rFonts w:ascii="宋体" w:hAnsi="宋体" w:eastAsia="宋体" w:cs="宋体"/>
          <w:spacing w:val="-4"/>
          <w:sz w:val="24"/>
          <w:szCs w:val="24"/>
          <w:highlight w:val="none"/>
        </w:rPr>
        <w:t>动植物油</w:t>
      </w:r>
      <w:r>
        <w:rPr>
          <w:rFonts w:ascii="宋体" w:hAnsi="宋体" w:eastAsia="宋体" w:cs="宋体"/>
          <w:spacing w:val="-55"/>
          <w:sz w:val="24"/>
          <w:szCs w:val="24"/>
          <w:highlight w:val="none"/>
        </w:rPr>
        <w:t xml:space="preserve"> </w:t>
      </w:r>
      <w:r>
        <w:rPr>
          <w:rFonts w:ascii="Times New Roman" w:hAnsi="Times New Roman" w:eastAsia="Times New Roman" w:cs="Times New Roman"/>
          <w:spacing w:val="-4"/>
          <w:sz w:val="24"/>
          <w:szCs w:val="24"/>
          <w:highlight w:val="none"/>
        </w:rPr>
        <w:t>2</w:t>
      </w:r>
      <w:r>
        <w:rPr>
          <w:rFonts w:hint="eastAsia" w:ascii="Times New Roman" w:hAnsi="Times New Roman" w:eastAsia="宋体" w:cs="Times New Roman"/>
          <w:spacing w:val="-4"/>
          <w:sz w:val="24"/>
          <w:szCs w:val="24"/>
          <w:highlight w:val="none"/>
          <w:lang w:val="en-US" w:eastAsia="zh-CN"/>
        </w:rPr>
        <w:t>7.2</w:t>
      </w:r>
      <w:r>
        <w:rPr>
          <w:rFonts w:ascii="Times New Roman" w:hAnsi="Times New Roman" w:eastAsia="Times New Roman" w:cs="Times New Roman"/>
          <w:spacing w:val="-4"/>
          <w:sz w:val="24"/>
          <w:szCs w:val="24"/>
          <w:highlight w:val="none"/>
        </w:rPr>
        <w:t>mg/L</w:t>
      </w:r>
      <w:r>
        <w:rPr>
          <w:rFonts w:ascii="宋体" w:hAnsi="宋体" w:eastAsia="宋体" w:cs="宋体"/>
          <w:spacing w:val="-4"/>
          <w:sz w:val="24"/>
          <w:szCs w:val="24"/>
        </w:rPr>
        <w:t>，能够满足《肉类加工工业水污染物排放标准》</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13457-92</w:t>
      </w:r>
      <w:r>
        <w:rPr>
          <w:rFonts w:ascii="宋体" w:hAnsi="宋体" w:eastAsia="宋体" w:cs="宋体"/>
          <w:spacing w:val="1"/>
          <w:sz w:val="24"/>
          <w:szCs w:val="24"/>
        </w:rPr>
        <w:t>）三级标准和</w:t>
      </w:r>
      <w:r>
        <w:rPr>
          <w:rFonts w:hint="eastAsia" w:ascii="宋体" w:hAnsi="宋体" w:eastAsia="宋体" w:cs="宋体"/>
          <w:spacing w:val="1"/>
          <w:sz w:val="24"/>
          <w:szCs w:val="24"/>
          <w:lang w:eastAsia="zh-CN"/>
        </w:rPr>
        <w:t>叶县县城污水处理厂</w:t>
      </w:r>
      <w:r>
        <w:rPr>
          <w:rFonts w:ascii="宋体" w:hAnsi="宋体" w:eastAsia="宋体" w:cs="宋体"/>
          <w:spacing w:val="1"/>
          <w:sz w:val="24"/>
          <w:szCs w:val="24"/>
        </w:rPr>
        <w:t>接管的</w:t>
      </w:r>
      <w:r>
        <w:rPr>
          <w:rFonts w:ascii="宋体" w:hAnsi="宋体" w:eastAsia="宋体" w:cs="宋体"/>
          <w:sz w:val="24"/>
          <w:szCs w:val="24"/>
        </w:rPr>
        <w:t>水质标准，处理达标后通过自</w:t>
      </w:r>
      <w:r>
        <w:rPr>
          <w:rFonts w:ascii="宋体" w:hAnsi="宋体" w:eastAsia="宋体" w:cs="宋体"/>
          <w:spacing w:val="2"/>
          <w:sz w:val="24"/>
          <w:szCs w:val="24"/>
        </w:rPr>
        <w:t>建的污水管道排入</w:t>
      </w:r>
      <w:r>
        <w:rPr>
          <w:rFonts w:hint="eastAsia" w:ascii="宋体" w:hAnsi="宋体" w:eastAsia="宋体" w:cs="宋体"/>
          <w:spacing w:val="2"/>
          <w:sz w:val="24"/>
          <w:szCs w:val="24"/>
          <w:lang w:eastAsia="zh-CN"/>
        </w:rPr>
        <w:t>叶县县城污水处理厂</w:t>
      </w:r>
      <w:r>
        <w:rPr>
          <w:rFonts w:ascii="宋体" w:hAnsi="宋体" w:eastAsia="宋体" w:cs="宋体"/>
          <w:spacing w:val="2"/>
          <w:sz w:val="24"/>
          <w:szCs w:val="24"/>
        </w:rPr>
        <w:t>，</w:t>
      </w:r>
      <w:r>
        <w:rPr>
          <w:rFonts w:hint="eastAsia" w:ascii="宋体" w:hAnsi="宋体" w:eastAsia="宋体" w:cs="宋体"/>
          <w:spacing w:val="2"/>
          <w:sz w:val="24"/>
          <w:szCs w:val="24"/>
          <w:lang w:eastAsia="zh-CN"/>
        </w:rPr>
        <w:t>经</w:t>
      </w:r>
      <w:r>
        <w:rPr>
          <w:rFonts w:ascii="宋体" w:hAnsi="宋体" w:eastAsia="宋体" w:cs="宋体"/>
          <w:spacing w:val="2"/>
          <w:sz w:val="24"/>
          <w:szCs w:val="24"/>
        </w:rPr>
        <w:t>进一步处理</w:t>
      </w:r>
      <w:r>
        <w:rPr>
          <w:rFonts w:hint="eastAsia" w:ascii="宋体" w:hAnsi="宋体" w:eastAsia="宋体" w:cs="宋体"/>
          <w:spacing w:val="2"/>
          <w:sz w:val="24"/>
          <w:szCs w:val="24"/>
          <w:lang w:eastAsia="zh-CN"/>
        </w:rPr>
        <w:t>后</w:t>
      </w:r>
      <w:r>
        <w:rPr>
          <w:rFonts w:ascii="宋体" w:hAnsi="宋体" w:eastAsia="宋体" w:cs="宋体"/>
          <w:spacing w:val="2"/>
          <w:sz w:val="24"/>
          <w:szCs w:val="24"/>
        </w:rPr>
        <w:t>排入</w:t>
      </w:r>
      <w:r>
        <w:rPr>
          <w:rFonts w:hint="eastAsia" w:ascii="宋体" w:hAnsi="宋体" w:eastAsia="宋体" w:cs="宋体"/>
          <w:spacing w:val="2"/>
          <w:sz w:val="24"/>
          <w:szCs w:val="24"/>
          <w:lang w:eastAsia="zh-CN"/>
        </w:rPr>
        <w:t>灰河</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561"/>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）环境影响分析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textAlignment w:val="baseline"/>
        <w:rPr>
          <w:rFonts w:ascii="宋体" w:hAnsi="宋体" w:eastAsia="宋体" w:cs="宋体"/>
          <w:spacing w:val="0"/>
          <w:w w:val="100"/>
          <w:sz w:val="24"/>
          <w:szCs w:val="24"/>
        </w:rPr>
      </w:pPr>
      <w:r>
        <w:rPr>
          <w:rFonts w:ascii="宋体" w:hAnsi="宋体" w:eastAsia="宋体" w:cs="宋体"/>
          <w:spacing w:val="0"/>
          <w:w w:val="100"/>
          <w:sz w:val="24"/>
          <w:szCs w:val="24"/>
        </w:rPr>
        <w:t>依据《环境影响评价技术导则地表水环境》（</w:t>
      </w:r>
      <w:r>
        <w:rPr>
          <w:rFonts w:ascii="Times New Roman" w:hAnsi="Times New Roman" w:eastAsia="Times New Roman" w:cs="Times New Roman"/>
          <w:spacing w:val="0"/>
          <w:w w:val="100"/>
          <w:sz w:val="24"/>
          <w:szCs w:val="24"/>
        </w:rPr>
        <w:t>HJ2.3-2018</w:t>
      </w:r>
      <w:r>
        <w:rPr>
          <w:rFonts w:ascii="宋体" w:hAnsi="宋体" w:eastAsia="宋体" w:cs="宋体"/>
          <w:spacing w:val="0"/>
          <w:w w:val="100"/>
          <w:sz w:val="24"/>
          <w:szCs w:val="24"/>
        </w:rPr>
        <w:t>）“</w:t>
      </w:r>
      <w:r>
        <w:rPr>
          <w:rFonts w:ascii="Times New Roman" w:hAnsi="Times New Roman" w:eastAsia="Times New Roman" w:cs="Times New Roman"/>
          <w:spacing w:val="0"/>
          <w:w w:val="100"/>
          <w:sz w:val="24"/>
          <w:szCs w:val="24"/>
        </w:rPr>
        <w:t>5.2</w:t>
      </w:r>
      <w:r>
        <w:rPr>
          <w:rFonts w:ascii="宋体" w:hAnsi="宋体" w:eastAsia="宋体" w:cs="宋体"/>
          <w:spacing w:val="0"/>
          <w:w w:val="100"/>
          <w:sz w:val="24"/>
          <w:szCs w:val="24"/>
        </w:rPr>
        <w:t>评价等级确定”的表</w:t>
      </w:r>
      <w:r>
        <w:rPr>
          <w:rFonts w:ascii="Times New Roman" w:hAnsi="Times New Roman" w:eastAsia="Times New Roman" w:cs="Times New Roman"/>
          <w:spacing w:val="0"/>
          <w:w w:val="100"/>
          <w:sz w:val="24"/>
          <w:szCs w:val="24"/>
        </w:rPr>
        <w:t>1</w:t>
      </w:r>
      <w:r>
        <w:rPr>
          <w:rFonts w:ascii="宋体" w:hAnsi="宋体" w:eastAsia="宋体" w:cs="宋体"/>
          <w:spacing w:val="0"/>
          <w:w w:val="100"/>
          <w:sz w:val="24"/>
          <w:szCs w:val="24"/>
        </w:rPr>
        <w:t>，本项目属于水污染影响型建设项目，废水的排放方式为间接排放，可判断项目评价等级为三级</w:t>
      </w:r>
      <w:r>
        <w:rPr>
          <w:rFonts w:ascii="Times New Roman" w:hAnsi="Times New Roman" w:eastAsia="Times New Roman" w:cs="Times New Roman"/>
          <w:spacing w:val="0"/>
          <w:w w:val="100"/>
          <w:sz w:val="24"/>
          <w:szCs w:val="24"/>
        </w:rPr>
        <w:t>B</w:t>
      </w:r>
      <w:r>
        <w:rPr>
          <w:rFonts w:ascii="宋体" w:hAnsi="宋体" w:eastAsia="宋体" w:cs="宋体"/>
          <w:spacing w:val="0"/>
          <w:w w:val="100"/>
          <w:sz w:val="24"/>
          <w:szCs w:val="24"/>
        </w:rPr>
        <w:t>，评价范围应满足其依托污水处理设施环境可行性分析的要求。三级</w:t>
      </w:r>
      <w:r>
        <w:rPr>
          <w:rFonts w:ascii="Times New Roman" w:hAnsi="Times New Roman" w:eastAsia="Times New Roman" w:cs="Times New Roman"/>
          <w:spacing w:val="0"/>
          <w:w w:val="100"/>
          <w:sz w:val="24"/>
          <w:szCs w:val="24"/>
        </w:rPr>
        <w:t>B</w:t>
      </w:r>
      <w:r>
        <w:rPr>
          <w:rFonts w:ascii="宋体" w:hAnsi="宋体" w:eastAsia="宋体" w:cs="宋体"/>
          <w:spacing w:val="0"/>
          <w:w w:val="100"/>
          <w:sz w:val="24"/>
          <w:szCs w:val="24"/>
        </w:rPr>
        <w:t>评价可不进行水环境影响预测，主要评价内容为水污染控制和水环境影响减缓措施有效性评价；依托污水处理设施的环境可行性评价。其中水污染控制和水环境影响减缓措施有效性评价详见</w:t>
      </w:r>
      <w:r>
        <w:rPr>
          <w:rFonts w:ascii="Times New Roman" w:hAnsi="Times New Roman" w:eastAsia="Times New Roman" w:cs="Times New Roman"/>
          <w:spacing w:val="0"/>
          <w:w w:val="100"/>
          <w:sz w:val="24"/>
          <w:szCs w:val="24"/>
        </w:rPr>
        <w:t>6.2.2</w:t>
      </w:r>
      <w:r>
        <w:rPr>
          <w:rFonts w:ascii="宋体" w:hAnsi="宋体" w:eastAsia="宋体" w:cs="宋体"/>
          <w:spacing w:val="0"/>
          <w:w w:val="100"/>
          <w:sz w:val="24"/>
          <w:szCs w:val="24"/>
        </w:rPr>
        <w:t>章节。</w:t>
      </w:r>
    </w:p>
    <w:p>
      <w:pPr>
        <w:spacing w:line="217" w:lineRule="auto"/>
        <w:rPr>
          <w:rFonts w:ascii="宋体" w:hAnsi="宋体" w:eastAsia="宋体" w:cs="宋体"/>
          <w:sz w:val="24"/>
          <w:szCs w:val="24"/>
        </w:rPr>
        <w:sectPr>
          <w:footerReference r:id="rId16" w:type="default"/>
          <w:pgSz w:w="11906" w:h="16839"/>
          <w:pgMar w:top="1431" w:right="1353" w:bottom="1278" w:left="1526" w:header="567" w:footer="850" w:gutter="0"/>
          <w:pgBorders>
            <w:top w:val="none" w:sz="0" w:space="0"/>
            <w:left w:val="none" w:sz="0" w:space="0"/>
            <w:bottom w:val="none" w:sz="0" w:space="0"/>
            <w:right w:val="none" w:sz="0" w:space="0"/>
          </w:pgBorders>
          <w:pgNumType w:fmt="numberInDash"/>
          <w:cols w:space="720" w:num="1"/>
        </w:sectPr>
      </w:pPr>
    </w:p>
    <w:p>
      <w:pPr>
        <w:spacing w:before="78" w:line="219"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）废水污染物排放信息表</w:t>
      </w:r>
    </w:p>
    <w:p>
      <w:pPr>
        <w:spacing w:before="164" w:line="219" w:lineRule="auto"/>
        <w:ind w:left="605"/>
        <w:rPr>
          <w:rFonts w:ascii="宋体" w:hAnsi="宋体" w:eastAsia="宋体" w:cs="宋体"/>
          <w:sz w:val="24"/>
          <w:szCs w:val="24"/>
        </w:rPr>
      </w:pPr>
      <w:r>
        <w:rPr>
          <w:rFonts w:ascii="宋体" w:hAnsi="宋体" w:eastAsia="宋体" w:cs="宋体"/>
          <w:spacing w:val="-1"/>
          <w:sz w:val="24"/>
          <w:szCs w:val="24"/>
        </w:rPr>
        <w:t>项目废水类别、污染物及污染治理设施信息表见表</w:t>
      </w:r>
      <w:r>
        <w:rPr>
          <w:rFonts w:ascii="Times New Roman" w:hAnsi="Times New Roman" w:eastAsia="Times New Roman" w:cs="Times New Roman"/>
          <w:spacing w:val="-1"/>
          <w:sz w:val="24"/>
          <w:szCs w:val="24"/>
        </w:rPr>
        <w:t>5-</w:t>
      </w:r>
      <w:r>
        <w:rPr>
          <w:rFonts w:hint="eastAsia" w:ascii="Times New Roman" w:hAnsi="Times New Roman" w:eastAsia="宋体" w:cs="Times New Roman"/>
          <w:spacing w:val="-1"/>
          <w:sz w:val="24"/>
          <w:szCs w:val="24"/>
          <w:lang w:val="en-US" w:eastAsia="zh-CN"/>
        </w:rPr>
        <w:t>24</w:t>
      </w:r>
      <w:r>
        <w:rPr>
          <w:rFonts w:ascii="宋体" w:hAnsi="宋体" w:eastAsia="宋体" w:cs="宋体"/>
          <w:spacing w:val="-1"/>
          <w:sz w:val="24"/>
          <w:szCs w:val="24"/>
        </w:rPr>
        <w:t>。</w:t>
      </w:r>
    </w:p>
    <w:p>
      <w:pPr>
        <w:spacing w:before="212" w:line="219" w:lineRule="auto"/>
        <w:ind w:left="3581"/>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24</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废水类别、污染物及污染治理设施信</w:t>
      </w:r>
      <w:r>
        <w:rPr>
          <w:rFonts w:ascii="宋体" w:hAnsi="宋体" w:eastAsia="宋体" w:cs="宋体"/>
          <w:spacing w:val="-1"/>
          <w:sz w:val="24"/>
          <w:szCs w:val="24"/>
          <w14:textOutline w14:w="4358" w14:cap="sq" w14:cmpd="sng">
            <w14:solidFill>
              <w14:srgbClr w14:val="000000"/>
            </w14:solidFill>
            <w14:prstDash w14:val="solid"/>
            <w14:bevel/>
          </w14:textOutline>
        </w:rPr>
        <w:t>息表</w:t>
      </w:r>
    </w:p>
    <w:tbl>
      <w:tblPr>
        <w:tblStyle w:val="24"/>
        <w:tblW w:w="13372"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
      <w:tblGrid>
        <w:gridCol w:w="435"/>
        <w:gridCol w:w="658"/>
        <w:gridCol w:w="1357"/>
        <w:gridCol w:w="1048"/>
        <w:gridCol w:w="1833"/>
        <w:gridCol w:w="1175"/>
        <w:gridCol w:w="1146"/>
        <w:gridCol w:w="1245"/>
        <w:gridCol w:w="1112"/>
        <w:gridCol w:w="1072"/>
        <w:gridCol w:w="229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448" w:hRule="atLeast"/>
        </w:trPr>
        <w:tc>
          <w:tcPr>
            <w:tcW w:w="435"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序</w:t>
            </w:r>
            <w:r>
              <w:rPr>
                <w:spacing w:val="6"/>
              </w:rPr>
              <w:t xml:space="preserve"> </w:t>
            </w:r>
            <w:r>
              <w:rPr>
                <w:spacing w:val="6"/>
                <w14:textOutline w14:w="3795" w14:cap="sq" w14:cmpd="sng">
                  <w14:solidFill>
                    <w14:srgbClr w14:val="000000"/>
                  </w14:solidFill>
                  <w14:prstDash w14:val="solid"/>
                  <w14:bevel/>
                </w14:textOutline>
              </w:rPr>
              <w:t>号</w:t>
            </w:r>
          </w:p>
        </w:tc>
        <w:tc>
          <w:tcPr>
            <w:tcW w:w="658"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废水</w:t>
            </w:r>
            <w:r>
              <w:t xml:space="preserve"> </w:t>
            </w:r>
            <w:r>
              <w:rPr>
                <w:spacing w:val="6"/>
                <w14:textOutline w14:w="3795" w14:cap="sq" w14:cmpd="sng">
                  <w14:solidFill>
                    <w14:srgbClr w14:val="000000"/>
                  </w14:solidFill>
                  <w14:prstDash w14:val="solid"/>
                  <w14:bevel/>
                </w14:textOutline>
              </w:rPr>
              <w:t>类别</w:t>
            </w:r>
          </w:p>
        </w:tc>
        <w:tc>
          <w:tcPr>
            <w:tcW w:w="1357"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污染物种类</w:t>
            </w:r>
          </w:p>
        </w:tc>
        <w:tc>
          <w:tcPr>
            <w:tcW w:w="1048"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排放去</w:t>
            </w:r>
            <w:r>
              <w:rPr>
                <w:spacing w:val="1"/>
              </w:rPr>
              <w:t xml:space="preserve"> </w:t>
            </w:r>
            <w:r>
              <w:rPr>
                <w14:textOutline w14:w="3795" w14:cap="sq" w14:cmpd="sng">
                  <w14:solidFill>
                    <w14:srgbClr w14:val="000000"/>
                  </w14:solidFill>
                  <w14:prstDash w14:val="solid"/>
                  <w14:bevel/>
                </w14:textOutline>
              </w:rPr>
              <w:t>向</w:t>
            </w:r>
          </w:p>
        </w:tc>
        <w:tc>
          <w:tcPr>
            <w:tcW w:w="1833"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排放规律</w:t>
            </w:r>
          </w:p>
        </w:tc>
        <w:tc>
          <w:tcPr>
            <w:tcW w:w="3566"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污染治理设施</w:t>
            </w:r>
          </w:p>
        </w:tc>
        <w:tc>
          <w:tcPr>
            <w:tcW w:w="111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排放口编</w:t>
            </w:r>
            <w:r>
              <w:rPr>
                <w14:textOutline w14:w="3795" w14:cap="sq" w14:cmpd="sng">
                  <w14:solidFill>
                    <w14:srgbClr w14:val="000000"/>
                  </w14:solidFill>
                  <w14:prstDash w14:val="solid"/>
                  <w14:bevel/>
                </w14:textOutline>
              </w:rPr>
              <w:t>号</w:t>
            </w:r>
          </w:p>
        </w:tc>
        <w:tc>
          <w:tcPr>
            <w:tcW w:w="107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排放口设</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14:textOutline w14:w="3795" w14:cap="sq" w14:cmpd="sng">
                  <w14:solidFill>
                    <w14:srgbClr w14:val="000000"/>
                  </w14:solidFill>
                  <w14:prstDash w14:val="solid"/>
                  <w14:bevel/>
                </w14:textOutline>
              </w:rPr>
              <w:t>置是否符</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合要求</w:t>
            </w:r>
          </w:p>
        </w:tc>
        <w:tc>
          <w:tcPr>
            <w:tcW w:w="2291"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排放口类型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628" w:hRule="atLeast"/>
        </w:trPr>
        <w:tc>
          <w:tcPr>
            <w:tcW w:w="435"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658"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5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048"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83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17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污染治理</w:t>
            </w:r>
            <w:r>
              <w:rPr>
                <w:spacing w:val="7"/>
                <w14:textOutline w14:w="3795" w14:cap="sq" w14:cmpd="sng">
                  <w14:solidFill>
                    <w14:srgbClr w14:val="000000"/>
                  </w14:solidFill>
                  <w14:prstDash w14:val="solid"/>
                  <w14:bevel/>
                </w14:textOutline>
              </w:rPr>
              <w:t>设施编号</w:t>
            </w:r>
          </w:p>
        </w:tc>
        <w:tc>
          <w:tcPr>
            <w:tcW w:w="114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污染治理</w:t>
            </w:r>
            <w:r>
              <w:rPr>
                <w:spacing w:val="7"/>
                <w14:textOutline w14:w="3795" w14:cap="sq" w14:cmpd="sng">
                  <w14:solidFill>
                    <w14:srgbClr w14:val="000000"/>
                  </w14:solidFill>
                  <w14:prstDash w14:val="solid"/>
                  <w14:bevel/>
                </w14:textOutline>
              </w:rPr>
              <w:t>设施名称</w:t>
            </w:r>
          </w:p>
        </w:tc>
        <w:tc>
          <w:tcPr>
            <w:tcW w:w="124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污染治理</w:t>
            </w:r>
            <w:r>
              <w:rPr>
                <w:spacing w:val="7"/>
                <w14:textOutline w14:w="3795" w14:cap="sq" w14:cmpd="sng">
                  <w14:solidFill>
                    <w14:srgbClr w14:val="000000"/>
                  </w14:solidFill>
                  <w14:prstDash w14:val="solid"/>
                  <w14:bevel/>
                </w14:textOutline>
              </w:rPr>
              <w:t>设施工艺</w:t>
            </w:r>
          </w:p>
        </w:tc>
        <w:tc>
          <w:tcPr>
            <w:tcW w:w="111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07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291"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1876" w:hRule="atLeast"/>
        </w:trPr>
        <w:tc>
          <w:tcPr>
            <w:tcW w:w="43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5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rPr>
              <w:t>综合</w:t>
            </w:r>
            <w:r>
              <w:t xml:space="preserve"> </w:t>
            </w:r>
            <w:r>
              <w:rPr>
                <w:spacing w:val="5"/>
              </w:rPr>
              <w:t>废水</w:t>
            </w:r>
          </w:p>
        </w:tc>
        <w:tc>
          <w:tcPr>
            <w:tcW w:w="135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rPr>
              <w:t>COD</w:t>
            </w:r>
            <w:r>
              <w:rPr>
                <w:spacing w:val="11"/>
              </w:rPr>
              <w:t>、</w:t>
            </w:r>
            <w:r>
              <w:rPr>
                <w:rFonts w:ascii="Times New Roman" w:hAnsi="Times New Roman" w:eastAsia="Times New Roman" w:cs="Times New Roman"/>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10"/>
                <w:position w:val="-1"/>
                <w:sz w:val="13"/>
                <w:szCs w:val="13"/>
              </w:rPr>
              <w:t xml:space="preserve"> </w:t>
            </w:r>
            <w:r>
              <w:rPr>
                <w:spacing w:val="1"/>
              </w:rPr>
              <w:t>、</w:t>
            </w:r>
            <w:r>
              <w:rPr>
                <w:rFonts w:ascii="Times New Roman" w:hAnsi="Times New Roman" w:eastAsia="Times New Roman" w:cs="Times New Roman"/>
              </w:rPr>
              <w:t>SS</w:t>
            </w:r>
            <w:r>
              <w:rPr>
                <w:spacing w:val="1"/>
              </w:rPr>
              <w:t>、</w:t>
            </w:r>
            <w:r>
              <w:t xml:space="preserve"> </w:t>
            </w:r>
            <w:r>
              <w:rPr>
                <w:rFonts w:ascii="Times New Roman" w:hAnsi="Times New Roman" w:eastAsia="Times New Roman" w:cs="Times New Roman"/>
                <w:spacing w:val="-3"/>
              </w:rPr>
              <w:t>NH</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rPr>
              <w:t>-N</w:t>
            </w:r>
            <w:r>
              <w:rPr>
                <w:spacing w:val="-3"/>
              </w:rPr>
              <w:t>、动植</w:t>
            </w:r>
            <w:r>
              <w:rPr>
                <w:spacing w:val="4"/>
              </w:rPr>
              <w:t>物油</w:t>
            </w:r>
          </w:p>
        </w:tc>
        <w:tc>
          <w:tcPr>
            <w:tcW w:w="104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排至厂</w:t>
            </w:r>
            <w:r>
              <w:rPr>
                <w:spacing w:val="5"/>
              </w:rPr>
              <w:t>内污水处理站</w:t>
            </w:r>
          </w:p>
        </w:tc>
        <w:tc>
          <w:tcPr>
            <w:tcW w:w="183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
              </w:rPr>
              <w:t>连续排放，流量不</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稳定，但有规律，</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且不属于周期性</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规律</w:t>
            </w:r>
          </w:p>
        </w:tc>
        <w:tc>
          <w:tcPr>
            <w:tcW w:w="117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TW</w:t>
            </w:r>
            <w:r>
              <w:rPr>
                <w:rFonts w:ascii="Times New Roman" w:hAnsi="Times New Roman" w:eastAsia="Times New Roman" w:cs="Times New Roman"/>
                <w:spacing w:val="7"/>
                <w:sz w:val="20"/>
                <w:szCs w:val="20"/>
              </w:rPr>
              <w:t>001</w:t>
            </w:r>
          </w:p>
        </w:tc>
        <w:tc>
          <w:tcPr>
            <w:tcW w:w="114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综合污水</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处理站</w:t>
            </w:r>
          </w:p>
        </w:tc>
        <w:tc>
          <w:tcPr>
            <w:tcW w:w="124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lang w:eastAsia="zh-CN"/>
              </w:rPr>
              <w:t>格栅</w:t>
            </w:r>
            <w:r>
              <w:rPr>
                <w:rFonts w:hint="default"/>
              </w:rPr>
              <w:t>气浮+水解酸化+生物接触氧化</w:t>
            </w:r>
            <w:r>
              <w:rPr>
                <w:rFonts w:hint="eastAsia"/>
                <w:lang w:val="en-US" w:eastAsia="zh-CN"/>
              </w:rPr>
              <w:t>+消毒</w:t>
            </w:r>
          </w:p>
        </w:tc>
        <w:tc>
          <w:tcPr>
            <w:tcW w:w="111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07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MS UI Gothic" w:hAnsi="MS UI Gothic" w:eastAsia="MS UI Gothic" w:cs="MS UI Gothic"/>
                <w:spacing w:val="1"/>
                <w:position w:val="7"/>
              </w:rPr>
              <w:t>☑</w:t>
            </w:r>
            <w:r>
              <w:rPr>
                <w:spacing w:val="1"/>
                <w:position w:val="7"/>
              </w:rPr>
              <w:t>是</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5"/>
              </w:rPr>
              <w:t>□</w:t>
            </w:r>
            <w:r>
              <w:rPr>
                <w:rFonts w:ascii="Times New Roman" w:hAnsi="Times New Roman" w:eastAsia="Times New Roman" w:cs="Times New Roman"/>
                <w:spacing w:val="-35"/>
              </w:rPr>
              <w:t xml:space="preserve"> </w:t>
            </w:r>
            <w:r>
              <w:rPr>
                <w:spacing w:val="-5"/>
              </w:rPr>
              <w:t>否</w:t>
            </w:r>
          </w:p>
        </w:tc>
        <w:tc>
          <w:tcPr>
            <w:tcW w:w="229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MS Gothic" w:hAnsi="MS Gothic" w:eastAsia="MS Gothic" w:cs="MS Gothic"/>
                <w:spacing w:val="6"/>
              </w:rPr>
              <w:t>☑</w:t>
            </w:r>
            <w:r>
              <w:rPr>
                <w:spacing w:val="6"/>
              </w:rPr>
              <w:t>企业总排口</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雨水排放</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6"/>
              </w:rPr>
              <w:t>□</w:t>
            </w:r>
            <w:r>
              <w:rPr>
                <w:spacing w:val="6"/>
              </w:rPr>
              <w:t>清净下水排放</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6"/>
              </w:rPr>
              <w:t>□</w:t>
            </w:r>
            <w:r>
              <w:rPr>
                <w:spacing w:val="6"/>
              </w:rPr>
              <w:t>温排水排放</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8"/>
              </w:rPr>
              <w:t>□</w:t>
            </w:r>
            <w:r>
              <w:rPr>
                <w:spacing w:val="8"/>
              </w:rPr>
              <w:t>车间或车间处理设施</w:t>
            </w:r>
            <w:r>
              <w:t xml:space="preserve"> </w:t>
            </w:r>
            <w:r>
              <w:rPr>
                <w:spacing w:val="6"/>
              </w:rPr>
              <w:t>排放口</w:t>
            </w:r>
          </w:p>
        </w:tc>
      </w:tr>
    </w:tbl>
    <w:p>
      <w:pPr>
        <w:pStyle w:val="8"/>
        <w:spacing w:line="81" w:lineRule="exact"/>
        <w:rPr>
          <w:sz w:val="7"/>
        </w:rPr>
      </w:pPr>
    </w:p>
    <w:p>
      <w:pPr>
        <w:spacing w:line="81" w:lineRule="exact"/>
        <w:rPr>
          <w:sz w:val="7"/>
          <w:szCs w:val="7"/>
        </w:rPr>
        <w:sectPr>
          <w:footerReference r:id="rId17" w:type="default"/>
          <w:pgSz w:w="16839" w:h="11906"/>
          <w:pgMar w:top="1012" w:right="1588" w:bottom="1278" w:left="1872" w:header="0" w:footer="1116" w:gutter="0"/>
          <w:pgBorders>
            <w:top w:val="none" w:sz="0" w:space="0"/>
            <w:left w:val="none" w:sz="0" w:space="0"/>
            <w:bottom w:val="none" w:sz="0" w:space="0"/>
            <w:right w:val="none" w:sz="0" w:space="0"/>
          </w:pgBorders>
          <w:pgNumType w:fmt="numberInDash"/>
          <w:cols w:equalWidth="0" w:num="1">
            <w:col w:w="13378"/>
          </w:cols>
        </w:sectPr>
      </w:pPr>
    </w:p>
    <w:p>
      <w:pPr>
        <w:spacing w:before="47" w:line="219" w:lineRule="auto"/>
        <w:ind w:left="600"/>
        <w:rPr>
          <w:rFonts w:ascii="宋体" w:hAnsi="宋体" w:eastAsia="宋体" w:cs="宋体"/>
          <w:sz w:val="24"/>
          <w:szCs w:val="24"/>
        </w:rPr>
      </w:pPr>
      <w:r>
        <w:rPr>
          <w:rFonts w:ascii="宋体" w:hAnsi="宋体" w:eastAsia="宋体" w:cs="宋体"/>
          <w:spacing w:val="-2"/>
          <w:sz w:val="24"/>
          <w:szCs w:val="24"/>
        </w:rPr>
        <w:t>废水间接排放口基本情况表见表</w:t>
      </w:r>
      <w:r>
        <w:rPr>
          <w:rFonts w:ascii="Times New Roman" w:hAnsi="Times New Roman" w:eastAsia="Times New Roman" w:cs="Times New Roman"/>
          <w:spacing w:val="-2"/>
          <w:sz w:val="24"/>
          <w:szCs w:val="24"/>
        </w:rPr>
        <w:t>5-2</w:t>
      </w:r>
      <w:r>
        <w:rPr>
          <w:rFonts w:hint="eastAsia" w:ascii="Times New Roman" w:hAnsi="Times New Roman" w:eastAsia="宋体" w:cs="Times New Roman"/>
          <w:spacing w:val="-2"/>
          <w:sz w:val="24"/>
          <w:szCs w:val="24"/>
          <w:lang w:val="en-US" w:eastAsia="zh-CN"/>
        </w:rPr>
        <w:t>5</w:t>
      </w:r>
      <w:r>
        <w:rPr>
          <w:rFonts w:ascii="宋体" w:hAnsi="宋体" w:eastAsia="宋体" w:cs="宋体"/>
          <w:spacing w:val="-2"/>
          <w:sz w:val="24"/>
          <w:szCs w:val="24"/>
        </w:rPr>
        <w:t>。</w:t>
      </w:r>
    </w:p>
    <w:p>
      <w:pPr>
        <w:spacing w:before="215" w:line="184" w:lineRule="auto"/>
        <w:ind w:left="4244"/>
        <w:rPr>
          <w:rFonts w:hint="default" w:ascii="Times New Roman" w:hAnsi="Times New Roman" w:eastAsia="宋体" w:cs="Times New Roman"/>
          <w:sz w:val="24"/>
          <w:szCs w:val="24"/>
          <w:lang w:val="en-US" w:eastAsia="zh-CN"/>
        </w:rPr>
      </w:pPr>
      <w:r>
        <w:rPr>
          <w:rFonts w:ascii="宋体" w:hAnsi="宋体" w:eastAsia="宋体" w:cs="宋体"/>
          <w:spacing w:val="-3"/>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3"/>
          <w:sz w:val="24"/>
          <w:szCs w:val="24"/>
        </w:rPr>
        <w:t>5-</w:t>
      </w:r>
      <w:r>
        <w:rPr>
          <w:rFonts w:hint="eastAsia" w:ascii="Times New Roman" w:hAnsi="Times New Roman" w:eastAsia="宋体" w:cs="Times New Roman"/>
          <w:b/>
          <w:bCs/>
          <w:spacing w:val="-3"/>
          <w:sz w:val="24"/>
          <w:szCs w:val="24"/>
          <w:lang w:val="en-US" w:eastAsia="zh-CN"/>
        </w:rPr>
        <w:t>25</w:t>
      </w:r>
    </w:p>
    <w:p>
      <w:pPr>
        <w:pStyle w:val="8"/>
        <w:spacing w:line="14" w:lineRule="auto"/>
        <w:rPr>
          <w:sz w:val="2"/>
        </w:rPr>
      </w:pPr>
      <w:r>
        <w:rPr>
          <w:sz w:val="2"/>
          <w:szCs w:val="2"/>
        </w:rPr>
        <w:br w:type="column"/>
      </w:r>
    </w:p>
    <w:p>
      <w:pPr>
        <w:pStyle w:val="8"/>
        <w:spacing w:line="465" w:lineRule="auto"/>
      </w:pPr>
    </w:p>
    <w:p>
      <w:pPr>
        <w:keepNext w:val="0"/>
        <w:keepLines w:val="0"/>
        <w:pageBreakBefore w:val="0"/>
        <w:widowControl/>
        <w:kinsoku w:val="0"/>
        <w:wordWrap/>
        <w:overflowPunct/>
        <w:topLinePunct w:val="0"/>
        <w:autoSpaceDE w:val="0"/>
        <w:autoSpaceDN w:val="0"/>
        <w:bidi w:val="0"/>
        <w:adjustRightInd w:val="0"/>
        <w:snapToGrid w:val="0"/>
        <w:spacing w:before="78" w:line="240" w:lineRule="auto"/>
        <w:textAlignment w:val="baseline"/>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废水间接排放口基本情况表</w:t>
      </w:r>
    </w:p>
    <w:p>
      <w:pPr>
        <w:spacing w:line="184" w:lineRule="auto"/>
        <w:rPr>
          <w:rFonts w:ascii="宋体" w:hAnsi="宋体" w:eastAsia="宋体" w:cs="宋体"/>
          <w:sz w:val="24"/>
          <w:szCs w:val="24"/>
        </w:rPr>
        <w:sectPr>
          <w:type w:val="continuous"/>
          <w:pgSz w:w="16839" w:h="11906"/>
          <w:pgMar w:top="1012" w:right="1588" w:bottom="1278" w:left="1872" w:header="0" w:footer="1116" w:gutter="0"/>
          <w:pgBorders>
            <w:top w:val="none" w:sz="0" w:space="0"/>
            <w:left w:val="none" w:sz="0" w:space="0"/>
            <w:bottom w:val="none" w:sz="0" w:space="0"/>
            <w:right w:val="none" w:sz="0" w:space="0"/>
          </w:pgBorders>
          <w:pgNumType w:fmt="numberInDash"/>
          <w:cols w:equalWidth="0" w:num="2">
            <w:col w:w="5966" w:space="100"/>
            <w:col w:w="7312"/>
          </w:cols>
        </w:sectPr>
      </w:pPr>
    </w:p>
    <w:p>
      <w:pPr>
        <w:spacing w:line="131" w:lineRule="exact"/>
      </w:pPr>
    </w:p>
    <w:tbl>
      <w:tblPr>
        <w:tblStyle w:val="24"/>
        <w:tblW w:w="13372"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526"/>
        <w:gridCol w:w="949"/>
        <w:gridCol w:w="1467"/>
        <w:gridCol w:w="1461"/>
        <w:gridCol w:w="1191"/>
        <w:gridCol w:w="1179"/>
        <w:gridCol w:w="1411"/>
        <w:gridCol w:w="1008"/>
        <w:gridCol w:w="1280"/>
        <w:gridCol w:w="1184"/>
        <w:gridCol w:w="171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26"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序 号</w:t>
            </w:r>
          </w:p>
        </w:tc>
        <w:tc>
          <w:tcPr>
            <w:tcW w:w="94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排放口</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rPr>
              <w:t>编号</w:t>
            </w:r>
          </w:p>
        </w:tc>
        <w:tc>
          <w:tcPr>
            <w:tcW w:w="2928"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排放口地理坐标</w:t>
            </w:r>
          </w:p>
        </w:tc>
        <w:tc>
          <w:tcPr>
            <w:tcW w:w="1191"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rPr>
            </w:pPr>
            <w:r>
              <w:rPr>
                <w:spacing w:val="7"/>
              </w:rPr>
              <w:t>废水排放</w:t>
            </w:r>
            <w:r>
              <w:rPr>
                <w:spacing w:val="3"/>
              </w:rPr>
              <w:t>量</w:t>
            </w:r>
            <w:r>
              <w:rPr>
                <w:rFonts w:ascii="Times New Roman" w:hAnsi="Times New Roman" w:eastAsia="Times New Roman" w:cs="Times New Roman"/>
                <w:spacing w:val="3"/>
              </w:rPr>
              <w:t>t/a</w:t>
            </w:r>
          </w:p>
        </w:tc>
        <w:tc>
          <w:tcPr>
            <w:tcW w:w="117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排放去向</w:t>
            </w:r>
          </w:p>
        </w:tc>
        <w:tc>
          <w:tcPr>
            <w:tcW w:w="1411"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排放规律</w:t>
            </w:r>
          </w:p>
        </w:tc>
        <w:tc>
          <w:tcPr>
            <w:tcW w:w="1008"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
              </w:rPr>
              <w:t>间歇排</w:t>
            </w:r>
            <w:r>
              <w:t xml:space="preserve"> </w:t>
            </w:r>
            <w:r>
              <w:rPr>
                <w:spacing w:val="6"/>
              </w:rPr>
              <w:t>放时段</w:t>
            </w:r>
          </w:p>
        </w:tc>
        <w:tc>
          <w:tcPr>
            <w:tcW w:w="4180"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受纳污水处理厂信息</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26"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4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46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rPr>
              <w:t>经度</w:t>
            </w:r>
          </w:p>
        </w:tc>
        <w:tc>
          <w:tcPr>
            <w:tcW w:w="146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纬度</w:t>
            </w:r>
          </w:p>
        </w:tc>
        <w:tc>
          <w:tcPr>
            <w:tcW w:w="1191"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1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411"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008"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8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rPr>
              <w:t>名称</w:t>
            </w:r>
          </w:p>
        </w:tc>
        <w:tc>
          <w:tcPr>
            <w:tcW w:w="118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污染物种</w:t>
            </w:r>
            <w:r>
              <w:t>类</w:t>
            </w:r>
          </w:p>
        </w:tc>
        <w:tc>
          <w:tcPr>
            <w:tcW w:w="171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国家或地方污染</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物排放标准浓度</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rPr>
            </w:pPr>
            <w:r>
              <w:rPr>
                <w:spacing w:val="3"/>
              </w:rPr>
              <w:t>限值</w:t>
            </w:r>
            <w:r>
              <w:rPr>
                <w:rFonts w:ascii="Times New Roman" w:hAnsi="Times New Roman" w:eastAsia="Times New Roman" w:cs="Times New Roman"/>
                <w:spacing w:val="3"/>
              </w:rPr>
              <w:t>/</w:t>
            </w:r>
            <w:r>
              <w:rPr>
                <w:rFonts w:ascii="Times New Roman" w:hAnsi="Times New Roman" w:eastAsia="Times New Roman" w:cs="Times New Roman"/>
              </w:rPr>
              <w:t>mg</w:t>
            </w:r>
            <w:r>
              <w:rPr>
                <w:rFonts w:ascii="Times New Roman" w:hAnsi="Times New Roman" w:eastAsia="Times New Roman" w:cs="Times New Roman"/>
                <w:spacing w:val="3"/>
              </w:rPr>
              <w:t>/L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46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rPr>
            </w:pPr>
            <w:r>
              <w:rPr>
                <w:rFonts w:hint="eastAsia" w:ascii="Times New Roman" w:hAnsi="Times New Roman" w:eastAsia="Times New Roman" w:cs="Times New Roman"/>
                <w:spacing w:val="2"/>
                <w:sz w:val="20"/>
                <w:szCs w:val="20"/>
                <w:highlight w:val="none"/>
              </w:rPr>
              <w:t>113.34764779</w:t>
            </w:r>
          </w:p>
        </w:tc>
        <w:tc>
          <w:tcPr>
            <w:tcW w:w="146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highlight w:val="none"/>
              </w:rPr>
            </w:pPr>
            <w:r>
              <w:rPr>
                <w:rFonts w:hint="eastAsia" w:ascii="Times New Roman" w:hAnsi="Times New Roman" w:eastAsia="Times New Roman" w:cs="Times New Roman"/>
                <w:spacing w:val="4"/>
                <w:sz w:val="20"/>
                <w:szCs w:val="20"/>
                <w:highlight w:val="none"/>
              </w:rPr>
              <w:t>33.59425010</w:t>
            </w:r>
          </w:p>
        </w:tc>
        <w:tc>
          <w:tcPr>
            <w:tcW w:w="119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81772.8</w:t>
            </w:r>
          </w:p>
        </w:tc>
        <w:tc>
          <w:tcPr>
            <w:tcW w:w="11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spacing w:val="7"/>
                <w:lang w:eastAsia="zh-CN"/>
              </w:rPr>
              <w:t>叶县县城</w:t>
            </w:r>
            <w:r>
              <w:rPr>
                <w:spacing w:val="7"/>
              </w:rPr>
              <w:t>污</w:t>
            </w:r>
            <w:r>
              <w:rPr>
                <w:spacing w:val="6"/>
              </w:rPr>
              <w:t>水处理厂</w:t>
            </w:r>
          </w:p>
        </w:tc>
        <w:tc>
          <w:tcPr>
            <w:tcW w:w="14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rPr>
              <w:t>连续排放，流</w:t>
            </w:r>
            <w:r>
              <w:rPr>
                <w:spacing w:val="3"/>
              </w:rPr>
              <w:t xml:space="preserve"> </w:t>
            </w:r>
            <w:r>
              <w:rPr>
                <w:spacing w:val="7"/>
              </w:rPr>
              <w:t>量不稳定</w:t>
            </w:r>
          </w:p>
        </w:tc>
        <w:tc>
          <w:tcPr>
            <w:tcW w:w="100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8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spacing w:val="8"/>
                <w:lang w:eastAsia="zh-CN"/>
              </w:rPr>
              <w:t>叶县县城</w:t>
            </w:r>
            <w:r>
              <w:rPr>
                <w:spacing w:val="8"/>
              </w:rPr>
              <w:t>污水</w:t>
            </w:r>
            <w:r>
              <w:rPr>
                <w:spacing w:val="5"/>
              </w:rPr>
              <w:t>处理厂</w:t>
            </w:r>
          </w:p>
        </w:tc>
        <w:tc>
          <w:tcPr>
            <w:tcW w:w="118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rPr>
              <w:t>COD</w:t>
            </w:r>
            <w:r>
              <w:rPr>
                <w:spacing w:val="11"/>
              </w:rPr>
              <w:t>、</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spacing w:val="5"/>
              </w:rPr>
              <w:t>BOD</w:t>
            </w:r>
            <w:r>
              <w:rPr>
                <w:rFonts w:ascii="Times New Roman" w:hAnsi="Times New Roman" w:eastAsia="Times New Roman" w:cs="Times New Roman"/>
                <w:spacing w:val="5"/>
                <w:position w:val="-1"/>
                <w:sz w:val="13"/>
                <w:szCs w:val="13"/>
              </w:rPr>
              <w:t>5</w:t>
            </w:r>
            <w:r>
              <w:rPr>
                <w:spacing w:val="-19"/>
              </w:rPr>
              <w:t>、</w:t>
            </w:r>
            <w:r>
              <w:rPr>
                <w:rFonts w:ascii="Times New Roman" w:hAnsi="Times New Roman" w:eastAsia="Times New Roman" w:cs="Times New Roman"/>
                <w:spacing w:val="-19"/>
              </w:rPr>
              <w:t>SS</w:t>
            </w:r>
            <w:r>
              <w:rPr>
                <w:spacing w:val="-19"/>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sz w:val="20"/>
                <w:szCs w:val="20"/>
              </w:rPr>
              <w:t>-N</w:t>
            </w:r>
          </w:p>
        </w:tc>
        <w:tc>
          <w:tcPr>
            <w:tcW w:w="171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2"/>
              </w:rPr>
              <w:t>一级</w:t>
            </w:r>
            <w:r>
              <w:rPr>
                <w:spacing w:val="-44"/>
              </w:rPr>
              <w:t xml:space="preserve"> </w:t>
            </w:r>
            <w:r>
              <w:rPr>
                <w:rFonts w:ascii="Times New Roman" w:hAnsi="Times New Roman" w:eastAsia="Times New Roman" w:cs="Times New Roman"/>
                <w:spacing w:val="2"/>
              </w:rPr>
              <w:t>A</w:t>
            </w:r>
            <w:r>
              <w:rPr>
                <w:spacing w:val="2"/>
              </w:rPr>
              <w:t>：</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rPr>
              <w:t>COD</w:t>
            </w:r>
            <w:r>
              <w:rPr>
                <w:rFonts w:ascii="Times New Roman" w:hAnsi="Times New Roman" w:eastAsia="Times New Roman" w:cs="Times New Roman"/>
                <w:spacing w:val="7"/>
              </w:rPr>
              <w:t>≤50</w:t>
            </w:r>
            <w:r>
              <w:rPr>
                <w:rFonts w:ascii="Times New Roman" w:hAnsi="Times New Roman" w:eastAsia="Times New Roman" w:cs="Times New Roman"/>
              </w:rPr>
              <w:t>mg</w:t>
            </w:r>
            <w:r>
              <w:rPr>
                <w:rFonts w:ascii="Times New Roman" w:hAnsi="Times New Roman" w:eastAsia="Times New Roman" w:cs="Times New Roman"/>
                <w:spacing w:val="7"/>
              </w:rPr>
              <w:t>/L</w:t>
            </w:r>
            <w:r>
              <w:rPr>
                <w:spacing w:val="7"/>
              </w:rPr>
              <w:t>，</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rPr>
            </w:pPr>
            <w:r>
              <w:rPr>
                <w:spacing w:val="6"/>
              </w:rPr>
              <w:t>氨氮</w:t>
            </w:r>
            <w:r>
              <w:rPr>
                <w:rFonts w:ascii="Times New Roman" w:hAnsi="Times New Roman" w:eastAsia="Times New Roman" w:cs="Times New Roman"/>
                <w:spacing w:val="6"/>
              </w:rPr>
              <w:t>≤5</w:t>
            </w:r>
            <w:r>
              <w:rPr>
                <w:rFonts w:ascii="Times New Roman" w:hAnsi="Times New Roman" w:eastAsia="Times New Roman" w:cs="Times New Roman"/>
              </w:rPr>
              <w:t>mg</w:t>
            </w:r>
            <w:r>
              <w:rPr>
                <w:rFonts w:ascii="Times New Roman" w:hAnsi="Times New Roman" w:eastAsia="Times New Roman" w:cs="Times New Roman"/>
                <w:spacing w:val="6"/>
              </w:rPr>
              <w:t>/L</w:t>
            </w:r>
          </w:p>
        </w:tc>
      </w:tr>
    </w:tbl>
    <w:p>
      <w:pPr>
        <w:pStyle w:val="8"/>
        <w:spacing w:line="14" w:lineRule="auto"/>
        <w:rPr>
          <w:sz w:val="2"/>
        </w:rPr>
      </w:pPr>
    </w:p>
    <w:p>
      <w:pPr>
        <w:spacing w:line="14" w:lineRule="auto"/>
        <w:rPr>
          <w:sz w:val="2"/>
          <w:szCs w:val="2"/>
        </w:rPr>
        <w:sectPr>
          <w:type w:val="continuous"/>
          <w:pgSz w:w="16839" w:h="11906"/>
          <w:pgMar w:top="1012" w:right="1588" w:bottom="1278" w:left="1872" w:header="0" w:footer="1116" w:gutter="0"/>
          <w:pgBorders>
            <w:top w:val="none" w:sz="0" w:space="0"/>
            <w:left w:val="none" w:sz="0" w:space="0"/>
            <w:bottom w:val="none" w:sz="0" w:space="0"/>
            <w:right w:val="none" w:sz="0" w:space="0"/>
          </w:pgBorders>
          <w:pgNumType w:fmt="numberInDash"/>
          <w:cols w:equalWidth="0" w:num="1">
            <w:col w:w="13378"/>
          </w:cols>
        </w:sectPr>
      </w:pPr>
    </w:p>
    <w:p>
      <w:pPr>
        <w:spacing w:before="78" w:line="219" w:lineRule="auto"/>
        <w:ind w:left="498"/>
        <w:rPr>
          <w:rFonts w:ascii="宋体" w:hAnsi="宋体" w:eastAsia="宋体" w:cs="宋体"/>
          <w:sz w:val="24"/>
          <w:szCs w:val="24"/>
        </w:rPr>
      </w:pPr>
      <w:r>
        <w:rPr>
          <w:rFonts w:ascii="宋体" w:hAnsi="宋体" w:eastAsia="宋体" w:cs="宋体"/>
          <w:spacing w:val="-2"/>
          <w:sz w:val="24"/>
          <w:szCs w:val="24"/>
        </w:rPr>
        <w:t>废水污染物排放执行标准表见表</w:t>
      </w:r>
      <w:r>
        <w:rPr>
          <w:rFonts w:ascii="Times New Roman" w:hAnsi="Times New Roman" w:eastAsia="Times New Roman" w:cs="Times New Roman"/>
          <w:spacing w:val="-2"/>
          <w:sz w:val="24"/>
          <w:szCs w:val="24"/>
        </w:rPr>
        <w:t>5-2</w:t>
      </w:r>
      <w:r>
        <w:rPr>
          <w:rFonts w:hint="eastAsia" w:ascii="Times New Roman" w:hAnsi="Times New Roman" w:eastAsia="宋体" w:cs="Times New Roman"/>
          <w:spacing w:val="-2"/>
          <w:sz w:val="24"/>
          <w:szCs w:val="24"/>
          <w:lang w:val="en-US" w:eastAsia="zh-CN"/>
        </w:rPr>
        <w:t>6</w:t>
      </w:r>
      <w:r>
        <w:rPr>
          <w:rFonts w:ascii="宋体" w:hAnsi="宋体" w:eastAsia="宋体" w:cs="宋体"/>
          <w:spacing w:val="-2"/>
          <w:sz w:val="24"/>
          <w:szCs w:val="24"/>
        </w:rPr>
        <w:t>。</w:t>
      </w:r>
    </w:p>
    <w:p>
      <w:pPr>
        <w:spacing w:before="214" w:line="219" w:lineRule="auto"/>
        <w:ind w:left="196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5-2</w:t>
      </w:r>
      <w:r>
        <w:rPr>
          <w:rFonts w:hint="eastAsia" w:ascii="Times New Roman" w:hAnsi="Times New Roman" w:eastAsia="宋体" w:cs="Times New Roman"/>
          <w:b/>
          <w:bCs/>
          <w:sz w:val="24"/>
          <w:szCs w:val="24"/>
          <w:lang w:val="en-US" w:eastAsia="zh-CN"/>
        </w:rPr>
        <w:t>6</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废水污</w:t>
      </w:r>
      <w:r>
        <w:rPr>
          <w:rFonts w:ascii="宋体" w:hAnsi="宋体" w:eastAsia="宋体" w:cs="宋体"/>
          <w:spacing w:val="-1"/>
          <w:sz w:val="24"/>
          <w:szCs w:val="24"/>
          <w14:textOutline w14:w="4358" w14:cap="sq" w14:cmpd="sng">
            <w14:solidFill>
              <w14:srgbClr w14:val="000000"/>
            </w14:solidFill>
            <w14:prstDash w14:val="solid"/>
            <w14:bevel/>
          </w14:textOutline>
        </w:rPr>
        <w:t>染物排放执行标准表</w:t>
      </w:r>
    </w:p>
    <w:tbl>
      <w:tblPr>
        <w:tblStyle w:val="24"/>
        <w:tblW w:w="8742" w:type="dxa"/>
        <w:tblInd w:w="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259"/>
        <w:gridCol w:w="1595"/>
        <w:gridCol w:w="2645"/>
        <w:gridCol w:w="264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9" w:hRule="atLeast"/>
        </w:trPr>
        <w:tc>
          <w:tcPr>
            <w:tcW w:w="596"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序号</w:t>
            </w:r>
          </w:p>
        </w:tc>
        <w:tc>
          <w:tcPr>
            <w:tcW w:w="125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排放口编号</w:t>
            </w:r>
          </w:p>
        </w:tc>
        <w:tc>
          <w:tcPr>
            <w:tcW w:w="159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污染物种类</w:t>
            </w:r>
          </w:p>
        </w:tc>
        <w:tc>
          <w:tcPr>
            <w:tcW w:w="5292"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国家或地方污染物排放标准及其他按规定商</w:t>
            </w:r>
            <w:r>
              <w:rPr>
                <w:spacing w:val="8"/>
              </w:rPr>
              <w:t>定的排放协议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rPr>
              <w:t>名称</w:t>
            </w:r>
          </w:p>
        </w:tc>
        <w:tc>
          <w:tcPr>
            <w:tcW w:w="264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浓度限值</w:t>
            </w:r>
            <w:r>
              <w:rPr>
                <w:rFonts w:ascii="Times New Roman" w:hAnsi="Times New Roman" w:eastAsia="Times New Roman" w:cs="Times New Roman"/>
                <w:spacing w:val="7"/>
              </w:rPr>
              <w:t>/</w:t>
            </w:r>
            <w:r>
              <w:rPr>
                <w:spacing w:val="7"/>
              </w:rPr>
              <w:t>（</w:t>
            </w:r>
            <w:r>
              <w:rPr>
                <w:rFonts w:ascii="Times New Roman" w:hAnsi="Times New Roman" w:eastAsia="Times New Roman" w:cs="Times New Roman"/>
              </w:rPr>
              <w:t>mg</w:t>
            </w:r>
            <w:r>
              <w:rPr>
                <w:rFonts w:ascii="Times New Roman" w:hAnsi="Times New Roman" w:eastAsia="Times New Roman" w:cs="Times New Roman"/>
                <w:spacing w:val="7"/>
              </w:rPr>
              <w:t>/L</w:t>
            </w:r>
            <w:r>
              <w:rPr>
                <w:spacing w:val="7"/>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59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59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64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《肉类加工工业水污染物排</w:t>
            </w:r>
            <w:r>
              <w:rPr>
                <w:spacing w:val="7"/>
              </w:rPr>
              <w:t xml:space="preserve"> 放标准》（</w:t>
            </w:r>
            <w:r>
              <w:rPr>
                <w:rFonts w:ascii="Times New Roman" w:hAnsi="Times New Roman" w:eastAsia="Times New Roman" w:cs="Times New Roman"/>
              </w:rPr>
              <w:t>GB</w:t>
            </w:r>
            <w:r>
              <w:rPr>
                <w:rFonts w:ascii="Times New Roman" w:hAnsi="Times New Roman" w:eastAsia="Times New Roman" w:cs="Times New Roman"/>
                <w:spacing w:val="7"/>
              </w:rPr>
              <w:t>13457-92</w:t>
            </w:r>
            <w:r>
              <w:rPr>
                <w:spacing w:val="7"/>
              </w:rPr>
              <w:t>）畜</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类屠宰加工三级标准</w:t>
            </w: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氨氮</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动植物油</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64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spacing w:val="9"/>
                <w:highlight w:val="none"/>
                <w:lang w:eastAsia="zh-CN"/>
              </w:rPr>
              <w:t>叶县县城污水处理厂进</w:t>
            </w:r>
            <w:r>
              <w:rPr>
                <w:spacing w:val="9"/>
                <w:highlight w:val="none"/>
              </w:rPr>
              <w:t>水水质</w:t>
            </w:r>
            <w:r>
              <w:rPr>
                <w:spacing w:val="4"/>
                <w:highlight w:val="none"/>
              </w:rPr>
              <w:t>要求</w:t>
            </w: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1"/>
                <w:sz w:val="20"/>
                <w:szCs w:val="20"/>
                <w:lang w:val="en-US" w:eastAsia="zh-CN"/>
              </w:rPr>
              <w:t>35</w:t>
            </w:r>
            <w:r>
              <w:rPr>
                <w:rFonts w:ascii="Times New Roman" w:hAnsi="Times New Roman" w:eastAsia="Times New Roman" w:cs="Times New Roman"/>
                <w:spacing w:val="1"/>
                <w:sz w:val="20"/>
                <w:szCs w:val="20"/>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2"/>
                <w:sz w:val="20"/>
                <w:szCs w:val="20"/>
                <w:lang w:val="en-US" w:eastAsia="zh-CN"/>
              </w:rPr>
              <w:t>16</w:t>
            </w:r>
            <w:r>
              <w:rPr>
                <w:rFonts w:ascii="Times New Roman" w:hAnsi="Times New Roman" w:eastAsia="Times New Roman" w:cs="Times New Roman"/>
                <w:spacing w:val="2"/>
                <w:sz w:val="20"/>
                <w:szCs w:val="20"/>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3"/>
                <w:sz w:val="20"/>
                <w:szCs w:val="20"/>
                <w:lang w:val="en-US" w:eastAsia="zh-CN"/>
              </w:rPr>
              <w:t>18</w:t>
            </w:r>
            <w:r>
              <w:rPr>
                <w:rFonts w:ascii="Times New Roman" w:hAnsi="Times New Roman" w:eastAsia="Times New Roman" w:cs="Times New Roman"/>
                <w:spacing w:val="3"/>
                <w:sz w:val="20"/>
                <w:szCs w:val="20"/>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pacing w:val="-3"/>
                <w:sz w:val="20"/>
                <w:szCs w:val="20"/>
              </w:rPr>
            </w:pPr>
            <w:r>
              <w:rPr>
                <w:spacing w:val="4"/>
              </w:rPr>
              <w:t>氨氮</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0"/>
                <w:szCs w:val="20"/>
                <w:lang w:val="en-US" w:eastAsia="zh-CN"/>
              </w:rPr>
            </w:pPr>
            <w:r>
              <w:rPr>
                <w:rFonts w:ascii="Times New Roman" w:hAnsi="Times New Roman" w:eastAsia="Times New Roman" w:cs="Times New Roman"/>
                <w:sz w:val="20"/>
                <w:szCs w:val="20"/>
              </w:rPr>
              <w:t>3</w:t>
            </w:r>
            <w:r>
              <w:rPr>
                <w:rFonts w:hint="eastAsia" w:ascii="Times New Roman" w:hAnsi="Times New Roman" w:eastAsia="宋体" w:cs="Times New Roman"/>
                <w:sz w:val="20"/>
                <w:szCs w:val="20"/>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0"/>
                <w:szCs w:val="20"/>
                <w:lang w:val="en-US" w:eastAsia="zh-CN"/>
              </w:rPr>
            </w:pPr>
            <w:r>
              <w:rPr>
                <w:rFonts w:hint="eastAsia" w:ascii="Times New Roman" w:hAnsi="Times New Roman" w:eastAsia="宋体" w:cs="Times New Roman"/>
                <w:spacing w:val="-3"/>
                <w:sz w:val="20"/>
                <w:szCs w:val="20"/>
                <w:lang w:val="en-US" w:eastAsia="zh-CN"/>
              </w:rPr>
              <w:t>TP</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0"/>
                <w:szCs w:val="20"/>
                <w:lang w:val="en-US" w:eastAsia="zh-CN"/>
              </w:rPr>
            </w:pPr>
            <w:r>
              <w:rPr>
                <w:rFonts w:hint="eastAsia" w:ascii="Times New Roman" w:hAnsi="Times New Roman" w:eastAsia="宋体" w:cs="Times New Roman"/>
                <w:spacing w:val="3"/>
                <w:sz w:val="20"/>
                <w:szCs w:val="20"/>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9" w:hRule="atLeast"/>
        </w:trPr>
        <w:tc>
          <w:tcPr>
            <w:tcW w:w="5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9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eastAsia="宋体"/>
                <w:lang w:val="en-US" w:eastAsia="zh-CN"/>
              </w:rPr>
            </w:pPr>
            <w:r>
              <w:rPr>
                <w:rFonts w:hint="default" w:ascii="Times New Roman" w:hAnsi="Times New Roman" w:cs="Times New Roman"/>
                <w:lang w:val="en-US" w:eastAsia="zh-CN"/>
              </w:rPr>
              <w:t>TN</w:t>
            </w:r>
          </w:p>
        </w:tc>
        <w:tc>
          <w:tcPr>
            <w:tcW w:w="264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26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40</w:t>
            </w:r>
          </w:p>
        </w:tc>
      </w:tr>
    </w:tbl>
    <w:p>
      <w:pPr>
        <w:keepNext w:val="0"/>
        <w:keepLines w:val="0"/>
        <w:pageBreakBefore w:val="0"/>
        <w:widowControl/>
        <w:kinsoku w:val="0"/>
        <w:wordWrap/>
        <w:overflowPunct/>
        <w:topLinePunct w:val="0"/>
        <w:autoSpaceDE w:val="0"/>
        <w:autoSpaceDN w:val="0"/>
        <w:bidi w:val="0"/>
        <w:adjustRightInd w:val="0"/>
        <w:snapToGrid w:val="0"/>
        <w:spacing w:before="130" w:line="360" w:lineRule="auto"/>
        <w:ind w:left="499"/>
        <w:textAlignment w:val="baseline"/>
        <w:rPr>
          <w:rFonts w:ascii="宋体" w:hAnsi="宋体" w:eastAsia="宋体" w:cs="宋体"/>
          <w:sz w:val="24"/>
          <w:szCs w:val="24"/>
        </w:rPr>
      </w:pPr>
      <w:r>
        <w:rPr>
          <w:rFonts w:ascii="宋体" w:hAnsi="宋体" w:eastAsia="宋体" w:cs="宋体"/>
          <w:spacing w:val="-2"/>
          <w:sz w:val="24"/>
          <w:szCs w:val="24"/>
        </w:rPr>
        <w:t>废水污染物排放信息表见表</w:t>
      </w:r>
      <w:r>
        <w:rPr>
          <w:rFonts w:ascii="Times New Roman" w:hAnsi="Times New Roman" w:eastAsia="Times New Roman" w:cs="Times New Roman"/>
          <w:spacing w:val="-2"/>
          <w:sz w:val="24"/>
          <w:szCs w:val="24"/>
        </w:rPr>
        <w:t>5-2</w:t>
      </w:r>
      <w:r>
        <w:rPr>
          <w:rFonts w:hint="eastAsia" w:ascii="Times New Roman" w:hAnsi="Times New Roman" w:eastAsia="宋体" w:cs="Times New Roman"/>
          <w:spacing w:val="-2"/>
          <w:sz w:val="24"/>
          <w:szCs w:val="24"/>
          <w:lang w:val="en-US" w:eastAsia="zh-CN"/>
        </w:rPr>
        <w:t>7</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723"/>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5-2</w:t>
      </w:r>
      <w:r>
        <w:rPr>
          <w:rFonts w:hint="eastAsia" w:ascii="Times New Roman" w:hAnsi="Times New Roman" w:eastAsia="宋体" w:cs="Times New Roman"/>
          <w:b/>
          <w:bCs/>
          <w:sz w:val="24"/>
          <w:szCs w:val="24"/>
          <w:lang w:val="en-US" w:eastAsia="zh-CN"/>
        </w:rPr>
        <w:t>7</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废水污染物排放信息</w:t>
      </w:r>
      <w:r>
        <w:rPr>
          <w:rFonts w:ascii="宋体" w:hAnsi="宋体" w:eastAsia="宋体" w:cs="宋体"/>
          <w:spacing w:val="-1"/>
          <w:sz w:val="24"/>
          <w:szCs w:val="24"/>
          <w14:textOutline w14:w="4358" w14:cap="sq" w14:cmpd="sng">
            <w14:solidFill>
              <w14:srgbClr w14:val="000000"/>
            </w14:solidFill>
            <w14:prstDash w14:val="solid"/>
            <w14:bevel/>
          </w14:textOutline>
        </w:rPr>
        <w:t>表</w:t>
      </w:r>
    </w:p>
    <w:tbl>
      <w:tblPr>
        <w:tblStyle w:val="24"/>
        <w:tblW w:w="8871"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1067"/>
        <w:gridCol w:w="1211"/>
        <w:gridCol w:w="1619"/>
        <w:gridCol w:w="1464"/>
        <w:gridCol w:w="1652"/>
        <w:gridCol w:w="108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77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6"/>
                <w14:textOutline w14:w="3795" w14:cap="sq" w14:cmpd="sng">
                  <w14:solidFill>
                    <w14:srgbClr w14:val="000000"/>
                  </w14:solidFill>
                  <w14:prstDash w14:val="solid"/>
                  <w14:bevel/>
                </w14:textOutline>
              </w:rPr>
              <w:t>序号</w:t>
            </w:r>
          </w:p>
        </w:tc>
        <w:tc>
          <w:tcPr>
            <w:tcW w:w="106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8"/>
                <w14:textOutline w14:w="3795" w14:cap="sq" w14:cmpd="sng">
                  <w14:solidFill>
                    <w14:srgbClr w14:val="000000"/>
                  </w14:solidFill>
                  <w14:prstDash w14:val="solid"/>
                  <w14:bevel/>
                </w14:textOutline>
              </w:rPr>
              <w:t>排放口编号</w:t>
            </w:r>
          </w:p>
        </w:tc>
        <w:tc>
          <w:tcPr>
            <w:tcW w:w="12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8"/>
                <w14:textOutline w14:w="3795" w14:cap="sq" w14:cmpd="sng">
                  <w14:solidFill>
                    <w14:srgbClr w14:val="000000"/>
                  </w14:solidFill>
                  <w14:prstDash w14:val="solid"/>
                  <w14:bevel/>
                </w14:textOutline>
              </w:rPr>
              <w:t>污染物种类</w:t>
            </w:r>
          </w:p>
        </w:tc>
        <w:tc>
          <w:tcPr>
            <w:tcW w:w="161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7"/>
                <w14:textOutline w14:w="3795" w14:cap="sq" w14:cmpd="sng">
                  <w14:solidFill>
                    <w14:srgbClr w14:val="000000"/>
                  </w14:solidFill>
                  <w14:prstDash w14:val="solid"/>
                  <w14:bevel/>
                </w14:textOutline>
              </w:rPr>
              <w:t>排放浓度</w:t>
            </w:r>
            <w:r>
              <w:rPr>
                <w:rFonts w:ascii="Times New Roman" w:hAnsi="Times New Roman" w:eastAsia="Times New Roman" w:cs="Times New Roman"/>
                <w:b/>
                <w:bCs/>
                <w:spacing w:val="7"/>
              </w:rPr>
              <w:t>/</w:t>
            </w:r>
            <w:r>
              <w:rPr>
                <w:spacing w:val="7"/>
                <w14:textOutline w14:w="3795" w14:cap="sq" w14:cmpd="sng">
                  <w14:solidFill>
                    <w14:srgbClr w14:val="000000"/>
                  </w14:solidFill>
                  <w14:prstDash w14:val="solid"/>
                  <w14:bevel/>
                </w14:textOutline>
              </w:rPr>
              <w:t>（</w:t>
            </w:r>
            <w:r>
              <w:rPr>
                <w:rFonts w:ascii="Times New Roman" w:hAnsi="Times New Roman" w:eastAsia="Times New Roman" w:cs="Times New Roman"/>
                <w:b/>
                <w:bCs/>
              </w:rPr>
              <w:t>mg</w:t>
            </w:r>
            <w:r>
              <w:rPr>
                <w:rFonts w:ascii="Times New Roman" w:hAnsi="Times New Roman" w:eastAsia="Times New Roman" w:cs="Times New Roman"/>
                <w:b/>
                <w:bCs/>
                <w:spacing w:val="7"/>
              </w:rPr>
              <w:t>/L</w:t>
            </w:r>
            <w:r>
              <w:rPr>
                <w:spacing w:val="7"/>
                <w14:textOutline w14:w="3795" w14:cap="sq" w14:cmpd="sng">
                  <w14:solidFill>
                    <w14:srgbClr w14:val="000000"/>
                  </w14:solidFill>
                  <w14:prstDash w14:val="solid"/>
                  <w14:bevel/>
                </w14:textOutline>
              </w:rPr>
              <w:t>）</w:t>
            </w:r>
          </w:p>
        </w:tc>
        <w:tc>
          <w:tcPr>
            <w:tcW w:w="146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rFonts w:hint="eastAsia"/>
                <w:spacing w:val="2"/>
                <w:lang w:eastAsia="zh-CN"/>
                <w14:textOutline w14:w="3795" w14:cap="sq" w14:cmpd="sng">
                  <w14:solidFill>
                    <w14:srgbClr w14:val="000000"/>
                  </w14:solidFill>
                  <w14:prstDash w14:val="solid"/>
                  <w14:bevel/>
                </w14:textOutline>
              </w:rPr>
              <w:t>废水</w:t>
            </w:r>
            <w:r>
              <w:rPr>
                <w:spacing w:val="2"/>
                <w14:textOutline w14:w="3795" w14:cap="sq" w14:cmpd="sng">
                  <w14:solidFill>
                    <w14:srgbClr w14:val="000000"/>
                  </w14:solidFill>
                  <w14:prstDash w14:val="solid"/>
                  <w14:bevel/>
                </w14:textOutline>
              </w:rPr>
              <w:t>排放量</w:t>
            </w:r>
          </w:p>
        </w:tc>
        <w:tc>
          <w:tcPr>
            <w:tcW w:w="16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rFonts w:hint="eastAsia"/>
                <w:spacing w:val="5"/>
                <w:lang w:eastAsia="zh-CN"/>
                <w14:textOutline w14:w="3795" w14:cap="sq" w14:cmpd="sng">
                  <w14:solidFill>
                    <w14:srgbClr w14:val="000000"/>
                  </w14:solidFill>
                  <w14:prstDash w14:val="solid"/>
                  <w14:bevel/>
                </w14:textOutline>
              </w:rPr>
              <w:t>污染物</w:t>
            </w:r>
            <w:r>
              <w:rPr>
                <w:spacing w:val="5"/>
                <w14:textOutline w14:w="3795" w14:cap="sq" w14:cmpd="sng">
                  <w14:solidFill>
                    <w14:srgbClr w14:val="000000"/>
                  </w14:solidFill>
                  <w14:prstDash w14:val="solid"/>
                  <w14:bevel/>
                </w14:textOutline>
              </w:rPr>
              <w:t>排放量</w:t>
            </w:r>
            <w:r>
              <w:rPr>
                <w:rFonts w:ascii="Times New Roman" w:hAnsi="Times New Roman" w:eastAsia="Times New Roman" w:cs="Times New Roman"/>
                <w:b/>
                <w:bCs/>
                <w:spacing w:val="5"/>
              </w:rPr>
              <w:t>t/a</w:t>
            </w:r>
          </w:p>
        </w:tc>
        <w:tc>
          <w:tcPr>
            <w:tcW w:w="108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spacing w:val="5"/>
                <w:lang w:eastAsia="zh-CN"/>
                <w14:textOutline w14:w="3795" w14:cap="sq" w14:cmpd="sng">
                  <w14:solidFill>
                    <w14:srgbClr w14:val="000000"/>
                  </w14:solidFill>
                  <w14:prstDash w14:val="solid"/>
                  <w14:bevel/>
                </w14:textOutline>
              </w:rPr>
            </w:pPr>
            <w:r>
              <w:rPr>
                <w:rFonts w:hint="eastAsia"/>
                <w:spacing w:val="5"/>
                <w:lang w:eastAsia="zh-CN"/>
                <w14:textOutline w14:w="3795" w14:cap="sq" w14:cmpd="sng">
                  <w14:solidFill>
                    <w14:srgbClr w14:val="000000"/>
                  </w14:solidFill>
                  <w14:prstDash w14:val="solid"/>
                  <w14:bevel/>
                </w14:textOutline>
              </w:rPr>
              <w:t>备注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77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2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222.</w:t>
            </w:r>
            <w:r>
              <w:rPr>
                <w:rFonts w:hint="eastAsia" w:ascii="Times New Roman" w:hAnsi="Times New Roman" w:eastAsia="宋体" w:cs="Times New Roman"/>
                <w:sz w:val="20"/>
                <w:szCs w:val="20"/>
                <w:lang w:val="en-US" w:eastAsia="zh-CN"/>
              </w:rPr>
              <w:t>2</w:t>
            </w:r>
          </w:p>
        </w:tc>
        <w:tc>
          <w:tcPr>
            <w:tcW w:w="146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r>
              <w:rPr>
                <w:rFonts w:hint="eastAsia" w:ascii="Times New Roman" w:hAnsi="Times New Roman" w:eastAsia="Times New Roman" w:cs="Times New Roman"/>
                <w:sz w:val="20"/>
                <w:szCs w:val="20"/>
                <w:lang w:val="en-US" w:eastAsia="zh-CN"/>
              </w:rPr>
              <w:t>255.54</w:t>
            </w:r>
            <w:r>
              <w:rPr>
                <w:rFonts w:hint="default" w:ascii="Times New Roman" w:hAnsi="Times New Roman" w:eastAsia="Times New Roman" w:cs="Times New Roman"/>
                <w:sz w:val="20"/>
                <w:szCs w:val="20"/>
              </w:rPr>
              <w:t>m</w:t>
            </w:r>
            <w:r>
              <w:rPr>
                <w:rFonts w:hint="default" w:ascii="Times New Roman" w:hAnsi="Times New Roman" w:eastAsia="Times New Roman" w:cs="Times New Roman"/>
                <w:sz w:val="20"/>
                <w:szCs w:val="20"/>
                <w:vertAlign w:val="superscript"/>
              </w:rPr>
              <w:t>3</w:t>
            </w:r>
            <w:r>
              <w:rPr>
                <w:rFonts w:hint="default" w:ascii="Times New Roman" w:hAnsi="Times New Roman" w:eastAsia="Times New Roman" w:cs="Times New Roman"/>
                <w:sz w:val="20"/>
                <w:szCs w:val="20"/>
              </w:rPr>
              <w:t xml:space="preserve">/d </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hint="eastAsia" w:ascii="Times New Roman" w:hAnsi="Times New Roman" w:eastAsia="Times New Roman" w:cs="Times New Roman"/>
                <w:sz w:val="20"/>
                <w:szCs w:val="20"/>
                <w:lang w:val="en-US" w:eastAsia="zh-CN"/>
              </w:rPr>
              <w:t>81772.8</w:t>
            </w:r>
            <w:r>
              <w:rPr>
                <w:rFonts w:hint="default" w:ascii="Times New Roman" w:hAnsi="Times New Roman" w:eastAsia="Times New Roman" w:cs="Times New Roman"/>
                <w:sz w:val="20"/>
                <w:szCs w:val="20"/>
              </w:rPr>
              <w:t>m</w:t>
            </w:r>
            <w:r>
              <w:rPr>
                <w:rFonts w:hint="default" w:ascii="Times New Roman" w:hAnsi="Times New Roman" w:eastAsia="Times New Roman" w:cs="Times New Roman"/>
                <w:sz w:val="20"/>
                <w:szCs w:val="20"/>
                <w:vertAlign w:val="superscript"/>
              </w:rPr>
              <w:t>3</w:t>
            </w:r>
            <w:r>
              <w:rPr>
                <w:rFonts w:hint="default" w:ascii="Times New Roman" w:hAnsi="Times New Roman" w:eastAsia="Times New Roman" w:cs="Times New Roman"/>
                <w:sz w:val="20"/>
                <w:szCs w:val="20"/>
              </w:rPr>
              <w:t>/a</w:t>
            </w:r>
          </w:p>
        </w:tc>
        <w:tc>
          <w:tcPr>
            <w:tcW w:w="165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1"/>
                <w:szCs w:val="21"/>
                <w:lang w:val="en-US" w:eastAsia="zh-CN"/>
              </w:rPr>
              <w:t>18.2</w:t>
            </w:r>
          </w:p>
        </w:tc>
        <w:tc>
          <w:tcPr>
            <w:tcW w:w="1083" w:type="dxa"/>
            <w:vMerge w:val="restart"/>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全厂排放口合计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77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6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2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10</w:t>
            </w:r>
            <w:r>
              <w:rPr>
                <w:rFonts w:hint="eastAsia" w:ascii="Times New Roman" w:hAnsi="Times New Roman" w:eastAsia="宋体" w:cs="Times New Roman"/>
                <w:sz w:val="20"/>
                <w:szCs w:val="20"/>
                <w:lang w:val="en-US" w:eastAsia="zh-CN"/>
              </w:rPr>
              <w:t>4</w:t>
            </w:r>
          </w:p>
        </w:tc>
        <w:tc>
          <w:tcPr>
            <w:tcW w:w="14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p>
        </w:tc>
        <w:tc>
          <w:tcPr>
            <w:tcW w:w="165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1"/>
                <w:szCs w:val="21"/>
                <w:lang w:val="en-US" w:eastAsia="zh-CN"/>
              </w:rPr>
              <w:t>8.5</w:t>
            </w:r>
          </w:p>
        </w:tc>
        <w:tc>
          <w:tcPr>
            <w:tcW w:w="1083" w:type="dxa"/>
            <w:vMerge w:val="continue"/>
            <w:tcBorders>
              <w:tl2br w:val="nil"/>
              <w:tr2bl w:val="nil"/>
            </w:tcBorders>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77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6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2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92.4</w:t>
            </w:r>
          </w:p>
        </w:tc>
        <w:tc>
          <w:tcPr>
            <w:tcW w:w="14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p>
        </w:tc>
        <w:tc>
          <w:tcPr>
            <w:tcW w:w="165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1"/>
                <w:szCs w:val="21"/>
                <w:lang w:val="en-US" w:eastAsia="zh-CN"/>
              </w:rPr>
              <w:t>7.6</w:t>
            </w:r>
          </w:p>
        </w:tc>
        <w:tc>
          <w:tcPr>
            <w:tcW w:w="1083" w:type="dxa"/>
            <w:vMerge w:val="continue"/>
            <w:tcBorders>
              <w:tl2br w:val="nil"/>
              <w:tr2bl w:val="nil"/>
            </w:tcBorders>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77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6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2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4"/>
              </w:rPr>
              <w:t>氨氮</w:t>
            </w:r>
          </w:p>
        </w:tc>
        <w:tc>
          <w:tcPr>
            <w:tcW w:w="1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18.2</w:t>
            </w:r>
          </w:p>
        </w:tc>
        <w:tc>
          <w:tcPr>
            <w:tcW w:w="14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p>
        </w:tc>
        <w:tc>
          <w:tcPr>
            <w:tcW w:w="165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1"/>
                <w:szCs w:val="21"/>
                <w:lang w:val="en-US" w:eastAsia="zh-CN"/>
              </w:rPr>
              <w:t>1.49</w:t>
            </w:r>
          </w:p>
        </w:tc>
        <w:tc>
          <w:tcPr>
            <w:tcW w:w="1083" w:type="dxa"/>
            <w:vMerge w:val="continue"/>
            <w:tcBorders>
              <w:tl2br w:val="nil"/>
              <w:tr2bl w:val="nil"/>
            </w:tcBorders>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77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6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2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2"/>
              </w:rPr>
              <w:t>总磷</w:t>
            </w:r>
          </w:p>
        </w:tc>
        <w:tc>
          <w:tcPr>
            <w:tcW w:w="1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1.8</w:t>
            </w:r>
          </w:p>
        </w:tc>
        <w:tc>
          <w:tcPr>
            <w:tcW w:w="14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p>
        </w:tc>
        <w:tc>
          <w:tcPr>
            <w:tcW w:w="1652" w:type="dxa"/>
            <w:tcBorders>
              <w:tl2br w:val="nil"/>
              <w:tr2bl w:val="nil"/>
            </w:tcBorders>
            <w:vAlign w:val="center"/>
          </w:tcPr>
          <w:p>
            <w:pPr>
              <w:jc w:val="center"/>
              <w:rPr>
                <w:rFonts w:hint="eastAsia"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1"/>
                <w:szCs w:val="21"/>
              </w:rPr>
              <w:t>0.</w:t>
            </w:r>
            <w:r>
              <w:rPr>
                <w:rFonts w:hint="eastAsia" w:ascii="Times New Roman" w:hAnsi="Times New Roman" w:eastAsia="宋体" w:cs="Times New Roman"/>
                <w:sz w:val="21"/>
                <w:szCs w:val="21"/>
                <w:lang w:val="en-US" w:eastAsia="zh-CN"/>
              </w:rPr>
              <w:t>15</w:t>
            </w:r>
          </w:p>
        </w:tc>
        <w:tc>
          <w:tcPr>
            <w:tcW w:w="1083" w:type="dxa"/>
            <w:vMerge w:val="continue"/>
            <w:tcBorders>
              <w:tl2br w:val="nil"/>
              <w:tr2bl w:val="nil"/>
            </w:tcBorders>
            <w:vAlign w:val="center"/>
          </w:tcPr>
          <w:p>
            <w:pPr>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77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6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2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2"/>
              </w:rPr>
              <w:t>总氮</w:t>
            </w:r>
          </w:p>
        </w:tc>
        <w:tc>
          <w:tcPr>
            <w:tcW w:w="1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30.6</w:t>
            </w:r>
          </w:p>
        </w:tc>
        <w:tc>
          <w:tcPr>
            <w:tcW w:w="14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p>
        </w:tc>
        <w:tc>
          <w:tcPr>
            <w:tcW w:w="165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1"/>
                <w:szCs w:val="21"/>
                <w:lang w:val="en-US" w:eastAsia="zh-CN"/>
              </w:rPr>
              <w:t>2.5</w:t>
            </w:r>
          </w:p>
        </w:tc>
        <w:tc>
          <w:tcPr>
            <w:tcW w:w="1083" w:type="dxa"/>
            <w:vMerge w:val="continue"/>
            <w:tcBorders>
              <w:tl2br w:val="nil"/>
              <w:tr2bl w:val="nil"/>
            </w:tcBorders>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97" w:hRule="atLeast"/>
          <w:jc w:val="center"/>
        </w:trPr>
        <w:tc>
          <w:tcPr>
            <w:tcW w:w="77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2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7"/>
              </w:rPr>
              <w:t>动植物油</w:t>
            </w:r>
          </w:p>
        </w:tc>
        <w:tc>
          <w:tcPr>
            <w:tcW w:w="1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27.2</w:t>
            </w:r>
          </w:p>
        </w:tc>
        <w:tc>
          <w:tcPr>
            <w:tcW w:w="146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p>
        </w:tc>
        <w:tc>
          <w:tcPr>
            <w:tcW w:w="165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1"/>
                <w:szCs w:val="21"/>
                <w:lang w:val="en-US" w:eastAsia="zh-CN"/>
              </w:rPr>
              <w:t>2.2</w:t>
            </w:r>
          </w:p>
        </w:tc>
        <w:tc>
          <w:tcPr>
            <w:tcW w:w="1083" w:type="dxa"/>
            <w:vMerge w:val="continue"/>
            <w:tcBorders>
              <w:tl2br w:val="nil"/>
              <w:tr2bl w:val="nil"/>
            </w:tcBorders>
            <w:vAlign w:val="center"/>
          </w:tcPr>
          <w:p>
            <w:pPr>
              <w:jc w:val="center"/>
              <w:rPr>
                <w:rFonts w:hint="eastAsia" w:ascii="Times New Roman" w:hAnsi="Times New Roman" w:eastAsia="宋体" w:cs="Times New Roman"/>
                <w:sz w:val="21"/>
                <w:szCs w:val="21"/>
                <w:lang w:val="en-US" w:eastAsia="zh-CN"/>
              </w:rPr>
            </w:pPr>
          </w:p>
        </w:tc>
      </w:tr>
    </w:tbl>
    <w:p>
      <w:pPr>
        <w:keepNext w:val="0"/>
        <w:keepLines w:val="0"/>
        <w:pageBreakBefore w:val="0"/>
        <w:widowControl/>
        <w:kinsoku w:val="0"/>
        <w:wordWrap/>
        <w:overflowPunct/>
        <w:topLinePunct w:val="0"/>
        <w:autoSpaceDE w:val="0"/>
        <w:autoSpaceDN w:val="0"/>
        <w:bidi w:val="0"/>
        <w:adjustRightInd w:val="0"/>
        <w:snapToGrid w:val="0"/>
        <w:spacing w:before="268" w:line="360" w:lineRule="auto"/>
        <w:textAlignment w:val="baseline"/>
        <w:outlineLvl w:val="3"/>
        <w:rPr>
          <w:rFonts w:ascii="楷体" w:hAnsi="楷体" w:eastAsia="楷体" w:cs="楷体"/>
          <w:b/>
          <w:bCs/>
          <w:sz w:val="28"/>
          <w:szCs w:val="28"/>
        </w:rPr>
      </w:pPr>
      <w:bookmarkStart w:id="348" w:name="bookmark95"/>
      <w:bookmarkEnd w:id="348"/>
      <w:r>
        <w:rPr>
          <w:rFonts w:ascii="Times New Roman" w:hAnsi="Times New Roman" w:eastAsia="Times New Roman" w:cs="Times New Roman"/>
          <w:b/>
          <w:bCs/>
          <w:spacing w:val="-1"/>
          <w:sz w:val="28"/>
          <w:szCs w:val="28"/>
        </w:rPr>
        <w:t>5.2.3</w:t>
      </w:r>
      <w:r>
        <w:rPr>
          <w:rFonts w:ascii="楷体" w:hAnsi="楷体" w:eastAsia="楷体" w:cs="楷体"/>
          <w:b/>
          <w:bCs/>
          <w:spacing w:val="-1"/>
          <w:sz w:val="28"/>
          <w:szCs w:val="28"/>
        </w:rPr>
        <w:t>地下水环境影响预测与评价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10"/>
        <w:textAlignment w:val="baseline"/>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（一）区域</w:t>
      </w:r>
      <w:r>
        <w:rPr>
          <w:rFonts w:hint="eastAsia" w:ascii="宋体" w:hAnsi="宋体" w:eastAsia="宋体" w:cs="宋体"/>
          <w:spacing w:val="-2"/>
          <w:sz w:val="24"/>
          <w:szCs w:val="24"/>
          <w:lang w:eastAsia="zh-CN"/>
          <w14:textOutline w14:w="4358" w14:cap="sq" w14:cmpd="sng">
            <w14:solidFill>
              <w14:srgbClr w14:val="000000"/>
            </w14:solidFill>
            <w14:prstDash w14:val="solid"/>
            <w14:bevel/>
          </w14:textOutline>
        </w:rPr>
        <w:t>地形地貌</w:t>
      </w:r>
      <w:r>
        <w:rPr>
          <w:rFonts w:ascii="宋体" w:hAnsi="宋体" w:eastAsia="宋体" w:cs="宋体"/>
          <w:spacing w:val="-2"/>
          <w:sz w:val="24"/>
          <w:szCs w:val="24"/>
          <w14:textOutline w14:w="4358" w14:cap="sq" w14:cmpd="sng">
            <w14:solidFill>
              <w14:srgbClr w14:val="000000"/>
            </w14:solidFill>
            <w14:prstDash w14:val="solid"/>
            <w14:bevel/>
          </w14:textOutline>
        </w:rPr>
        <w:t>概况</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68" w:firstLineChars="200"/>
        <w:textAlignment w:val="baseline"/>
        <w:rPr>
          <w:rFonts w:hint="default" w:ascii="Times New Roman" w:hAnsi="Times New Roman" w:eastAsia="Times New Roman" w:cs="Times New Roman"/>
          <w:b w:val="0"/>
          <w:bCs w:val="0"/>
          <w:spacing w:val="-3"/>
          <w:sz w:val="24"/>
          <w:szCs w:val="24"/>
        </w:rPr>
      </w:pPr>
      <w:r>
        <w:rPr>
          <w:rFonts w:hint="default" w:ascii="Times New Roman" w:hAnsi="Times New Roman" w:eastAsia="Times New Roman" w:cs="Times New Roman"/>
          <w:b w:val="0"/>
          <w:bCs w:val="0"/>
          <w:spacing w:val="-3"/>
          <w:sz w:val="24"/>
          <w:szCs w:val="24"/>
          <w:lang w:eastAsia="zh-CN"/>
        </w:rPr>
        <w:t>叶</w:t>
      </w:r>
      <w:r>
        <w:rPr>
          <w:rFonts w:hint="default" w:ascii="Times New Roman" w:hAnsi="Times New Roman" w:eastAsia="Times New Roman" w:cs="Times New Roman"/>
          <w:b w:val="0"/>
          <w:bCs w:val="0"/>
          <w:spacing w:val="-3"/>
          <w:sz w:val="24"/>
          <w:szCs w:val="24"/>
        </w:rPr>
        <w:t>县境内地貌西南高东北低，由第二地貌台阶边坡向第三地貌台阶过渡，呈阶梯状降低，依次分为浅山、丘陵、平原及洼地地貌区，分别占总面积的21</w:t>
      </w:r>
      <w:r>
        <w:rPr>
          <w:rFonts w:hint="eastAsia" w:ascii="Times New Roman" w:hAnsi="Times New Roman" w:eastAsia="宋体" w:cs="Times New Roman"/>
          <w:b w:val="0"/>
          <w:bCs w:val="0"/>
          <w:spacing w:val="-3"/>
          <w:sz w:val="24"/>
          <w:szCs w:val="24"/>
          <w:lang w:val="en-US" w:eastAsia="zh-CN"/>
        </w:rPr>
        <w:t>%</w:t>
      </w:r>
      <w:r>
        <w:rPr>
          <w:rFonts w:hint="default" w:ascii="Times New Roman" w:hAnsi="Times New Roman" w:eastAsia="Times New Roman" w:cs="Times New Roman"/>
          <w:b w:val="0"/>
          <w:bCs w:val="0"/>
          <w:spacing w:val="-3"/>
          <w:sz w:val="24"/>
          <w:szCs w:val="24"/>
        </w:rPr>
        <w:t>、25</w:t>
      </w:r>
      <w:r>
        <w:rPr>
          <w:rFonts w:hint="eastAsia" w:ascii="Times New Roman" w:hAnsi="Times New Roman" w:eastAsia="宋体" w:cs="Times New Roman"/>
          <w:b w:val="0"/>
          <w:bCs w:val="0"/>
          <w:spacing w:val="-3"/>
          <w:sz w:val="24"/>
          <w:szCs w:val="24"/>
          <w:lang w:val="en-US" w:eastAsia="zh-CN"/>
        </w:rPr>
        <w:t>.3%</w:t>
      </w:r>
      <w:r>
        <w:rPr>
          <w:rFonts w:hint="default" w:ascii="Times New Roman" w:hAnsi="Times New Roman" w:eastAsia="Times New Roman" w:cs="Times New Roman"/>
          <w:b w:val="0"/>
          <w:bCs w:val="0"/>
          <w:spacing w:val="-3"/>
          <w:sz w:val="24"/>
          <w:szCs w:val="24"/>
        </w:rPr>
        <w:t>和53</w:t>
      </w:r>
      <w:r>
        <w:rPr>
          <w:rFonts w:hint="eastAsia" w:ascii="Times New Roman" w:hAnsi="Times New Roman" w:eastAsia="宋体" w:cs="Times New Roman"/>
          <w:b w:val="0"/>
          <w:bCs w:val="0"/>
          <w:spacing w:val="-3"/>
          <w:sz w:val="24"/>
          <w:szCs w:val="24"/>
          <w:lang w:val="en-US" w:eastAsia="zh-CN"/>
        </w:rPr>
        <w:t>.7%</w:t>
      </w:r>
      <w:r>
        <w:rPr>
          <w:rFonts w:hint="default" w:ascii="Times New Roman" w:hAnsi="Times New Roman" w:eastAsia="Times New Roman" w:cs="Times New Roman"/>
          <w:b w:val="0"/>
          <w:bCs w:val="0"/>
          <w:spacing w:val="-3"/>
          <w:sz w:val="24"/>
          <w:szCs w:val="24"/>
        </w:rPr>
        <w:t>。两端相对高差580.4米。伏牛山沿县境西南边境横亘。桐柏山余脉自东南向西延伸在保安镇与伏牛山余脉对峙，形成有名的</w:t>
      </w:r>
      <w:r>
        <w:rPr>
          <w:rFonts w:hint="default" w:ascii="Times New Roman" w:hAnsi="Times New Roman" w:eastAsia="Times New Roman" w:cs="Times New Roman"/>
          <w:b w:val="0"/>
          <w:bCs w:val="0"/>
          <w:spacing w:val="-3"/>
          <w:sz w:val="24"/>
          <w:szCs w:val="24"/>
          <w:lang w:eastAsia="zh-CN"/>
        </w:rPr>
        <w:t>“</w:t>
      </w:r>
      <w:r>
        <w:rPr>
          <w:rFonts w:hint="default" w:ascii="Times New Roman" w:hAnsi="Times New Roman" w:eastAsia="Times New Roman" w:cs="Times New Roman"/>
          <w:b w:val="0"/>
          <w:bCs w:val="0"/>
          <w:spacing w:val="-3"/>
          <w:sz w:val="24"/>
          <w:szCs w:val="24"/>
        </w:rPr>
        <w:t>南襄夹道</w:t>
      </w:r>
      <w:r>
        <w:rPr>
          <w:rFonts w:hint="default" w:ascii="Times New Roman" w:hAnsi="Times New Roman" w:eastAsia="Times New Roman" w:cs="Times New Roman"/>
          <w:b w:val="0"/>
          <w:bCs w:val="0"/>
          <w:spacing w:val="-3"/>
          <w:sz w:val="24"/>
          <w:szCs w:val="24"/>
          <w:lang w:eastAsia="zh-CN"/>
        </w:rPr>
        <w:t>”</w:t>
      </w:r>
      <w:r>
        <w:rPr>
          <w:rFonts w:hint="default" w:ascii="Times New Roman" w:hAnsi="Times New Roman" w:eastAsia="Times New Roman" w:cs="Times New Roman"/>
          <w:b w:val="0"/>
          <w:bCs w:val="0"/>
          <w:spacing w:val="-3"/>
          <w:sz w:val="24"/>
          <w:szCs w:val="24"/>
        </w:rPr>
        <w:t>。南及西南部浅山区的海拔在200米—350米之间，最高峰为位于常村镇西部叶、方边界的老青山（即西唐山），海拔650.2米；北、中、东部为平原，海拔一般在80米左右，最低点为水寨乡的黄庄村，海拔69.8米，平均海拔85米。详见图6.5-1。现将主要地貌形态分布情况分述如下：</w:t>
      </w:r>
    </w:p>
    <w:p>
      <w:pPr>
        <w:widowControl w:val="0"/>
        <w:kinsoku/>
        <w:autoSpaceDE/>
        <w:autoSpaceDN/>
        <w:adjustRightInd/>
        <w:snapToGrid/>
        <w:spacing w:line="360" w:lineRule="auto"/>
        <w:ind w:left="420" w:hanging="420" w:hangingChars="200"/>
        <w:jc w:val="both"/>
        <w:textAlignment w:val="auto"/>
      </w:pPr>
      <w:r>
        <w:rPr>
          <w:sz w:val="21"/>
        </w:rPr>
        <mc:AlternateContent>
          <mc:Choice Requires="wps">
            <w:drawing>
              <wp:anchor distT="0" distB="0" distL="114300" distR="114300" simplePos="0" relativeHeight="251725824" behindDoc="0" locked="0" layoutInCell="1" allowOverlap="1">
                <wp:simplePos x="0" y="0"/>
                <wp:positionH relativeFrom="column">
                  <wp:posOffset>5181600</wp:posOffset>
                </wp:positionH>
                <wp:positionV relativeFrom="paragraph">
                  <wp:posOffset>602615</wp:posOffset>
                </wp:positionV>
                <wp:extent cx="0" cy="295275"/>
                <wp:effectExtent l="38100" t="0" r="38100" b="9525"/>
                <wp:wrapNone/>
                <wp:docPr id="106" name="直接箭头连接符 106"/>
                <wp:cNvGraphicFramePr/>
                <a:graphic xmlns:a="http://schemas.openxmlformats.org/drawingml/2006/main">
                  <a:graphicData uri="http://schemas.microsoft.com/office/word/2010/wordprocessingShape">
                    <wps:wsp>
                      <wps:cNvCnPr/>
                      <wps:spPr>
                        <a:xfrm flipV="1">
                          <a:off x="6119495" y="2133600"/>
                          <a:ext cx="0" cy="295275"/>
                        </a:xfrm>
                        <a:prstGeom prst="straightConnector1">
                          <a:avLst/>
                        </a:prstGeom>
                        <a:ln w="25400">
                          <a:solidFill>
                            <a:schemeClr val="tx1"/>
                          </a:solidFill>
                          <a:miter lim="800000"/>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08pt;margin-top:47.45pt;height:23.25pt;width:0pt;z-index:251725824;mso-width-relative:page;mso-height-relative:page;" filled="f" stroked="t" coordsize="21600,21600" o:gfxdata="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cL67WAAAACgEAAA8AAAAAAAAAAQAgAAAAIgAA&#10;AGRycy9kb3ducmV2LnhtbFBLAQIUABQAAAAIAIdO4kB/vBrACgIAAL8DAAAOAAAAAAAAAAEAIAAA&#10;ACUBAABkcnMvZTJvRG9jLnhtbFBLBQYAAAAABgAGAFkBAAChBQAAAAA=&#10;">
                <v:fill on="f" focussize="0,0"/>
                <v:stroke weight="2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4976495</wp:posOffset>
                </wp:positionH>
                <wp:positionV relativeFrom="paragraph">
                  <wp:posOffset>231140</wp:posOffset>
                </wp:positionV>
                <wp:extent cx="352425" cy="353060"/>
                <wp:effectExtent l="0" t="0" r="0" b="0"/>
                <wp:wrapNone/>
                <wp:docPr id="107" name="文本框 107"/>
                <wp:cNvGraphicFramePr/>
                <a:graphic xmlns:a="http://schemas.openxmlformats.org/drawingml/2006/main">
                  <a:graphicData uri="http://schemas.microsoft.com/office/word/2010/wordprocessingShape">
                    <wps:wsp>
                      <wps:cNvSpPr txBox="1"/>
                      <wps:spPr>
                        <a:xfrm>
                          <a:off x="6323965" y="2447925"/>
                          <a:ext cx="35242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color w:val="000000"/>
                                <w:sz w:val="44"/>
                                <w:szCs w:val="44"/>
                                <w:lang w:val="en-US" w:eastAsia="zh-CN"/>
                              </w:rPr>
                            </w:pPr>
                            <w:r>
                              <w:rPr>
                                <w:rFonts w:hint="default" w:ascii="Times New Roman" w:hAnsi="Times New Roman" w:eastAsia="宋体" w:cs="Times New Roman"/>
                                <w:b/>
                                <w:bCs/>
                                <w:color w:val="000000"/>
                                <w:sz w:val="44"/>
                                <w:szCs w:val="4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85pt;margin-top:18.2pt;height:27.8pt;width:27.75pt;z-index:251726848;mso-width-relative:page;mso-height-relative:page;" filled="f" stroked="f" coordsize="21600,21600" o:gfxdata="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LWHbAAAACQEAAA8AAAAAAAAAAQAgAAAAIgAAAGRycy9kb3ducmV2LnhtbFBL&#10;AQIUABQAAAAIAIdO4kA0xuNQLAIAACcEAAAOAAAAAAAAAAEAIAAAACoBAABkcnMvZTJvRG9jLnht&#10;bFBLBQYAAAAABgAGAFkBAADIBQAAAAA=&#10;">
                <v:fill on="f" focussize="0,0"/>
                <v:stroke on="f" weight="0.5pt"/>
                <v:imagedata o:title=""/>
                <o:lock v:ext="edit" aspectratio="f"/>
                <v:textbox>
                  <w:txbxContent>
                    <w:p>
                      <w:pPr>
                        <w:jc w:val="center"/>
                        <w:rPr>
                          <w:rFonts w:hint="default" w:ascii="Times New Roman" w:hAnsi="Times New Roman" w:eastAsia="宋体" w:cs="Times New Roman"/>
                          <w:b/>
                          <w:bCs/>
                          <w:color w:val="000000"/>
                          <w:sz w:val="44"/>
                          <w:szCs w:val="44"/>
                          <w:lang w:val="en-US" w:eastAsia="zh-CN"/>
                        </w:rPr>
                      </w:pPr>
                      <w:r>
                        <w:rPr>
                          <w:rFonts w:hint="default" w:ascii="Times New Roman" w:hAnsi="Times New Roman" w:eastAsia="宋体" w:cs="Times New Roman"/>
                          <w:b/>
                          <w:bCs/>
                          <w:color w:val="000000"/>
                          <w:sz w:val="44"/>
                          <w:szCs w:val="44"/>
                          <w:lang w:val="en-US" w:eastAsia="zh-CN"/>
                        </w:rPr>
                        <w:t>N</w:t>
                      </w:r>
                    </w:p>
                  </w:txbxContent>
                </v:textbox>
              </v:shape>
            </w:pict>
          </mc:Fallback>
        </mc:AlternateContent>
      </w:r>
      <w:r>
        <w:drawing>
          <wp:inline distT="0" distB="0" distL="114300" distR="114300">
            <wp:extent cx="5582285" cy="4987290"/>
            <wp:effectExtent l="0" t="0" r="18415" b="3810"/>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56"/>
                    <a:srcRect b="7644"/>
                    <a:stretch>
                      <a:fillRect/>
                    </a:stretch>
                  </pic:blipFill>
                  <pic:spPr>
                    <a:xfrm>
                      <a:off x="0" y="0"/>
                      <a:ext cx="5582285" cy="4987290"/>
                    </a:xfrm>
                    <a:prstGeom prst="rect">
                      <a:avLst/>
                    </a:prstGeom>
                    <a:noFill/>
                    <a:ln>
                      <a:noFill/>
                    </a:ln>
                  </pic:spPr>
                </pic:pic>
              </a:graphicData>
            </a:graphic>
          </wp:inline>
        </w:drawing>
      </w:r>
    </w:p>
    <w:p>
      <w:pPr>
        <w:widowControl w:val="0"/>
        <w:kinsoku/>
        <w:autoSpaceDE/>
        <w:autoSpaceDN/>
        <w:adjustRightInd/>
        <w:snapToGrid/>
        <w:spacing w:line="360" w:lineRule="auto"/>
        <w:ind w:left="420" w:hanging="482" w:hangingChars="200"/>
        <w:jc w:val="center"/>
        <w:textAlignment w:val="auto"/>
        <w:rPr>
          <w:rFonts w:hint="default" w:eastAsia="宋体"/>
          <w:b/>
          <w:bCs/>
          <w:sz w:val="24"/>
          <w:szCs w:val="24"/>
          <w:lang w:val="en-US" w:eastAsia="zh-CN"/>
        </w:rPr>
      </w:pPr>
      <w:r>
        <w:rPr>
          <w:rFonts w:hint="eastAsia" w:eastAsia="宋体"/>
          <w:b/>
          <w:bCs/>
          <w:sz w:val="24"/>
          <w:szCs w:val="24"/>
          <w:lang w:val="en-US" w:eastAsia="zh-CN"/>
        </w:rPr>
        <w:t>图5-8    叶县地貌图</w:t>
      </w:r>
    </w:p>
    <w:p>
      <w:pPr>
        <w:widowControl/>
        <w:kinsoku/>
        <w:autoSpaceDE/>
        <w:autoSpaceDN/>
        <w:adjustRightInd/>
        <w:snapToGrid/>
        <w:spacing w:line="360" w:lineRule="auto"/>
        <w:ind w:firstLine="482" w:firstLineChars="200"/>
        <w:jc w:val="both"/>
        <w:textAlignment w:val="auto"/>
        <w:rPr>
          <w:rFonts w:ascii="Times New Roman" w:hAnsi="Times New Roman" w:eastAsia="宋体" w:cs="Times New Roman"/>
          <w:b/>
          <w:bCs/>
          <w:snapToGrid/>
          <w:kern w:val="2"/>
          <w:sz w:val="24"/>
          <w:szCs w:val="24"/>
          <w:lang w:eastAsia="zh-CN"/>
        </w:rPr>
      </w:pPr>
      <w:r>
        <w:rPr>
          <w:rFonts w:hint="eastAsia" w:ascii="宋体" w:hAnsi="宋体" w:eastAsia="宋体" w:cs="宋体"/>
          <w:b/>
          <w:bCs/>
          <w:snapToGrid/>
          <w:color w:val="000000"/>
          <w:kern w:val="0"/>
          <w:sz w:val="24"/>
          <w:szCs w:val="24"/>
          <w:lang w:eastAsia="zh-CN" w:bidi="ar"/>
        </w:rPr>
        <w:t>（二）地层岩性</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在河南省地层区划中，整个平顶山辖区属华北地层区豫西</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豫东南分区。其主要地层由老到新分述如下：</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）上元古界震旦系（</w:t>
      </w:r>
      <w:r>
        <w:rPr>
          <w:rFonts w:ascii="Times New Roman" w:hAnsi="Times New Roman" w:eastAsia="宋体" w:cs="Times New Roman"/>
          <w:snapToGrid/>
          <w:color w:val="000000"/>
          <w:kern w:val="0"/>
          <w:sz w:val="24"/>
          <w:szCs w:val="24"/>
          <w:lang w:eastAsia="zh-CN" w:bidi="ar"/>
        </w:rPr>
        <w:t>Z</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分布于汝州市蟒川镇南部，宝丰县西部和南部，鲁山县瓦屋乡岳村北部、梁洼镇西部和下汤镇北部，平顶山矿区西南部，郏县北部地区，叶县常村，舞钢市柏庄寨、上曹和尹集一带。自下而上分为罗圈组、东坡组、黄连垛组和董家组。与下伏洛峪群崔庄组呈平行不整合接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color w:val="000000"/>
          <w:kern w:val="0"/>
          <w:sz w:val="24"/>
          <w:szCs w:val="24"/>
          <w:lang w:eastAsia="zh-CN" w:bidi="ar"/>
        </w:rPr>
      </w:pPr>
      <w:r>
        <w:rPr>
          <w:rFonts w:hint="eastAsia" w:ascii="宋体" w:hAnsi="宋体" w:eastAsia="宋体" w:cs="宋体"/>
          <w:snapToGrid/>
          <w:color w:val="000000"/>
          <w:kern w:val="0"/>
          <w:sz w:val="24"/>
          <w:szCs w:val="24"/>
          <w:lang w:eastAsia="zh-CN" w:bidi="ar"/>
        </w:rPr>
        <w:t>①罗圈组（</w:t>
      </w:r>
      <w:r>
        <w:rPr>
          <w:rFonts w:ascii="Times New Roman" w:hAnsi="Times New Roman" w:eastAsia="宋体" w:cs="Times New Roman"/>
          <w:snapToGrid/>
          <w:color w:val="000000"/>
          <w:kern w:val="0"/>
          <w:sz w:val="24"/>
          <w:szCs w:val="24"/>
          <w:lang w:eastAsia="zh-CN" w:bidi="ar"/>
        </w:rPr>
        <w:t>Zl</w:t>
      </w:r>
      <w:r>
        <w:rPr>
          <w:rFonts w:hint="eastAsia" w:ascii="宋体" w:hAnsi="宋体" w:eastAsia="宋体" w:cs="宋体"/>
          <w:snapToGrid/>
          <w:color w:val="000000"/>
          <w:kern w:val="0"/>
          <w:sz w:val="24"/>
          <w:szCs w:val="24"/>
          <w:lang w:eastAsia="zh-CN" w:bidi="ar"/>
        </w:rPr>
        <w:t>）：岩性为砖红</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灰绿色含砾砂泥岩、紫红色块状钙质泥砾岩等。属冰川成因。厚</w:t>
      </w:r>
      <w:r>
        <w:rPr>
          <w:rFonts w:ascii="Times New Roman" w:hAnsi="Times New Roman" w:eastAsia="宋体" w:cs="Times New Roman"/>
          <w:snapToGrid/>
          <w:color w:val="000000"/>
          <w:kern w:val="0"/>
          <w:sz w:val="24"/>
          <w:szCs w:val="24"/>
          <w:lang w:eastAsia="zh-CN" w:bidi="ar"/>
        </w:rPr>
        <w:t>91</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202m</w:t>
      </w:r>
      <w:r>
        <w:rPr>
          <w:rFonts w:hint="eastAsia" w:ascii="宋体" w:hAnsi="宋体" w:eastAsia="宋体" w:cs="宋体"/>
          <w:snapToGrid/>
          <w:color w:val="000000"/>
          <w:kern w:val="0"/>
          <w:sz w:val="24"/>
          <w:szCs w:val="24"/>
          <w:lang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②东坡组（</w:t>
      </w:r>
      <w:r>
        <w:rPr>
          <w:rFonts w:ascii="Times New Roman" w:hAnsi="Times New Roman" w:eastAsia="宋体" w:cs="Times New Roman"/>
          <w:snapToGrid/>
          <w:color w:val="000000"/>
          <w:kern w:val="0"/>
          <w:sz w:val="24"/>
          <w:szCs w:val="24"/>
          <w:lang w:eastAsia="zh-CN" w:bidi="ar"/>
        </w:rPr>
        <w:t>Zd</w:t>
      </w:r>
      <w:r>
        <w:rPr>
          <w:rFonts w:hint="eastAsia" w:ascii="宋体" w:hAnsi="宋体" w:eastAsia="宋体" w:cs="宋体"/>
          <w:snapToGrid/>
          <w:color w:val="000000"/>
          <w:kern w:val="0"/>
          <w:sz w:val="24"/>
          <w:szCs w:val="24"/>
          <w:lang w:eastAsia="zh-CN" w:bidi="ar"/>
        </w:rPr>
        <w:t>）：岩性主要为红褐粉砂质页岩、灰绿色页岩，上部夹海绿石粉砂岩。属浅海沉积。厚约</w:t>
      </w:r>
      <w:r>
        <w:rPr>
          <w:rFonts w:ascii="Times New Roman" w:hAnsi="Times New Roman" w:eastAsia="宋体" w:cs="Times New Roman"/>
          <w:snapToGrid/>
          <w:color w:val="000000"/>
          <w:kern w:val="0"/>
          <w:sz w:val="24"/>
          <w:szCs w:val="24"/>
          <w:lang w:eastAsia="zh-CN" w:bidi="ar"/>
        </w:rPr>
        <w:t>94m</w:t>
      </w:r>
      <w:r>
        <w:rPr>
          <w:rFonts w:hint="eastAsia" w:ascii="宋体" w:hAnsi="宋体" w:eastAsia="宋体" w:cs="宋体"/>
          <w:snapToGrid/>
          <w:color w:val="000000"/>
          <w:kern w:val="0"/>
          <w:sz w:val="24"/>
          <w:szCs w:val="24"/>
          <w:lang w:eastAsia="zh-CN" w:bidi="ar"/>
        </w:rPr>
        <w:t>。该组是伊利石矿的含矿层位。</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③黄连垛组（</w:t>
      </w:r>
      <w:r>
        <w:rPr>
          <w:rFonts w:ascii="Times New Roman" w:hAnsi="Times New Roman" w:eastAsia="宋体" w:cs="Times New Roman"/>
          <w:snapToGrid/>
          <w:color w:val="000000"/>
          <w:kern w:val="0"/>
          <w:sz w:val="24"/>
          <w:szCs w:val="24"/>
          <w:lang w:eastAsia="zh-CN" w:bidi="ar"/>
        </w:rPr>
        <w:t>Zh</w:t>
      </w:r>
      <w:r>
        <w:rPr>
          <w:rFonts w:hint="eastAsia" w:ascii="宋体" w:hAnsi="宋体" w:eastAsia="宋体" w:cs="宋体"/>
          <w:snapToGrid/>
          <w:color w:val="000000"/>
          <w:kern w:val="0"/>
          <w:sz w:val="24"/>
          <w:szCs w:val="24"/>
          <w:lang w:eastAsia="zh-CN" w:bidi="ar"/>
        </w:rPr>
        <w:t>）：岩性主要为硅质条带白云岩、白云岩，夹砂砾岩及石英砂岩，底为砾岩，顶为燧石岩。厚</w:t>
      </w:r>
      <w:r>
        <w:rPr>
          <w:rFonts w:ascii="Times New Roman" w:hAnsi="Times New Roman" w:eastAsia="宋体" w:cs="Times New Roman"/>
          <w:snapToGrid/>
          <w:color w:val="000000"/>
          <w:kern w:val="0"/>
          <w:sz w:val="24"/>
          <w:szCs w:val="24"/>
          <w:lang w:eastAsia="zh-CN" w:bidi="ar"/>
        </w:rPr>
        <w:t>133</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445m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④董家组（</w:t>
      </w:r>
      <w:r>
        <w:rPr>
          <w:rFonts w:ascii="Times New Roman" w:hAnsi="Times New Roman" w:eastAsia="宋体" w:cs="Times New Roman"/>
          <w:snapToGrid/>
          <w:color w:val="000000"/>
          <w:kern w:val="0"/>
          <w:sz w:val="24"/>
          <w:szCs w:val="24"/>
          <w:lang w:eastAsia="zh-CN" w:bidi="ar"/>
        </w:rPr>
        <w:t>Zdj</w:t>
      </w:r>
      <w:r>
        <w:rPr>
          <w:rFonts w:hint="eastAsia" w:ascii="宋体" w:hAnsi="宋体" w:eastAsia="宋体" w:cs="宋体"/>
          <w:snapToGrid/>
          <w:color w:val="000000"/>
          <w:kern w:val="0"/>
          <w:sz w:val="24"/>
          <w:szCs w:val="24"/>
          <w:lang w:eastAsia="zh-CN" w:bidi="ar"/>
        </w:rPr>
        <w:t>）：以灰白色厚层</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中厚层砂砾岩与下伏黄连垛组呈假整合接触。上部以黄色、淡红色厚层状泥质白云质灰岩与上覆罗圈组假整合接触。岩性主要由砂砾岩、碎屑岩、泥质碳酸盐岩组成。厚</w:t>
      </w:r>
      <w:r>
        <w:rPr>
          <w:rFonts w:ascii="Times New Roman" w:hAnsi="Times New Roman" w:eastAsia="宋体" w:cs="Times New Roman"/>
          <w:snapToGrid/>
          <w:color w:val="000000"/>
          <w:kern w:val="0"/>
          <w:sz w:val="24"/>
          <w:szCs w:val="24"/>
          <w:lang w:eastAsia="zh-CN" w:bidi="ar"/>
        </w:rPr>
        <w:t>100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260m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）下古生界寒武系（∈）</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广泛出露于汝州市北部和西南部，宝丰县南部，鲁山县梁洼镇段店、瓦屋乡岳村北部、下汤镇北部，郏县北部，石龙区，叶县保安东部一带。舞钢市柏庄寨、尹集有零星出露。平行不整合于震旦系东坡组之上。自下而上分为下统辛集组、朱砂硐组、馒头组，中统毛庄组、徐庄组和张夏组，上统崮山组和长山组，各组之间为整合接触。</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①辛集组（∈</w:t>
      </w:r>
      <w:r>
        <w:rPr>
          <w:rFonts w:ascii="Times New Roman" w:hAnsi="Times New Roman" w:eastAsia="宋体" w:cs="Times New Roman"/>
          <w:snapToGrid/>
          <w:color w:val="000000"/>
          <w:kern w:val="0"/>
          <w:sz w:val="24"/>
          <w:szCs w:val="24"/>
          <w:lang w:eastAsia="zh-CN" w:bidi="ar"/>
        </w:rPr>
        <w:t>1x</w:t>
      </w:r>
      <w:r>
        <w:rPr>
          <w:rFonts w:hint="eastAsia" w:ascii="宋体" w:hAnsi="宋体" w:eastAsia="宋体" w:cs="宋体"/>
          <w:snapToGrid/>
          <w:color w:val="000000"/>
          <w:kern w:val="0"/>
          <w:sz w:val="24"/>
          <w:szCs w:val="24"/>
          <w:lang w:eastAsia="zh-CN" w:bidi="ar"/>
        </w:rPr>
        <w:t>）：下部为含磷砂砾岩夹含海绿石砂岩，中部为生物碎屑灰岩夹含海绿石砂岩，上部为含鲕粒粉晶灰岩。厚</w:t>
      </w:r>
      <w:r>
        <w:rPr>
          <w:rFonts w:ascii="Times New Roman" w:hAnsi="Times New Roman" w:eastAsia="宋体" w:cs="Times New Roman"/>
          <w:snapToGrid/>
          <w:color w:val="000000"/>
          <w:kern w:val="0"/>
          <w:sz w:val="24"/>
          <w:szCs w:val="24"/>
          <w:lang w:eastAsia="zh-CN" w:bidi="ar"/>
        </w:rPr>
        <w:t>15</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86m</w:t>
      </w:r>
      <w:r>
        <w:rPr>
          <w:rFonts w:hint="eastAsia" w:ascii="宋体" w:hAnsi="宋体" w:eastAsia="宋体" w:cs="宋体"/>
          <w:snapToGrid/>
          <w:color w:val="000000"/>
          <w:kern w:val="0"/>
          <w:sz w:val="24"/>
          <w:szCs w:val="24"/>
          <w:lang w:eastAsia="zh-CN" w:bidi="ar"/>
        </w:rPr>
        <w:t>。该组是重要含磷层位。</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②朱砂硐组（∈</w:t>
      </w:r>
      <w:r>
        <w:rPr>
          <w:rFonts w:ascii="Times New Roman" w:hAnsi="Times New Roman" w:eastAsia="宋体" w:cs="Times New Roman"/>
          <w:snapToGrid/>
          <w:color w:val="000000"/>
          <w:kern w:val="0"/>
          <w:sz w:val="24"/>
          <w:szCs w:val="24"/>
          <w:lang w:eastAsia="zh-CN" w:bidi="ar"/>
        </w:rPr>
        <w:t>1z</w:t>
      </w:r>
      <w:r>
        <w:rPr>
          <w:rFonts w:hint="eastAsia" w:ascii="宋体" w:hAnsi="宋体" w:eastAsia="宋体" w:cs="宋体"/>
          <w:snapToGrid/>
          <w:color w:val="000000"/>
          <w:kern w:val="0"/>
          <w:sz w:val="24"/>
          <w:szCs w:val="24"/>
          <w:lang w:eastAsia="zh-CN" w:bidi="ar"/>
        </w:rPr>
        <w:t>）：主要为灰色厚层状白云质灰岩、含燧石白云质灰岩、豹皮状灰岩等。厚</w:t>
      </w:r>
      <w:r>
        <w:rPr>
          <w:rFonts w:ascii="Times New Roman" w:hAnsi="Times New Roman" w:eastAsia="宋体" w:cs="Times New Roman"/>
          <w:snapToGrid/>
          <w:color w:val="000000"/>
          <w:kern w:val="0"/>
          <w:sz w:val="24"/>
          <w:szCs w:val="24"/>
          <w:lang w:eastAsia="zh-CN" w:bidi="ar"/>
        </w:rPr>
        <w:t>42</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101m</w:t>
      </w:r>
      <w:r>
        <w:rPr>
          <w:rFonts w:hint="eastAsia" w:ascii="宋体" w:hAnsi="宋体" w:eastAsia="宋体" w:cs="宋体"/>
          <w:snapToGrid/>
          <w:color w:val="000000"/>
          <w:kern w:val="0"/>
          <w:sz w:val="24"/>
          <w:szCs w:val="24"/>
          <w:lang w:eastAsia="zh-CN" w:bidi="ar"/>
        </w:rPr>
        <w:t>。区域上该组是重要的含石膏层位。</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③馒头组（∈</w:t>
      </w:r>
      <w:r>
        <w:rPr>
          <w:rFonts w:ascii="Times New Roman" w:hAnsi="Times New Roman" w:eastAsia="宋体" w:cs="Times New Roman"/>
          <w:snapToGrid/>
          <w:color w:val="000000"/>
          <w:kern w:val="0"/>
          <w:sz w:val="24"/>
          <w:szCs w:val="24"/>
          <w:lang w:eastAsia="zh-CN" w:bidi="ar"/>
        </w:rPr>
        <w:t>1m</w:t>
      </w:r>
      <w:r>
        <w:rPr>
          <w:rFonts w:hint="eastAsia" w:ascii="宋体" w:hAnsi="宋体" w:eastAsia="宋体" w:cs="宋体"/>
          <w:snapToGrid/>
          <w:color w:val="000000"/>
          <w:kern w:val="0"/>
          <w:sz w:val="24"/>
          <w:szCs w:val="24"/>
          <w:lang w:eastAsia="zh-CN" w:bidi="ar"/>
        </w:rPr>
        <w:t>）：下部为细砂屑石灰岩、含粉晶白云岩、白云质灰岩；中部为泥晶</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细粉晶灰岩、白云岩，上部为泥质粉砂岩夹页岩等。厚</w:t>
      </w:r>
      <w:r>
        <w:rPr>
          <w:rFonts w:ascii="Times New Roman" w:hAnsi="Times New Roman" w:eastAsia="宋体" w:cs="Times New Roman"/>
          <w:snapToGrid/>
          <w:color w:val="000000"/>
          <w:kern w:val="0"/>
          <w:sz w:val="24"/>
          <w:szCs w:val="24"/>
          <w:lang w:eastAsia="zh-CN" w:bidi="ar"/>
        </w:rPr>
        <w:t>84</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180m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④毛庄组（∈</w:t>
      </w:r>
      <w:r>
        <w:rPr>
          <w:rFonts w:ascii="Times New Roman" w:hAnsi="Times New Roman" w:eastAsia="宋体" w:cs="Times New Roman"/>
          <w:snapToGrid/>
          <w:color w:val="000000"/>
          <w:kern w:val="0"/>
          <w:sz w:val="24"/>
          <w:szCs w:val="24"/>
          <w:lang w:eastAsia="zh-CN" w:bidi="ar"/>
        </w:rPr>
        <w:t>2mz</w:t>
      </w:r>
      <w:r>
        <w:rPr>
          <w:rFonts w:hint="eastAsia" w:ascii="宋体" w:hAnsi="宋体" w:eastAsia="宋体" w:cs="宋体"/>
          <w:snapToGrid/>
          <w:color w:val="000000"/>
          <w:kern w:val="0"/>
          <w:sz w:val="24"/>
          <w:szCs w:val="24"/>
          <w:lang w:eastAsia="zh-CN" w:bidi="ar"/>
        </w:rPr>
        <w:t>）：主要为暗紫红色泥质粉砂岩、粉砂岩夹紫红色泥岩，藻屑灰岩、鲕粒灰岩和泥晶灰岩等。厚</w:t>
      </w:r>
      <w:r>
        <w:rPr>
          <w:rFonts w:ascii="Times New Roman" w:hAnsi="Times New Roman" w:eastAsia="宋体" w:cs="Times New Roman"/>
          <w:snapToGrid/>
          <w:color w:val="000000"/>
          <w:kern w:val="0"/>
          <w:sz w:val="24"/>
          <w:szCs w:val="24"/>
          <w:lang w:eastAsia="zh-CN" w:bidi="ar"/>
        </w:rPr>
        <w:t>65</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138m</w:t>
      </w:r>
      <w:r>
        <w:rPr>
          <w:rFonts w:hint="eastAsia" w:ascii="宋体" w:hAnsi="宋体" w:eastAsia="宋体" w:cs="宋体"/>
          <w:snapToGrid/>
          <w:color w:val="000000"/>
          <w:kern w:val="0"/>
          <w:sz w:val="24"/>
          <w:szCs w:val="24"/>
          <w:lang w:eastAsia="zh-CN" w:bidi="ar"/>
        </w:rPr>
        <w:t>。该组是紫砂陶陶瓷土含矿层位置。</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⑤徐庄组（∈</w:t>
      </w:r>
      <w:r>
        <w:rPr>
          <w:rFonts w:ascii="Times New Roman" w:hAnsi="Times New Roman" w:eastAsia="宋体" w:cs="Times New Roman"/>
          <w:snapToGrid/>
          <w:color w:val="000000"/>
          <w:kern w:val="0"/>
          <w:sz w:val="24"/>
          <w:szCs w:val="24"/>
          <w:lang w:eastAsia="zh-CN" w:bidi="ar"/>
        </w:rPr>
        <w:t>2x</w:t>
      </w:r>
      <w:r>
        <w:rPr>
          <w:rFonts w:hint="eastAsia" w:ascii="宋体" w:hAnsi="宋体" w:eastAsia="宋体" w:cs="宋体"/>
          <w:snapToGrid/>
          <w:color w:val="000000"/>
          <w:kern w:val="0"/>
          <w:sz w:val="24"/>
          <w:szCs w:val="24"/>
          <w:lang w:eastAsia="zh-CN" w:bidi="ar"/>
        </w:rPr>
        <w:t>）：下部为泥质粉砂岩、粉砂质页岩夹薄层藻屑灰岩、泥晶灰岩。上部为中薄层鲕粒灰岩、砾屑灰岩、生物碎屑灰岩夹细砂岩、粉砂岩。厚</w:t>
      </w:r>
      <w:r>
        <w:rPr>
          <w:rFonts w:ascii="Times New Roman" w:hAnsi="Times New Roman" w:eastAsia="宋体" w:cs="Times New Roman"/>
          <w:snapToGrid/>
          <w:color w:val="000000"/>
          <w:kern w:val="0"/>
          <w:sz w:val="24"/>
          <w:szCs w:val="24"/>
          <w:lang w:eastAsia="zh-CN" w:bidi="ar"/>
        </w:rPr>
        <w:t>42</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343m</w:t>
      </w:r>
      <w:r>
        <w:rPr>
          <w:rFonts w:hint="eastAsia" w:ascii="宋体" w:hAnsi="宋体" w:eastAsia="宋体" w:cs="宋体"/>
          <w:snapToGrid/>
          <w:color w:val="000000"/>
          <w:kern w:val="0"/>
          <w:sz w:val="24"/>
          <w:szCs w:val="24"/>
          <w:lang w:eastAsia="zh-CN" w:bidi="ar"/>
        </w:rPr>
        <w:t>。该组是水泥灰岩重要含矿层位。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⑥张夏组（∈</w:t>
      </w:r>
      <w:r>
        <w:rPr>
          <w:rFonts w:ascii="Times New Roman" w:hAnsi="Times New Roman" w:eastAsia="宋体" w:cs="Times New Roman"/>
          <w:snapToGrid/>
          <w:color w:val="000000"/>
          <w:kern w:val="0"/>
          <w:sz w:val="24"/>
          <w:szCs w:val="24"/>
          <w:lang w:eastAsia="zh-CN" w:bidi="ar"/>
        </w:rPr>
        <w:t>2zh</w:t>
      </w:r>
      <w:r>
        <w:rPr>
          <w:rFonts w:hint="eastAsia" w:ascii="宋体" w:hAnsi="宋体" w:eastAsia="宋体" w:cs="宋体"/>
          <w:snapToGrid/>
          <w:color w:val="000000"/>
          <w:kern w:val="0"/>
          <w:sz w:val="24"/>
          <w:szCs w:val="24"/>
          <w:lang w:eastAsia="zh-CN" w:bidi="ar"/>
        </w:rPr>
        <w:t>）：下部以鲕粒灰岩为主，夹生物碎屑灰岩、泥晶灰岩等。上部为细晶白云岩、泥沙质白云岩及白云质灰岩等。厚</w:t>
      </w:r>
      <w:r>
        <w:rPr>
          <w:rFonts w:ascii="Times New Roman" w:hAnsi="Times New Roman" w:eastAsia="宋体" w:cs="Times New Roman"/>
          <w:snapToGrid/>
          <w:color w:val="000000"/>
          <w:kern w:val="0"/>
          <w:sz w:val="24"/>
          <w:szCs w:val="24"/>
          <w:lang w:eastAsia="zh-CN" w:bidi="ar"/>
        </w:rPr>
        <w:t>58</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141m</w:t>
      </w:r>
      <w:r>
        <w:rPr>
          <w:rFonts w:hint="eastAsia" w:ascii="宋体" w:hAnsi="宋体" w:eastAsia="宋体" w:cs="宋体"/>
          <w:snapToGrid/>
          <w:color w:val="000000"/>
          <w:kern w:val="0"/>
          <w:sz w:val="24"/>
          <w:szCs w:val="24"/>
          <w:lang w:eastAsia="zh-CN" w:bidi="ar"/>
        </w:rPr>
        <w:t>。该组是水泥灰岩、白云岩的重要含矿层位。</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⑦崮山组（∈</w:t>
      </w:r>
      <w:r>
        <w:rPr>
          <w:rFonts w:ascii="Times New Roman" w:hAnsi="Times New Roman" w:eastAsia="宋体" w:cs="Times New Roman"/>
          <w:snapToGrid/>
          <w:color w:val="000000"/>
          <w:kern w:val="0"/>
          <w:sz w:val="24"/>
          <w:szCs w:val="24"/>
          <w:lang w:eastAsia="zh-CN" w:bidi="ar"/>
        </w:rPr>
        <w:t>3g</w:t>
      </w:r>
      <w:r>
        <w:rPr>
          <w:rFonts w:hint="eastAsia" w:ascii="宋体" w:hAnsi="宋体" w:eastAsia="宋体" w:cs="宋体"/>
          <w:snapToGrid/>
          <w:color w:val="000000"/>
          <w:kern w:val="0"/>
          <w:sz w:val="24"/>
          <w:szCs w:val="24"/>
          <w:lang w:eastAsia="zh-CN" w:bidi="ar"/>
        </w:rPr>
        <w:t>）：上部为黄色薄板状含泥质条带白云质灰岩，下部为深灰色、灰色厚层鲕状白云质灰岩。厚</w:t>
      </w:r>
      <w:r>
        <w:rPr>
          <w:rFonts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189m</w:t>
      </w:r>
      <w:r>
        <w:rPr>
          <w:rFonts w:hint="eastAsia" w:ascii="宋体" w:hAnsi="宋体" w:eastAsia="宋体" w:cs="宋体"/>
          <w:snapToGrid/>
          <w:color w:val="000000"/>
          <w:kern w:val="0"/>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⑧长山组（∈</w:t>
      </w:r>
      <w:r>
        <w:rPr>
          <w:rFonts w:ascii="Times New Roman" w:hAnsi="Times New Roman" w:eastAsia="宋体" w:cs="Times New Roman"/>
          <w:snapToGrid/>
          <w:color w:val="000000"/>
          <w:kern w:val="0"/>
          <w:sz w:val="24"/>
          <w:szCs w:val="24"/>
          <w:lang w:eastAsia="zh-CN" w:bidi="ar"/>
        </w:rPr>
        <w:t>3c</w:t>
      </w:r>
      <w:r>
        <w:rPr>
          <w:rFonts w:hint="eastAsia" w:ascii="宋体" w:hAnsi="宋体" w:eastAsia="宋体" w:cs="宋体"/>
          <w:snapToGrid/>
          <w:color w:val="000000"/>
          <w:kern w:val="0"/>
          <w:sz w:val="24"/>
          <w:szCs w:val="24"/>
          <w:lang w:eastAsia="zh-CN" w:bidi="ar"/>
        </w:rPr>
        <w:t>）：上部为淡黄色泥质白云质灰岩，下部为灰色厚层状白云质灰岩。厚</w:t>
      </w:r>
      <w:r>
        <w:rPr>
          <w:rFonts w:ascii="Times New Roman" w:hAnsi="Times New Roman" w:eastAsia="宋体" w:cs="Times New Roman"/>
          <w:snapToGrid/>
          <w:color w:val="000000"/>
          <w:kern w:val="0"/>
          <w:sz w:val="24"/>
          <w:szCs w:val="24"/>
          <w:lang w:eastAsia="zh-CN" w:bidi="ar"/>
        </w:rPr>
        <w:t>52</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120m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）上古生界</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）石炭系（</w:t>
      </w:r>
      <w:r>
        <w:rPr>
          <w:rFonts w:ascii="Times New Roman" w:hAnsi="Times New Roman" w:eastAsia="宋体" w:cs="Times New Roman"/>
          <w:snapToGrid/>
          <w:color w:val="000000"/>
          <w:kern w:val="0"/>
          <w:sz w:val="24"/>
          <w:szCs w:val="24"/>
          <w:lang w:eastAsia="zh-CN" w:bidi="ar"/>
        </w:rPr>
        <w:t>C</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分布于汝州市寄料镇和蟒川镇，宝丰县，郏县北部，市区仅零星出露。自下而上分为本溪组和太原组。</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①本溪组（</w:t>
      </w:r>
      <w:r>
        <w:rPr>
          <w:rFonts w:ascii="Times New Roman" w:hAnsi="Times New Roman" w:eastAsia="宋体" w:cs="Times New Roman"/>
          <w:snapToGrid/>
          <w:color w:val="000000"/>
          <w:kern w:val="0"/>
          <w:sz w:val="24"/>
          <w:szCs w:val="24"/>
          <w:lang w:eastAsia="zh-CN" w:bidi="ar"/>
        </w:rPr>
        <w:t>C2b</w:t>
      </w:r>
      <w:r>
        <w:rPr>
          <w:rFonts w:hint="eastAsia" w:ascii="宋体" w:hAnsi="宋体" w:eastAsia="宋体" w:cs="宋体"/>
          <w:snapToGrid/>
          <w:color w:val="000000"/>
          <w:kern w:val="0"/>
          <w:sz w:val="24"/>
          <w:szCs w:val="24"/>
          <w:lang w:eastAsia="zh-CN" w:bidi="ar"/>
        </w:rPr>
        <w:t>）：主要由铝土矿、铝土质页岩、赤铁矿、铁铝质粘土岩组成。厚</w:t>
      </w: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16m</w:t>
      </w:r>
      <w:r>
        <w:rPr>
          <w:rFonts w:hint="eastAsia" w:ascii="宋体" w:hAnsi="宋体" w:eastAsia="宋体" w:cs="宋体"/>
          <w:snapToGrid/>
          <w:color w:val="000000"/>
          <w:kern w:val="0"/>
          <w:sz w:val="24"/>
          <w:szCs w:val="24"/>
          <w:lang w:eastAsia="zh-CN" w:bidi="ar"/>
        </w:rPr>
        <w:t>。该组是铁矿、铝土矿、耐火粘土矿及陶瓷粘土的重要含矿层位。</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②太原组（</w:t>
      </w:r>
      <w:r>
        <w:rPr>
          <w:rFonts w:ascii="Times New Roman" w:hAnsi="Times New Roman" w:eastAsia="宋体" w:cs="Times New Roman"/>
          <w:snapToGrid/>
          <w:color w:val="000000"/>
          <w:kern w:val="0"/>
          <w:sz w:val="24"/>
          <w:szCs w:val="24"/>
          <w:lang w:eastAsia="zh-CN" w:bidi="ar"/>
        </w:rPr>
        <w:t>C3t</w:t>
      </w:r>
      <w:r>
        <w:rPr>
          <w:rFonts w:hint="eastAsia" w:ascii="宋体" w:hAnsi="宋体" w:eastAsia="宋体" w:cs="宋体"/>
          <w:snapToGrid/>
          <w:color w:val="000000"/>
          <w:kern w:val="0"/>
          <w:sz w:val="24"/>
          <w:szCs w:val="24"/>
          <w:lang w:eastAsia="zh-CN" w:bidi="ar"/>
        </w:rPr>
        <w:t>）：下部为灰岩夹薄层煤（线），中部为泥岩夹薄层粉砂岩，上部为燧石团块灰岩、灰岩夹灰色砂岩。厚</w:t>
      </w:r>
      <w:r>
        <w:rPr>
          <w:rFonts w:ascii="Times New Roman" w:hAnsi="Times New Roman" w:eastAsia="宋体" w:cs="Times New Roman"/>
          <w:snapToGrid/>
          <w:color w:val="000000"/>
          <w:kern w:val="0"/>
          <w:sz w:val="24"/>
          <w:szCs w:val="24"/>
          <w:lang w:eastAsia="zh-CN" w:bidi="ar"/>
        </w:rPr>
        <w:t>7.5</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105m</w:t>
      </w:r>
      <w:r>
        <w:rPr>
          <w:rFonts w:hint="eastAsia" w:ascii="宋体" w:hAnsi="宋体" w:eastAsia="宋体" w:cs="宋体"/>
          <w:snapToGrid/>
          <w:color w:val="000000"/>
          <w:kern w:val="0"/>
          <w:sz w:val="24"/>
          <w:szCs w:val="24"/>
          <w:lang w:eastAsia="zh-CN" w:bidi="ar"/>
        </w:rPr>
        <w:t>。是煤、熔剂灰岩的重要含矿层。</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）二叠系（</w:t>
      </w:r>
      <w:r>
        <w:rPr>
          <w:rFonts w:ascii="Times New Roman" w:hAnsi="Times New Roman" w:eastAsia="宋体" w:cs="Times New Roman"/>
          <w:snapToGrid/>
          <w:color w:val="000000"/>
          <w:kern w:val="0"/>
          <w:sz w:val="24"/>
          <w:szCs w:val="24"/>
          <w:lang w:eastAsia="zh-CN" w:bidi="ar"/>
        </w:rPr>
        <w:t>P</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分布于汝州市小屯乡的朝川、临汝镇北部的暴雨山、寄料镇、焦古山周围，宝丰县，鲁山县梁洼镇，市区平顶山和韩梁矿区，郏县北部和东南部，是主要的含煤岩系。整合于石炭系太原组之上。自下而上分为山西组、石盒子组（</w:t>
      </w:r>
      <w:r>
        <w:rPr>
          <w:rFonts w:ascii="Times New Roman" w:hAnsi="Times New Roman" w:eastAsia="宋体" w:cs="Times New Roman"/>
          <w:snapToGrid/>
          <w:color w:val="000000"/>
          <w:kern w:val="0"/>
          <w:sz w:val="24"/>
          <w:szCs w:val="24"/>
          <w:lang w:eastAsia="zh-CN" w:bidi="ar"/>
        </w:rPr>
        <w:t>P1-2s</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①山西组（</w:t>
      </w:r>
      <w:r>
        <w:rPr>
          <w:rFonts w:ascii="Times New Roman" w:hAnsi="Times New Roman" w:eastAsia="宋体" w:cs="Times New Roman"/>
          <w:snapToGrid/>
          <w:color w:val="000000"/>
          <w:kern w:val="0"/>
          <w:sz w:val="24"/>
          <w:szCs w:val="24"/>
          <w:lang w:eastAsia="zh-CN" w:bidi="ar"/>
        </w:rPr>
        <w:t>P1s</w:t>
      </w:r>
      <w:r>
        <w:rPr>
          <w:rFonts w:hint="eastAsia" w:ascii="宋体" w:hAnsi="宋体" w:eastAsia="宋体" w:cs="宋体"/>
          <w:snapToGrid/>
          <w:color w:val="000000"/>
          <w:kern w:val="0"/>
          <w:sz w:val="24"/>
          <w:szCs w:val="24"/>
          <w:lang w:eastAsia="zh-CN" w:bidi="ar"/>
        </w:rPr>
        <w:t>）：岩性主要为灰白色中细粒长石石英砂岩、泥岩、深灰色细粒长石石英砂岩，夹二</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煤，上部为灰色杂斑含铝土泥岩。厚约</w:t>
      </w:r>
      <w:r>
        <w:rPr>
          <w:rFonts w:ascii="Times New Roman" w:hAnsi="Times New Roman" w:eastAsia="宋体" w:cs="Times New Roman"/>
          <w:snapToGrid/>
          <w:color w:val="000000"/>
          <w:kern w:val="0"/>
          <w:sz w:val="24"/>
          <w:szCs w:val="24"/>
          <w:lang w:eastAsia="zh-CN" w:bidi="ar"/>
        </w:rPr>
        <w:t>87.5m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②石盒子组（</w:t>
      </w:r>
      <w:r>
        <w:rPr>
          <w:rFonts w:ascii="Times New Roman" w:hAnsi="Times New Roman" w:eastAsia="宋体" w:cs="Times New Roman"/>
          <w:snapToGrid/>
          <w:color w:val="000000"/>
          <w:kern w:val="0"/>
          <w:sz w:val="24"/>
          <w:szCs w:val="24"/>
          <w:lang w:eastAsia="zh-CN" w:bidi="ar"/>
        </w:rPr>
        <w:t>P2s</w:t>
      </w:r>
      <w:r>
        <w:rPr>
          <w:rFonts w:hint="eastAsia" w:ascii="宋体" w:hAnsi="宋体" w:eastAsia="宋体" w:cs="宋体"/>
          <w:snapToGrid/>
          <w:color w:val="000000"/>
          <w:kern w:val="0"/>
          <w:sz w:val="24"/>
          <w:szCs w:val="24"/>
          <w:lang w:eastAsia="zh-CN" w:bidi="ar"/>
        </w:rPr>
        <w:t>）：为一套黄绿、灰紫红色页岩、泥岩、粉砂岩、长石石英砂岩等组成的河湖相沉积组成，局部夹薄煤层。</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）二叠系</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三叠系下统石千峰群（</w:t>
      </w:r>
      <w:r>
        <w:rPr>
          <w:rFonts w:ascii="Times New Roman" w:hAnsi="Times New Roman" w:eastAsia="宋体" w:cs="Times New Roman"/>
          <w:snapToGrid/>
          <w:color w:val="000000"/>
          <w:kern w:val="0"/>
          <w:sz w:val="24"/>
          <w:szCs w:val="24"/>
          <w:lang w:eastAsia="zh-CN" w:bidi="ar"/>
        </w:rPr>
        <w:t>P2sh</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分布于宝丰县，鲁山县梁洼镇，郏县北部、市区平顶山和韩梁矿区。自下而上划分为孙家沟组、刘家沟组、和尚沟组。</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①孙家沟组：由一套砖红、紫红色粘土岩夹紫红、灰绿色长石砂岩、长石石英砂岩及灰绿、灰白色页岩和泥灰岩透镜体等湖相沉积组成。局部含石膏。</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②刘家沟组：主要岩性为灰紫、紫红色细砂岩、长石砂岩、石英砂岩、钙质粉砂岩，夹砂质粘土岩。</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③和尚沟组：主要岩性为鲜红、暗紫红色钙质、砂质粘土岩、粉砂岩，夹暗紫、灰白色长石石英砂岩、含钙质结核。</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）中生界白垩系（</w:t>
      </w:r>
      <w:r>
        <w:rPr>
          <w:rFonts w:ascii="Times New Roman" w:hAnsi="Times New Roman" w:eastAsia="宋体" w:cs="Times New Roman"/>
          <w:snapToGrid/>
          <w:color w:val="000000"/>
          <w:kern w:val="0"/>
          <w:sz w:val="24"/>
          <w:szCs w:val="24"/>
          <w:lang w:eastAsia="zh-CN" w:bidi="ar"/>
        </w:rPr>
        <w:t>K</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分布于宝丰县大营镇、鲁山县梁洼镇一带。为一套河湖相火山喷发岩系，与下伏二叠系石千峰群呈角度不整合接触。下部为紫红、灰绿、深灰色泥质粉砂岩、粘土岩夹砾岩、泥灰岩；中、上部为玄武岩、安山玢岩、火山角砾岩夹紫红色母粒砂质粘土岩。厚</w:t>
      </w:r>
      <w:r>
        <w:rPr>
          <w:rFonts w:ascii="Times New Roman" w:hAnsi="Times New Roman" w:eastAsia="宋体" w:cs="Times New Roman"/>
          <w:snapToGrid/>
          <w:color w:val="000000"/>
          <w:kern w:val="0"/>
          <w:sz w:val="24"/>
          <w:szCs w:val="24"/>
          <w:lang w:eastAsia="zh-CN" w:bidi="ar"/>
        </w:rPr>
        <w:t>64</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163m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5</w:t>
      </w:r>
      <w:r>
        <w:rPr>
          <w:rFonts w:hint="eastAsia" w:ascii="宋体" w:hAnsi="宋体" w:eastAsia="宋体" w:cs="宋体"/>
          <w:snapToGrid/>
          <w:color w:val="000000"/>
          <w:kern w:val="0"/>
          <w:sz w:val="24"/>
          <w:szCs w:val="24"/>
          <w:lang w:eastAsia="zh-CN" w:bidi="ar"/>
        </w:rPr>
        <w:t>）新生界</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）古近系（</w:t>
      </w:r>
      <w:r>
        <w:rPr>
          <w:rFonts w:ascii="Times New Roman" w:hAnsi="Times New Roman" w:eastAsia="宋体" w:cs="Times New Roman"/>
          <w:snapToGrid/>
          <w:color w:val="000000"/>
          <w:kern w:val="0"/>
          <w:sz w:val="24"/>
          <w:szCs w:val="24"/>
          <w:lang w:eastAsia="zh-CN" w:bidi="ar"/>
        </w:rPr>
        <w:t>E</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汝州市寄料镇东北部出露陈宅沟组，岩性为紫红色钙质、铁质、泥质砂砾岩夹砂质泥岩。厚约</w:t>
      </w:r>
      <w:r>
        <w:rPr>
          <w:rFonts w:ascii="Times New Roman" w:hAnsi="Times New Roman" w:eastAsia="宋体" w:cs="Times New Roman"/>
          <w:snapToGrid/>
          <w:color w:val="000000"/>
          <w:kern w:val="0"/>
          <w:sz w:val="24"/>
          <w:szCs w:val="24"/>
          <w:lang w:eastAsia="zh-CN" w:bidi="ar"/>
        </w:rPr>
        <w:t>410m</w:t>
      </w:r>
      <w:r>
        <w:rPr>
          <w:rFonts w:hint="eastAsia" w:ascii="宋体" w:hAnsi="宋体" w:eastAsia="宋体" w:cs="宋体"/>
          <w:snapToGrid/>
          <w:color w:val="000000"/>
          <w:kern w:val="0"/>
          <w:sz w:val="24"/>
          <w:szCs w:val="24"/>
          <w:lang w:eastAsia="zh-CN" w:bidi="ar"/>
        </w:rPr>
        <w:t xml:space="preserve">。汝州市寄料镇西北和蟒川镇、宝丰县和市区内仅零星出露始新统蟒川组，主要由红色砾岩、砂砾岩、含砾钙质砂岩夹泥质粉砂岩、泥灰岩等组成。厚 </w:t>
      </w:r>
      <w:r>
        <w:rPr>
          <w:rFonts w:ascii="Times New Roman" w:hAnsi="Times New Roman" w:eastAsia="宋体" w:cs="Times New Roman"/>
          <w:snapToGrid/>
          <w:color w:val="000000"/>
          <w:kern w:val="0"/>
          <w:sz w:val="24"/>
          <w:szCs w:val="24"/>
          <w:lang w:eastAsia="zh-CN" w:bidi="ar"/>
        </w:rPr>
        <w:t>50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640m</w:t>
      </w:r>
      <w:r>
        <w:rPr>
          <w:rFonts w:hint="eastAsia" w:ascii="宋体" w:hAnsi="宋体" w:eastAsia="宋体" w:cs="宋体"/>
          <w:snapToGrid/>
          <w:color w:val="000000"/>
          <w:kern w:val="0"/>
          <w:sz w:val="24"/>
          <w:szCs w:val="24"/>
          <w:lang w:eastAsia="zh-CN" w:bidi="ar"/>
        </w:rPr>
        <w:t>。汝州市杨楼乡南部的石台和寄料北部的高沟一带出露石台街组，岩性为红色砂质页岩与砂质泥岩互层夹红色钙质、铁质胶结物的砾岩。厚约</w:t>
      </w:r>
      <w:r>
        <w:rPr>
          <w:rFonts w:ascii="Times New Roman" w:hAnsi="Times New Roman" w:eastAsia="宋体" w:cs="Times New Roman"/>
          <w:snapToGrid/>
          <w:color w:val="000000"/>
          <w:kern w:val="0"/>
          <w:sz w:val="24"/>
          <w:szCs w:val="24"/>
          <w:lang w:eastAsia="zh-CN" w:bidi="ar"/>
        </w:rPr>
        <w:t>834m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）新近系（</w:t>
      </w:r>
      <w:r>
        <w:rPr>
          <w:rFonts w:ascii="Times New Roman" w:hAnsi="Times New Roman" w:eastAsia="宋体" w:cs="Times New Roman"/>
          <w:snapToGrid/>
          <w:color w:val="000000"/>
          <w:kern w:val="0"/>
          <w:sz w:val="24"/>
          <w:szCs w:val="24"/>
          <w:lang w:eastAsia="zh-CN" w:bidi="ar"/>
        </w:rPr>
        <w:t>N</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汝州市临汝镇西部、庙下乡东部及寄料镇北部，宝丰县，鲁山县董周、张飞沟一带，市区、郏县北部北竹园沟出露中新统洛阳组（</w:t>
      </w:r>
      <w:r>
        <w:rPr>
          <w:rFonts w:ascii="Times New Roman" w:hAnsi="Times New Roman" w:eastAsia="宋体" w:cs="Times New Roman"/>
          <w:snapToGrid/>
          <w:color w:val="000000"/>
          <w:kern w:val="0"/>
          <w:sz w:val="24"/>
          <w:szCs w:val="24"/>
          <w:lang w:eastAsia="zh-CN" w:bidi="ar"/>
        </w:rPr>
        <w:t>N1ly</w:t>
      </w:r>
      <w:r>
        <w:rPr>
          <w:rFonts w:hint="eastAsia" w:ascii="宋体" w:hAnsi="宋体" w:eastAsia="宋体" w:cs="宋体"/>
          <w:snapToGrid/>
          <w:color w:val="000000"/>
          <w:kern w:val="0"/>
          <w:sz w:val="24"/>
          <w:szCs w:val="24"/>
          <w:lang w:eastAsia="zh-CN" w:bidi="ar"/>
        </w:rPr>
        <w:t>）、大安组（</w:t>
      </w:r>
      <w:r>
        <w:rPr>
          <w:rFonts w:ascii="Times New Roman" w:hAnsi="Times New Roman" w:eastAsia="宋体" w:cs="Times New Roman"/>
          <w:snapToGrid/>
          <w:color w:val="000000"/>
          <w:kern w:val="0"/>
          <w:sz w:val="24"/>
          <w:szCs w:val="24"/>
          <w:lang w:eastAsia="zh-CN" w:bidi="ar"/>
        </w:rPr>
        <w:t>N1da</w:t>
      </w:r>
      <w:r>
        <w:rPr>
          <w:rFonts w:hint="eastAsia" w:ascii="宋体" w:hAnsi="宋体" w:eastAsia="宋体" w:cs="宋体"/>
          <w:snapToGrid/>
          <w:color w:val="000000"/>
          <w:kern w:val="0"/>
          <w:sz w:val="24"/>
          <w:szCs w:val="24"/>
          <w:lang w:eastAsia="zh-CN" w:bidi="ar"/>
        </w:rPr>
        <w:t>）和上新统潞王坟组（</w:t>
      </w:r>
      <w:r>
        <w:rPr>
          <w:rFonts w:ascii="Times New Roman" w:hAnsi="Times New Roman" w:eastAsia="宋体" w:cs="Times New Roman"/>
          <w:snapToGrid/>
          <w:color w:val="000000"/>
          <w:kern w:val="0"/>
          <w:sz w:val="24"/>
          <w:szCs w:val="24"/>
          <w:lang w:eastAsia="zh-CN" w:bidi="ar"/>
        </w:rPr>
        <w:t>N2lw</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①洛阳组（</w:t>
      </w:r>
      <w:r>
        <w:rPr>
          <w:rFonts w:ascii="Times New Roman" w:hAnsi="Times New Roman" w:eastAsia="宋体" w:cs="Times New Roman"/>
          <w:snapToGrid/>
          <w:color w:val="000000"/>
          <w:kern w:val="0"/>
          <w:sz w:val="24"/>
          <w:szCs w:val="24"/>
          <w:lang w:eastAsia="zh-CN" w:bidi="ar"/>
        </w:rPr>
        <w:t>N1ly</w:t>
      </w:r>
      <w:r>
        <w:rPr>
          <w:rFonts w:hint="eastAsia" w:ascii="宋体" w:hAnsi="宋体" w:eastAsia="宋体" w:cs="宋体"/>
          <w:snapToGrid/>
          <w:color w:val="000000"/>
          <w:kern w:val="0"/>
          <w:sz w:val="24"/>
          <w:szCs w:val="24"/>
          <w:lang w:eastAsia="zh-CN" w:bidi="ar"/>
        </w:rPr>
        <w:t>）：岩性变化较大，下部主要为杂色钙质或泥沙质胶结砾岩；中部为褐黄、褐红色砂质泥岩与砂、粉砂质泥岩互层；上部褐黄色、灰白色砂质泥灰岩与砂质泥灰岩互层夹砂砾岩。厚</w:t>
      </w:r>
      <w:r>
        <w:rPr>
          <w:rFonts w:ascii="Times New Roman" w:hAnsi="Times New Roman" w:eastAsia="宋体" w:cs="Times New Roman"/>
          <w:snapToGrid/>
          <w:color w:val="000000"/>
          <w:kern w:val="0"/>
          <w:sz w:val="24"/>
          <w:szCs w:val="24"/>
          <w:lang w:eastAsia="zh-CN" w:bidi="ar"/>
        </w:rPr>
        <w:t>24</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42m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②大安组（</w:t>
      </w:r>
      <w:r>
        <w:rPr>
          <w:rFonts w:ascii="Times New Roman" w:hAnsi="Times New Roman" w:eastAsia="宋体" w:cs="Times New Roman"/>
          <w:snapToGrid/>
          <w:color w:val="000000"/>
          <w:kern w:val="0"/>
          <w:sz w:val="24"/>
          <w:szCs w:val="24"/>
          <w:lang w:eastAsia="zh-CN" w:bidi="ar"/>
        </w:rPr>
        <w:t>N1da</w:t>
      </w:r>
      <w:r>
        <w:rPr>
          <w:rFonts w:hint="eastAsia" w:ascii="宋体" w:hAnsi="宋体" w:eastAsia="宋体" w:cs="宋体"/>
          <w:snapToGrid/>
          <w:color w:val="000000"/>
          <w:kern w:val="0"/>
          <w:sz w:val="24"/>
          <w:szCs w:val="24"/>
          <w:lang w:eastAsia="zh-CN" w:bidi="ar"/>
        </w:rPr>
        <w:t>）：岩性主要为橄榄玄武岩、辉石橄榄玄武岩、橄榄玻璃玄武岩。厚</w:t>
      </w:r>
      <w:r>
        <w:rPr>
          <w:rFonts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118m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③潞王坟组（</w:t>
      </w:r>
      <w:r>
        <w:rPr>
          <w:rFonts w:ascii="Times New Roman" w:hAnsi="Times New Roman" w:eastAsia="宋体" w:cs="Times New Roman"/>
          <w:snapToGrid/>
          <w:color w:val="000000"/>
          <w:kern w:val="0"/>
          <w:sz w:val="24"/>
          <w:szCs w:val="24"/>
          <w:lang w:eastAsia="zh-CN" w:bidi="ar"/>
        </w:rPr>
        <w:t>N2lw</w:t>
      </w:r>
      <w:r>
        <w:rPr>
          <w:rFonts w:hint="eastAsia" w:ascii="宋体" w:hAnsi="宋体" w:eastAsia="宋体" w:cs="宋体"/>
          <w:snapToGrid/>
          <w:color w:val="000000"/>
          <w:kern w:val="0"/>
          <w:sz w:val="24"/>
          <w:szCs w:val="24"/>
          <w:lang w:eastAsia="zh-CN" w:bidi="ar"/>
        </w:rPr>
        <w:t>）：岩性主要为灰白色泥晶灰岩、粘土岩等。厚约</w:t>
      </w:r>
      <w:r>
        <w:rPr>
          <w:rFonts w:ascii="Times New Roman" w:hAnsi="Times New Roman" w:eastAsia="宋体" w:cs="Times New Roman"/>
          <w:snapToGrid/>
          <w:color w:val="000000"/>
          <w:kern w:val="0"/>
          <w:sz w:val="24"/>
          <w:szCs w:val="24"/>
          <w:lang w:eastAsia="zh-CN" w:bidi="ar"/>
        </w:rPr>
        <w:t>35m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）第四系（</w:t>
      </w:r>
      <w:r>
        <w:rPr>
          <w:rFonts w:ascii="Times New Roman" w:hAnsi="Times New Roman" w:eastAsia="宋体" w:cs="Times New Roman"/>
          <w:snapToGrid/>
          <w:color w:val="000000"/>
          <w:kern w:val="0"/>
          <w:sz w:val="24"/>
          <w:szCs w:val="24"/>
          <w:lang w:eastAsia="zh-CN" w:bidi="ar"/>
        </w:rPr>
        <w:t>Q</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工作区内第四系十分发育，广泛分布于平原、山间盆地和山前岗丘地带，成因类型复杂，出露厚度</w:t>
      </w:r>
      <w:r>
        <w:rPr>
          <w:rFonts w:ascii="Times New Roman" w:hAnsi="Times New Roman" w:eastAsia="宋体" w:cs="Times New Roman"/>
          <w:snapToGrid/>
          <w:color w:val="000000"/>
          <w:kern w:val="0"/>
          <w:sz w:val="24"/>
          <w:szCs w:val="24"/>
          <w:lang w:eastAsia="zh-CN" w:bidi="ar"/>
        </w:rPr>
        <w:t>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20m</w:t>
      </w:r>
      <w:r>
        <w:rPr>
          <w:rFonts w:hint="eastAsia" w:ascii="宋体" w:hAnsi="宋体" w:eastAsia="宋体" w:cs="宋体"/>
          <w:snapToGrid/>
          <w:color w:val="000000"/>
          <w:kern w:val="0"/>
          <w:sz w:val="24"/>
          <w:szCs w:val="24"/>
          <w:lang w:eastAsia="zh-CN" w:bidi="ar"/>
        </w:rPr>
        <w:t>，钻孔揭露厚度多在</w:t>
      </w:r>
      <w:r>
        <w:rPr>
          <w:rFonts w:ascii="Times New Roman" w:hAnsi="Times New Roman" w:eastAsia="宋体" w:cs="Times New Roman"/>
          <w:snapToGrid/>
          <w:color w:val="000000"/>
          <w:kern w:val="0"/>
          <w:sz w:val="24"/>
          <w:szCs w:val="24"/>
          <w:lang w:eastAsia="zh-CN" w:bidi="ar"/>
        </w:rPr>
        <w:t>100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200m</w:t>
      </w:r>
      <w:r>
        <w:rPr>
          <w:rFonts w:hint="eastAsia" w:ascii="宋体" w:hAnsi="宋体" w:eastAsia="宋体" w:cs="宋体"/>
          <w:snapToGrid/>
          <w:color w:val="000000"/>
          <w:kern w:val="0"/>
          <w:sz w:val="24"/>
          <w:szCs w:val="24"/>
          <w:lang w:eastAsia="zh-CN" w:bidi="ar"/>
        </w:rPr>
        <w:t>之间，与下伏新近系及其以前的老地层皆为角度不整合接触。根据岩性特征、古生物资料、接触关系、同位素年龄等，将区内第四系按其相对时代及成因类型自下而上划分为下更新统、中更新统、上更新统和全新统。</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①下更新统（</w:t>
      </w:r>
      <w:r>
        <w:rPr>
          <w:rFonts w:ascii="Times New Roman" w:hAnsi="Times New Roman" w:eastAsia="宋体" w:cs="Times New Roman"/>
          <w:snapToGrid/>
          <w:color w:val="000000"/>
          <w:kern w:val="0"/>
          <w:sz w:val="24"/>
          <w:szCs w:val="24"/>
          <w:lang w:eastAsia="zh-CN" w:bidi="ar"/>
        </w:rPr>
        <w:t>Qp1</w:t>
      </w:r>
      <w:r>
        <w:rPr>
          <w:rFonts w:hint="eastAsia" w:ascii="宋体" w:hAnsi="宋体" w:eastAsia="宋体" w:cs="宋体"/>
          <w:snapToGrid/>
          <w:color w:val="000000"/>
          <w:kern w:val="0"/>
          <w:sz w:val="24"/>
          <w:szCs w:val="24"/>
          <w:lang w:eastAsia="zh-CN" w:bidi="ar"/>
        </w:rPr>
        <w:t>）：主要分布于鲁山县昭平台水库两侧及宝丰县、郏县、市区、叶县、舞钢等地的山前岗坡地带，与新近系及其以前的老地层呈角度不整合接触，其上被中更新统和上更新统地层覆盖，主体岩性为岗地砾石层夹黏土层，出露厚度大于</w:t>
      </w:r>
      <w:r>
        <w:rPr>
          <w:rFonts w:ascii="Times New Roman" w:hAnsi="Times New Roman" w:eastAsia="宋体" w:cs="Times New Roman"/>
          <w:snapToGrid/>
          <w:color w:val="000000"/>
          <w:kern w:val="0"/>
          <w:sz w:val="24"/>
          <w:szCs w:val="24"/>
          <w:lang w:eastAsia="zh-CN" w:bidi="ar"/>
        </w:rPr>
        <w:t>15m</w:t>
      </w:r>
      <w:r>
        <w:rPr>
          <w:rFonts w:hint="eastAsia" w:ascii="宋体" w:hAnsi="宋体" w:eastAsia="宋体" w:cs="宋体"/>
          <w:snapToGrid/>
          <w:color w:val="000000"/>
          <w:kern w:val="0"/>
          <w:sz w:val="24"/>
          <w:szCs w:val="24"/>
          <w:lang w:eastAsia="zh-CN" w:bidi="ar"/>
        </w:rPr>
        <w:t>，地貌上构成</w:t>
      </w:r>
      <w:r>
        <w:rPr>
          <w:rFonts w:ascii="Times New Roman" w:hAnsi="Times New Roman" w:eastAsia="宋体" w:cs="Times New Roman"/>
          <w:snapToGrid/>
          <w:color w:val="000000"/>
          <w:kern w:val="0"/>
          <w:sz w:val="24"/>
          <w:szCs w:val="24"/>
          <w:lang w:eastAsia="zh-CN" w:bidi="ar"/>
        </w:rPr>
        <w:t>Ⅳ</w:t>
      </w:r>
      <w:r>
        <w:rPr>
          <w:rFonts w:hint="eastAsia" w:ascii="宋体" w:hAnsi="宋体" w:eastAsia="宋体" w:cs="宋体"/>
          <w:snapToGrid/>
          <w:color w:val="000000"/>
          <w:kern w:val="0"/>
          <w:sz w:val="24"/>
          <w:szCs w:val="24"/>
          <w:lang w:eastAsia="zh-CN" w:bidi="ar"/>
        </w:rPr>
        <w:t>级阶地。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②中更新统（</w:t>
      </w:r>
      <w:r>
        <w:rPr>
          <w:rFonts w:ascii="Times New Roman" w:hAnsi="Times New Roman" w:eastAsia="宋体" w:cs="Times New Roman"/>
          <w:snapToGrid/>
          <w:color w:val="000000"/>
          <w:kern w:val="0"/>
          <w:sz w:val="24"/>
          <w:szCs w:val="24"/>
          <w:lang w:eastAsia="zh-CN" w:bidi="ar"/>
        </w:rPr>
        <w:t>Qp2</w:t>
      </w:r>
      <w:r>
        <w:rPr>
          <w:rFonts w:hint="eastAsia" w:ascii="宋体" w:hAnsi="宋体" w:eastAsia="宋体" w:cs="宋体"/>
          <w:snapToGrid/>
          <w:color w:val="000000"/>
          <w:kern w:val="0"/>
          <w:sz w:val="24"/>
          <w:szCs w:val="24"/>
          <w:lang w:eastAsia="zh-CN" w:bidi="ar"/>
        </w:rPr>
        <w:t>）：多分布于汝州、宝丰、郏县等山前冲洪积倾斜平原地带，成因类型为冲洪积复合型。岩性下部为红色含砾石粘土层、砂砾石、亚砂土，夹有粘土及亚粘土层；中部为红、灰绿色粘土、砂质粘土层；上部为红褐色粘土夹灰绿色粘土</w:t>
      </w:r>
      <w:r>
        <w:rPr>
          <w:rFonts w:hint="eastAsia"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含大量棱角状岩屑及砂粒，偶见钙质结核，直径可达</w:t>
      </w:r>
      <w:r>
        <w:rPr>
          <w:rFonts w:ascii="Times New Roman" w:hAnsi="Times New Roman" w:eastAsia="宋体" w:cs="Times New Roman"/>
          <w:snapToGrid/>
          <w:color w:val="000000"/>
          <w:kern w:val="0"/>
          <w:sz w:val="24"/>
          <w:szCs w:val="24"/>
          <w:lang w:eastAsia="zh-CN" w:bidi="ar"/>
        </w:rPr>
        <w:t>30cm</w:t>
      </w:r>
      <w:r>
        <w:rPr>
          <w:rFonts w:hint="eastAsia" w:ascii="宋体" w:hAnsi="宋体" w:eastAsia="宋体" w:cs="宋体"/>
          <w:snapToGrid/>
          <w:color w:val="000000"/>
          <w:kern w:val="0"/>
          <w:sz w:val="24"/>
          <w:szCs w:val="24"/>
          <w:lang w:eastAsia="zh-CN" w:bidi="ar"/>
        </w:rPr>
        <w:t>，并含不成形的铁锰结核；顶部为黄褐色含砾砂质粘土。地貌上多呈舒缓起伏状，构成</w:t>
      </w:r>
      <w:r>
        <w:rPr>
          <w:rFonts w:ascii="Times New Roman" w:hAnsi="Times New Roman" w:eastAsia="宋体" w:cs="Times New Roman"/>
          <w:snapToGrid/>
          <w:color w:val="000000"/>
          <w:kern w:val="0"/>
          <w:sz w:val="24"/>
          <w:szCs w:val="24"/>
          <w:lang w:eastAsia="zh-CN" w:bidi="ar"/>
        </w:rPr>
        <w:t>Ⅲ</w:t>
      </w:r>
      <w:r>
        <w:rPr>
          <w:rFonts w:hint="eastAsia" w:ascii="宋体" w:hAnsi="宋体" w:eastAsia="宋体" w:cs="宋体"/>
          <w:snapToGrid/>
          <w:color w:val="000000"/>
          <w:kern w:val="0"/>
          <w:sz w:val="24"/>
          <w:szCs w:val="24"/>
          <w:lang w:eastAsia="zh-CN" w:bidi="ar"/>
        </w:rPr>
        <w:t>级阶地。</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③上更新统（</w:t>
      </w:r>
      <w:r>
        <w:rPr>
          <w:rFonts w:ascii="Times New Roman" w:hAnsi="Times New Roman" w:eastAsia="宋体" w:cs="Times New Roman"/>
          <w:snapToGrid/>
          <w:color w:val="000000"/>
          <w:kern w:val="0"/>
          <w:sz w:val="24"/>
          <w:szCs w:val="24"/>
          <w:lang w:eastAsia="zh-CN" w:bidi="ar"/>
        </w:rPr>
        <w:t>Qp3</w:t>
      </w:r>
      <w:r>
        <w:rPr>
          <w:rFonts w:hint="eastAsia" w:ascii="宋体" w:hAnsi="宋体" w:eastAsia="宋体" w:cs="宋体"/>
          <w:snapToGrid/>
          <w:color w:val="000000"/>
          <w:kern w:val="0"/>
          <w:sz w:val="24"/>
          <w:szCs w:val="24"/>
          <w:lang w:eastAsia="zh-CN" w:bidi="ar"/>
        </w:rPr>
        <w:t>）：分布于山前倾斜平原及汝河、沙河等河流的两岸，地貌上构成</w:t>
      </w:r>
      <w:r>
        <w:rPr>
          <w:rFonts w:ascii="Times New Roman" w:hAnsi="Times New Roman" w:eastAsia="宋体" w:cs="Times New Roman"/>
          <w:snapToGrid/>
          <w:color w:val="000000"/>
          <w:kern w:val="0"/>
          <w:sz w:val="24"/>
          <w:szCs w:val="24"/>
          <w:lang w:eastAsia="zh-CN" w:bidi="ar"/>
        </w:rPr>
        <w:t>Ⅱ</w:t>
      </w:r>
      <w:r>
        <w:rPr>
          <w:rFonts w:hint="eastAsia" w:ascii="宋体" w:hAnsi="宋体" w:eastAsia="宋体" w:cs="宋体"/>
          <w:snapToGrid/>
          <w:color w:val="000000"/>
          <w:kern w:val="0"/>
          <w:sz w:val="24"/>
          <w:szCs w:val="24"/>
          <w:lang w:eastAsia="zh-CN" w:bidi="ar"/>
        </w:rPr>
        <w:t>级阶地，与</w:t>
      </w:r>
      <w:r>
        <w:rPr>
          <w:rFonts w:ascii="Times New Roman" w:hAnsi="Times New Roman" w:eastAsia="宋体" w:cs="Times New Roman"/>
          <w:snapToGrid/>
          <w:color w:val="000000"/>
          <w:kern w:val="0"/>
          <w:sz w:val="24"/>
          <w:szCs w:val="24"/>
          <w:lang w:eastAsia="zh-CN" w:bidi="ar"/>
        </w:rPr>
        <w:t>Ⅰ</w:t>
      </w:r>
      <w:r>
        <w:rPr>
          <w:rFonts w:hint="eastAsia" w:ascii="宋体" w:hAnsi="宋体" w:eastAsia="宋体" w:cs="宋体"/>
          <w:snapToGrid/>
          <w:color w:val="000000"/>
          <w:kern w:val="0"/>
          <w:sz w:val="24"/>
          <w:szCs w:val="24"/>
          <w:lang w:eastAsia="zh-CN" w:bidi="ar"/>
        </w:rPr>
        <w:t>级和</w:t>
      </w:r>
      <w:r>
        <w:rPr>
          <w:rFonts w:ascii="Times New Roman" w:hAnsi="Times New Roman" w:eastAsia="宋体" w:cs="Times New Roman"/>
          <w:snapToGrid/>
          <w:color w:val="000000"/>
          <w:kern w:val="0"/>
          <w:sz w:val="24"/>
          <w:szCs w:val="24"/>
          <w:lang w:eastAsia="zh-CN" w:bidi="ar"/>
        </w:rPr>
        <w:t>Ⅲ</w:t>
      </w:r>
      <w:r>
        <w:rPr>
          <w:rFonts w:hint="eastAsia" w:ascii="宋体" w:hAnsi="宋体" w:eastAsia="宋体" w:cs="宋体"/>
          <w:snapToGrid/>
          <w:color w:val="000000"/>
          <w:kern w:val="0"/>
          <w:sz w:val="24"/>
          <w:szCs w:val="24"/>
          <w:lang w:eastAsia="zh-CN" w:bidi="ar"/>
        </w:rPr>
        <w:t>级阶地呈截切关系，岩性主要为泥质中（细）砂、粉土、褐黄色母粒质粘土、粘土，含有砂砾。垂直节理发育，含有不规则状结核。厚</w:t>
      </w:r>
      <w:r>
        <w:rPr>
          <w:rFonts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30m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④全新统（</w:t>
      </w:r>
      <w:r>
        <w:rPr>
          <w:rFonts w:ascii="Times New Roman" w:hAnsi="Times New Roman" w:eastAsia="宋体" w:cs="Times New Roman"/>
          <w:snapToGrid/>
          <w:color w:val="000000"/>
          <w:kern w:val="0"/>
          <w:sz w:val="24"/>
          <w:szCs w:val="24"/>
          <w:lang w:eastAsia="zh-CN" w:bidi="ar"/>
        </w:rPr>
        <w:t>Qh</w:t>
      </w:r>
      <w:r>
        <w:rPr>
          <w:rFonts w:hint="eastAsia" w:ascii="宋体" w:hAnsi="宋体" w:eastAsia="宋体" w:cs="宋体"/>
          <w:snapToGrid/>
          <w:color w:val="000000"/>
          <w:kern w:val="0"/>
          <w:sz w:val="24"/>
          <w:szCs w:val="24"/>
          <w:lang w:eastAsia="zh-CN" w:bidi="ar"/>
        </w:rPr>
        <w:t>）：主要分布于区内大小河流两岸及河谷中，按岩性、地貌特征分为下部冲积层和上部冲积层。下部冲积层主要分布于区内各大河流及其支流两岸，形成河流</w:t>
      </w:r>
      <w:r>
        <w:rPr>
          <w:rFonts w:ascii="Times New Roman" w:hAnsi="Times New Roman" w:eastAsia="宋体" w:cs="Times New Roman"/>
          <w:snapToGrid/>
          <w:color w:val="000000"/>
          <w:kern w:val="0"/>
          <w:sz w:val="24"/>
          <w:szCs w:val="24"/>
          <w:lang w:eastAsia="zh-CN" w:bidi="ar"/>
        </w:rPr>
        <w:t>Ⅰ</w:t>
      </w:r>
      <w:r>
        <w:rPr>
          <w:rFonts w:hint="eastAsia" w:ascii="宋体" w:hAnsi="宋体" w:eastAsia="宋体" w:cs="宋体"/>
          <w:snapToGrid/>
          <w:color w:val="000000"/>
          <w:kern w:val="0"/>
          <w:sz w:val="24"/>
          <w:szCs w:val="24"/>
          <w:lang w:eastAsia="zh-CN" w:bidi="ar"/>
        </w:rPr>
        <w:t>级阶地，由粉质粘土、砂土及砾石层组成，厚</w:t>
      </w: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9m</w:t>
      </w:r>
      <w:r>
        <w:rPr>
          <w:rFonts w:hint="eastAsia" w:ascii="宋体" w:hAnsi="宋体" w:eastAsia="宋体" w:cs="宋体"/>
          <w:snapToGrid/>
          <w:color w:val="000000"/>
          <w:kern w:val="0"/>
          <w:sz w:val="24"/>
          <w:szCs w:val="24"/>
          <w:lang w:eastAsia="zh-CN" w:bidi="ar"/>
        </w:rPr>
        <w:t>，与</w:t>
      </w:r>
      <w:r>
        <w:rPr>
          <w:rFonts w:ascii="Times New Roman" w:hAnsi="Times New Roman" w:eastAsia="宋体" w:cs="Times New Roman"/>
          <w:snapToGrid/>
          <w:color w:val="000000"/>
          <w:kern w:val="0"/>
          <w:sz w:val="24"/>
          <w:szCs w:val="24"/>
          <w:lang w:eastAsia="zh-CN" w:bidi="ar"/>
        </w:rPr>
        <w:t>Ⅱ</w:t>
      </w:r>
      <w:r>
        <w:rPr>
          <w:rFonts w:hint="eastAsia" w:ascii="宋体" w:hAnsi="宋体" w:eastAsia="宋体" w:cs="宋体"/>
          <w:snapToGrid/>
          <w:color w:val="000000"/>
          <w:kern w:val="0"/>
          <w:sz w:val="24"/>
          <w:szCs w:val="24"/>
          <w:lang w:eastAsia="zh-CN" w:bidi="ar"/>
        </w:rPr>
        <w:t>级阶地及上部冲积层呈斜截关系。上部冲积层主要分布在区内大小河流的河床、河漫滩上，为河流冲积、洪积堆积物，岩性随地而异，在沙河、汝河等河流上游山区为砾石层夹粗砂层，中下游平原区多为砂层、粉土、粉质粘土，其间局部夹淤泥层和砂砾石层，粗大砾石极少，分选性良好，厚</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5m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2" w:firstLineChars="200"/>
        <w:jc w:val="both"/>
        <w:textAlignment w:val="auto"/>
        <w:rPr>
          <w:rFonts w:ascii="Times New Roman" w:hAnsi="Times New Roman" w:eastAsia="宋体" w:cs="Times New Roman"/>
          <w:b/>
          <w:bCs/>
          <w:snapToGrid/>
          <w:kern w:val="2"/>
          <w:sz w:val="24"/>
          <w:szCs w:val="24"/>
          <w:lang w:eastAsia="zh-CN"/>
        </w:rPr>
      </w:pPr>
      <w:r>
        <w:rPr>
          <w:rFonts w:hint="eastAsia" w:ascii="宋体" w:hAnsi="宋体" w:eastAsia="宋体" w:cs="宋体"/>
          <w:b/>
          <w:bCs/>
          <w:snapToGrid/>
          <w:color w:val="000000"/>
          <w:kern w:val="0"/>
          <w:sz w:val="24"/>
          <w:szCs w:val="24"/>
          <w:lang w:eastAsia="zh-CN" w:bidi="ar"/>
        </w:rPr>
        <w:t>（三）区域构造</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平顶山市大地构造位置处于华北陆块南缘，渑池</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确山陷褶断束中段。境内地质构造较为复杂，以压扭性断裂为主，褶皱构造次之，新构造运动活跃。主要表现为差异性升降。评价区附近主要断层特征简述如下：</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①鲁山</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漯河大断层：经鲁山、叶县南部穿过。为隐伏正断层，走向西段</w:t>
      </w:r>
      <w:r>
        <w:rPr>
          <w:rFonts w:ascii="Times New Roman" w:hAnsi="Times New Roman" w:eastAsia="宋体" w:cs="Times New Roman"/>
          <w:snapToGrid/>
          <w:color w:val="000000"/>
          <w:kern w:val="0"/>
          <w:sz w:val="24"/>
          <w:szCs w:val="24"/>
          <w:lang w:eastAsia="zh-CN" w:bidi="ar"/>
        </w:rPr>
        <w:t>290°</w:t>
      </w:r>
      <w:r>
        <w:rPr>
          <w:rFonts w:hint="eastAsia" w:ascii="宋体" w:hAnsi="宋体" w:eastAsia="宋体" w:cs="宋体"/>
          <w:snapToGrid/>
          <w:color w:val="000000"/>
          <w:kern w:val="0"/>
          <w:sz w:val="24"/>
          <w:szCs w:val="24"/>
          <w:lang w:eastAsia="zh-CN" w:bidi="ar"/>
        </w:rPr>
        <w:t>、东段近东西，倾向南，倾角约</w:t>
      </w:r>
      <w:r>
        <w:rPr>
          <w:rFonts w:ascii="Times New Roman" w:hAnsi="Times New Roman" w:eastAsia="宋体" w:cs="Times New Roman"/>
          <w:snapToGrid/>
          <w:color w:val="000000"/>
          <w:kern w:val="0"/>
          <w:sz w:val="24"/>
          <w:szCs w:val="24"/>
          <w:lang w:eastAsia="zh-CN" w:bidi="ar"/>
        </w:rPr>
        <w:t>60°</w:t>
      </w:r>
      <w:r>
        <w:rPr>
          <w:rFonts w:hint="eastAsia" w:ascii="宋体" w:hAnsi="宋体" w:eastAsia="宋体" w:cs="宋体"/>
          <w:snapToGrid/>
          <w:color w:val="000000"/>
          <w:kern w:val="0"/>
          <w:sz w:val="24"/>
          <w:szCs w:val="24"/>
          <w:lang w:eastAsia="zh-CN" w:bidi="ar"/>
        </w:rPr>
        <w:t>。断距</w:t>
      </w:r>
      <w:r>
        <w:rPr>
          <w:rFonts w:ascii="Times New Roman" w:hAnsi="Times New Roman" w:eastAsia="宋体" w:cs="Times New Roman"/>
          <w:snapToGrid/>
          <w:color w:val="000000"/>
          <w:kern w:val="0"/>
          <w:sz w:val="24"/>
          <w:szCs w:val="24"/>
          <w:lang w:eastAsia="zh-CN" w:bidi="ar"/>
        </w:rPr>
        <w:t>1000</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2000m</w:t>
      </w:r>
      <w:r>
        <w:rPr>
          <w:rFonts w:hint="eastAsia" w:ascii="宋体" w:hAnsi="宋体" w:eastAsia="宋体" w:cs="宋体"/>
          <w:snapToGrid/>
          <w:color w:val="000000"/>
          <w:kern w:val="0"/>
          <w:sz w:val="24"/>
          <w:szCs w:val="24"/>
          <w:lang w:eastAsia="zh-CN" w:bidi="ar"/>
        </w:rPr>
        <w:t>。</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②枣庄</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龙泉断层：展布于龙泉至枣庄一线。以水平位移为主，走向</w:t>
      </w:r>
      <w:r>
        <w:rPr>
          <w:rFonts w:ascii="Times New Roman" w:hAnsi="Times New Roman" w:eastAsia="宋体" w:cs="Times New Roman"/>
          <w:snapToGrid/>
          <w:color w:val="000000"/>
          <w:kern w:val="0"/>
          <w:sz w:val="24"/>
          <w:szCs w:val="24"/>
          <w:lang w:eastAsia="zh-CN" w:bidi="ar"/>
        </w:rPr>
        <w:t>37°</w:t>
      </w:r>
      <w:r>
        <w:rPr>
          <w:rFonts w:hint="eastAsia" w:ascii="宋体" w:hAnsi="宋体" w:eastAsia="宋体" w:cs="宋体"/>
          <w:snapToGrid/>
          <w:color w:val="000000"/>
          <w:kern w:val="0"/>
          <w:sz w:val="24"/>
          <w:szCs w:val="24"/>
          <w:lang w:eastAsia="zh-CN" w:bidi="ar"/>
        </w:rPr>
        <w:t>，倾向北西，水平位移约</w:t>
      </w:r>
      <w:r>
        <w:rPr>
          <w:rFonts w:ascii="Times New Roman" w:hAnsi="Times New Roman" w:eastAsia="宋体" w:cs="Times New Roman"/>
          <w:snapToGrid/>
          <w:color w:val="000000"/>
          <w:kern w:val="0"/>
          <w:sz w:val="24"/>
          <w:szCs w:val="24"/>
          <w:lang w:eastAsia="zh-CN" w:bidi="ar"/>
        </w:rPr>
        <w:t>3000m</w:t>
      </w:r>
      <w:r>
        <w:rPr>
          <w:rFonts w:hint="eastAsia" w:ascii="宋体" w:hAnsi="宋体" w:eastAsia="宋体" w:cs="宋体"/>
          <w:snapToGrid/>
          <w:color w:val="000000"/>
          <w:kern w:val="0"/>
          <w:sz w:val="24"/>
          <w:szCs w:val="24"/>
          <w:lang w:eastAsia="zh-CN" w:bidi="ar"/>
        </w:rPr>
        <w:t>。</w:t>
      </w:r>
    </w:p>
    <w:p>
      <w:pPr>
        <w:keepNext w:val="0"/>
        <w:keepLines w:val="0"/>
        <w:pageBreakBefore w:val="0"/>
        <w:widowControl/>
        <w:kinsoku w:val="0"/>
        <w:wordWrap/>
        <w:overflowPunct/>
        <w:topLinePunct w:val="0"/>
        <w:autoSpaceDE w:val="0"/>
        <w:autoSpaceDN w:val="0"/>
        <w:bidi w:val="0"/>
        <w:adjustRightInd w:val="0"/>
        <w:snapToGrid w:val="0"/>
        <w:spacing w:before="44" w:line="360" w:lineRule="auto"/>
        <w:ind w:left="505"/>
        <w:textAlignment w:val="baseline"/>
        <w:rPr>
          <w:rFonts w:ascii="宋体" w:hAnsi="宋体" w:eastAsia="宋体" w:cs="宋体"/>
          <w:sz w:val="24"/>
          <w:szCs w:val="24"/>
        </w:rPr>
      </w:pPr>
      <w:r>
        <w:rPr>
          <w:rFonts w:hint="eastAsia" w:ascii="Times New Roman" w:hAnsi="Times New Roman" w:eastAsia="宋体" w:cs="Times New Roman"/>
          <w:b/>
          <w:bCs/>
          <w:spacing w:val="-3"/>
          <w:sz w:val="24"/>
          <w:szCs w:val="24"/>
          <w:lang w:eastAsia="zh-CN"/>
        </w:rPr>
        <w:t>（四）</w:t>
      </w:r>
      <w:r>
        <w:rPr>
          <w:rFonts w:ascii="宋体" w:hAnsi="宋体" w:eastAsia="宋体" w:cs="宋体"/>
          <w:spacing w:val="-3"/>
          <w:sz w:val="24"/>
          <w:szCs w:val="24"/>
          <w14:textOutline w14:w="4358" w14:cap="sq" w14:cmpd="sng">
            <w14:solidFill>
              <w14:srgbClr w14:val="000000"/>
            </w14:solidFill>
            <w14:prstDash w14:val="solid"/>
            <w14:bevel/>
          </w14:textOutline>
        </w:rPr>
        <w:t>区域水文地质条件</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）含水层及其富水性</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napToGrid/>
          <w:color w:val="000000"/>
          <w:kern w:val="0"/>
          <w:sz w:val="24"/>
          <w:szCs w:val="24"/>
          <w:lang w:eastAsia="zh-CN" w:bidi="ar"/>
        </w:rPr>
        <w:sectPr>
          <w:pgSz w:w="11906" w:h="16839"/>
          <w:pgMar w:top="1431" w:right="1588" w:bottom="1278" w:left="1597" w:header="0" w:footer="1020" w:gutter="0"/>
          <w:pgBorders>
            <w:top w:val="none" w:sz="0" w:space="0"/>
            <w:left w:val="none" w:sz="0" w:space="0"/>
            <w:bottom w:val="none" w:sz="0" w:space="0"/>
            <w:right w:val="none" w:sz="0" w:space="0"/>
          </w:pgBorders>
          <w:pgNumType w:fmt="numberInDash"/>
          <w:cols w:space="720" w:num="1"/>
        </w:sectPr>
      </w:pPr>
      <w:r>
        <w:rPr>
          <w:rFonts w:hint="eastAsia" w:ascii="宋体" w:hAnsi="宋体" w:eastAsia="宋体" w:cs="宋体"/>
          <w:snapToGrid/>
          <w:color w:val="000000"/>
          <w:kern w:val="0"/>
          <w:sz w:val="24"/>
          <w:szCs w:val="24"/>
          <w:lang w:eastAsia="zh-CN" w:bidi="ar"/>
        </w:rPr>
        <w:t>区域含水层为浅层</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中深层松散岩类孔隙含水层，叶县城区以南浅层及中深层含水层单位涌水量皆为</w:t>
      </w:r>
      <w:r>
        <w:rPr>
          <w:rFonts w:ascii="Times New Roman" w:hAnsi="Times New Roman" w:eastAsia="宋体" w:cs="Times New Roman"/>
          <w:snapToGrid/>
          <w:color w:val="000000"/>
          <w:kern w:val="0"/>
          <w:sz w:val="24"/>
          <w:szCs w:val="24"/>
          <w:lang w:eastAsia="zh-CN" w:bidi="ar"/>
        </w:rPr>
        <w:t>500-1000m</w:t>
      </w:r>
      <w:r>
        <w:rPr>
          <w:rFonts w:hint="eastAsia" w:ascii="Times New Roman" w:hAnsi="Times New Roman" w:eastAsia="宋体" w:cs="Times New Roman"/>
          <w:snapToGrid/>
          <w:color w:val="000000"/>
          <w:kern w:val="0"/>
          <w:sz w:val="24"/>
          <w:szCs w:val="24"/>
          <w:vertAlign w:val="superscript"/>
          <w:lang w:eastAsia="zh-CN" w:bidi="ar"/>
        </w:rPr>
        <w:t>3</w:t>
      </w:r>
      <w:r>
        <w:rPr>
          <w:rFonts w:ascii="Times New Roman" w:hAnsi="Times New Roman" w:eastAsia="宋体" w:cs="Times New Roman"/>
          <w:snapToGrid/>
          <w:color w:val="000000"/>
          <w:kern w:val="0"/>
          <w:sz w:val="24"/>
          <w:szCs w:val="24"/>
          <w:lang w:eastAsia="zh-CN" w:bidi="ar"/>
        </w:rPr>
        <w:t>/d</w:t>
      </w:r>
      <w:r>
        <w:rPr>
          <w:rFonts w:hint="eastAsia" w:ascii="宋体" w:hAnsi="宋体" w:eastAsia="宋体" w:cs="宋体"/>
          <w:snapToGrid/>
          <w:color w:val="000000"/>
          <w:kern w:val="0"/>
          <w:sz w:val="24"/>
          <w:szCs w:val="24"/>
          <w:lang w:eastAsia="zh-CN" w:bidi="ar"/>
        </w:rPr>
        <w:t>，叶县城区以北浅层含水层单位涌水量</w:t>
      </w:r>
      <w:r>
        <w:rPr>
          <w:rFonts w:ascii="Times New Roman" w:hAnsi="Times New Roman" w:eastAsia="宋体" w:cs="Times New Roman"/>
          <w:snapToGrid/>
          <w:color w:val="000000"/>
          <w:kern w:val="0"/>
          <w:sz w:val="24"/>
          <w:szCs w:val="24"/>
          <w:lang w:eastAsia="zh-CN" w:bidi="ar"/>
        </w:rPr>
        <w:t>1000-5000m</w:t>
      </w:r>
      <w:r>
        <w:rPr>
          <w:rFonts w:hint="eastAsia" w:ascii="Times New Roman" w:hAnsi="Times New Roman" w:eastAsia="宋体" w:cs="Times New Roman"/>
          <w:snapToGrid/>
          <w:color w:val="000000"/>
          <w:kern w:val="0"/>
          <w:sz w:val="24"/>
          <w:szCs w:val="24"/>
          <w:vertAlign w:val="superscript"/>
          <w:lang w:eastAsia="zh-CN" w:bidi="ar"/>
        </w:rPr>
        <w:t>3</w:t>
      </w:r>
      <w:r>
        <w:rPr>
          <w:rFonts w:ascii="Times New Roman" w:hAnsi="Times New Roman" w:eastAsia="宋体" w:cs="Times New Roman"/>
          <w:snapToGrid/>
          <w:color w:val="000000"/>
          <w:kern w:val="0"/>
          <w:sz w:val="24"/>
          <w:szCs w:val="24"/>
          <w:lang w:eastAsia="zh-CN" w:bidi="ar"/>
        </w:rPr>
        <w:t>/d</w:t>
      </w:r>
      <w:r>
        <w:rPr>
          <w:rFonts w:hint="eastAsia" w:ascii="宋体" w:hAnsi="宋体" w:eastAsia="宋体" w:cs="宋体"/>
          <w:snapToGrid/>
          <w:color w:val="000000"/>
          <w:kern w:val="0"/>
          <w:sz w:val="24"/>
          <w:szCs w:val="24"/>
          <w:lang w:eastAsia="zh-CN" w:bidi="ar"/>
        </w:rPr>
        <w:t>，中深层含水层单位涌水量</w:t>
      </w:r>
      <w:r>
        <w:rPr>
          <w:rFonts w:ascii="Times New Roman" w:hAnsi="Times New Roman" w:eastAsia="宋体" w:cs="Times New Roman"/>
          <w:snapToGrid/>
          <w:color w:val="000000"/>
          <w:kern w:val="0"/>
          <w:sz w:val="24"/>
          <w:szCs w:val="24"/>
          <w:lang w:eastAsia="zh-CN" w:bidi="ar"/>
        </w:rPr>
        <w:t>1000-3000m</w:t>
      </w:r>
      <w:r>
        <w:rPr>
          <w:rFonts w:hint="eastAsia" w:ascii="Times New Roman" w:hAnsi="Times New Roman" w:eastAsia="宋体" w:cs="Times New Roman"/>
          <w:snapToGrid/>
          <w:color w:val="000000"/>
          <w:kern w:val="0"/>
          <w:sz w:val="24"/>
          <w:szCs w:val="24"/>
          <w:vertAlign w:val="superscript"/>
          <w:lang w:eastAsia="zh-CN" w:bidi="ar"/>
        </w:rPr>
        <w:t>3</w:t>
      </w:r>
      <w:r>
        <w:rPr>
          <w:rFonts w:ascii="Times New Roman" w:hAnsi="Times New Roman" w:eastAsia="宋体" w:cs="Times New Roman"/>
          <w:snapToGrid/>
          <w:color w:val="000000"/>
          <w:kern w:val="0"/>
          <w:sz w:val="24"/>
          <w:szCs w:val="24"/>
          <w:lang w:eastAsia="zh-CN" w:bidi="ar"/>
        </w:rPr>
        <w:t>/d</w:t>
      </w:r>
      <w:r>
        <w:rPr>
          <w:rFonts w:hint="eastAsia" w:ascii="宋体" w:hAnsi="宋体" w:eastAsia="宋体" w:cs="宋体"/>
          <w:snapToGrid/>
          <w:color w:val="000000"/>
          <w:kern w:val="0"/>
          <w:sz w:val="24"/>
          <w:szCs w:val="24"/>
          <w:lang w:eastAsia="zh-CN" w:bidi="ar"/>
        </w:rPr>
        <w:t>。区域水文地质图见图</w:t>
      </w:r>
      <w:r>
        <w:rPr>
          <w:rFonts w:hint="eastAsia" w:ascii="Times New Roman" w:hAnsi="Times New Roman" w:eastAsia="宋体" w:cs="Times New Roman"/>
          <w:snapToGrid/>
          <w:color w:val="000000"/>
          <w:kern w:val="0"/>
          <w:sz w:val="24"/>
          <w:szCs w:val="24"/>
          <w:lang w:val="en-US" w:eastAsia="zh-CN" w:bidi="ar"/>
        </w:rPr>
        <w:t>5</w:t>
      </w:r>
      <w:r>
        <w:rPr>
          <w:rFonts w:hint="eastAsia" w:ascii="Times New Roman" w:hAnsi="Times New Roman" w:eastAsia="宋体" w:cs="Times New Roman"/>
          <w:snapToGrid/>
          <w:color w:val="000000"/>
          <w:kern w:val="0"/>
          <w:sz w:val="24"/>
          <w:szCs w:val="24"/>
          <w:lang w:eastAsia="zh-CN" w:bidi="ar"/>
        </w:rPr>
        <w:t>-</w:t>
      </w:r>
      <w:r>
        <w:rPr>
          <w:rFonts w:hint="eastAsia" w:ascii="Times New Roman" w:hAnsi="Times New Roman" w:eastAsia="宋体" w:cs="Times New Roman"/>
          <w:snapToGrid/>
          <w:color w:val="000000"/>
          <w:kern w:val="0"/>
          <w:sz w:val="24"/>
          <w:szCs w:val="24"/>
          <w:lang w:val="en-US" w:eastAsia="zh-CN" w:bidi="ar"/>
        </w:rPr>
        <w:t>9</w:t>
      </w:r>
      <w:r>
        <w:rPr>
          <w:rFonts w:hint="eastAsia" w:ascii="宋体" w:hAnsi="宋体" w:eastAsia="宋体" w:cs="宋体"/>
          <w:snapToGrid/>
          <w:color w:val="000000"/>
          <w:kern w:val="0"/>
          <w:sz w:val="24"/>
          <w:szCs w:val="24"/>
          <w:lang w:eastAsia="zh-CN" w:bidi="ar"/>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sz w:val="21"/>
        </w:rPr>
        <mc:AlternateContent>
          <mc:Choice Requires="wps">
            <w:drawing>
              <wp:anchor distT="0" distB="0" distL="114300" distR="114300" simplePos="0" relativeHeight="251727872" behindDoc="0" locked="0" layoutInCell="1" allowOverlap="1">
                <wp:simplePos x="0" y="0"/>
                <wp:positionH relativeFrom="column">
                  <wp:posOffset>5728970</wp:posOffset>
                </wp:positionH>
                <wp:positionV relativeFrom="paragraph">
                  <wp:posOffset>381000</wp:posOffset>
                </wp:positionV>
                <wp:extent cx="0" cy="295275"/>
                <wp:effectExtent l="38100" t="0" r="38100" b="9525"/>
                <wp:wrapNone/>
                <wp:docPr id="108" name="直接箭头连接符 108"/>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w="25400">
                          <a:solidFill>
                            <a:schemeClr val="tx1"/>
                          </a:solidFill>
                          <a:miter lim="800000"/>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51.1pt;margin-top:30pt;height:23.25pt;width:0pt;z-index:251727872;mso-width-relative:page;mso-height-relative:page;" filled="f" stroked="t" coordsize="21600,21600" o:gfxdata="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pDDLNQAAAAKAQAADwAAAAAAAAABACAAAAAiAAAAZHJzL2Rvd25yZXYueG1sUEsB&#10;AhQAFAAAAAgAh07iQF9G8WH5AQAAswMAAA4AAAAAAAAAAQAgAAAAIwEAAGRycy9lMm9Eb2MueG1s&#10;UEsFBgAAAAAGAAYAWQEAAI4FAAAAAA==&#10;">
                <v:fill on="f" focussize="0,0"/>
                <v:stroke weight="2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5523865</wp:posOffset>
                </wp:positionH>
                <wp:positionV relativeFrom="paragraph">
                  <wp:posOffset>9525</wp:posOffset>
                </wp:positionV>
                <wp:extent cx="352425" cy="35306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35242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color w:val="000000"/>
                                <w:sz w:val="44"/>
                                <w:szCs w:val="44"/>
                                <w:lang w:val="en-US" w:eastAsia="zh-CN"/>
                              </w:rPr>
                            </w:pPr>
                            <w:r>
                              <w:rPr>
                                <w:rFonts w:hint="default" w:ascii="Times New Roman" w:hAnsi="Times New Roman" w:eastAsia="宋体" w:cs="Times New Roman"/>
                                <w:b/>
                                <w:bCs/>
                                <w:color w:val="000000"/>
                                <w:sz w:val="44"/>
                                <w:szCs w:val="4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95pt;margin-top:0.75pt;height:27.8pt;width:27.75pt;z-index:251728896;mso-width-relative:page;mso-height-relative:page;" filled="f" stroked="f" coordsize="21600,21600" o:gfxdata="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5gmb&#10;2QAAAAgBAAAPAAAAAAAAAAEAIAAAACIAAABkcnMvZG93bnJldi54bWxQSwECFAAUAAAACACHTuJA&#10;UE0PfCACAAAbBAAADgAAAAAAAAABACAAAAAoAQAAZHJzL2Uyb0RvYy54bWxQSwUGAAAAAAYABgBZ&#10;AQAAugUAAAAA&#10;">
                <v:fill on="f" focussize="0,0"/>
                <v:stroke on="f" weight="0.5pt"/>
                <v:imagedata o:title=""/>
                <o:lock v:ext="edit" aspectratio="f"/>
                <v:textbox>
                  <w:txbxContent>
                    <w:p>
                      <w:pPr>
                        <w:jc w:val="center"/>
                        <w:rPr>
                          <w:rFonts w:hint="default" w:ascii="Times New Roman" w:hAnsi="Times New Roman" w:eastAsia="宋体" w:cs="Times New Roman"/>
                          <w:b/>
                          <w:bCs/>
                          <w:color w:val="000000"/>
                          <w:sz w:val="44"/>
                          <w:szCs w:val="44"/>
                          <w:lang w:val="en-US" w:eastAsia="zh-CN"/>
                        </w:rPr>
                      </w:pPr>
                      <w:r>
                        <w:rPr>
                          <w:rFonts w:hint="default" w:ascii="Times New Roman" w:hAnsi="Times New Roman" w:eastAsia="宋体" w:cs="Times New Roman"/>
                          <w:b/>
                          <w:bCs/>
                          <w:color w:val="000000"/>
                          <w:sz w:val="44"/>
                          <w:szCs w:val="44"/>
                          <w:lang w:val="en-US" w:eastAsia="zh-CN"/>
                        </w:rPr>
                        <w:t>N</w:t>
                      </w:r>
                    </w:p>
                  </w:txbxContent>
                </v:textbox>
              </v:shape>
            </w:pict>
          </mc:Fallback>
        </mc:AlternateContent>
      </w:r>
      <w:r>
        <w:drawing>
          <wp:inline distT="0" distB="0" distL="114300" distR="114300">
            <wp:extent cx="5189220" cy="5935345"/>
            <wp:effectExtent l="0" t="0" r="0" b="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57"/>
                    <a:srcRect l="2416" t="3991" r="7425" b="8029"/>
                    <a:stretch>
                      <a:fillRect/>
                    </a:stretch>
                  </pic:blipFill>
                  <pic:spPr>
                    <a:xfrm>
                      <a:off x="0" y="0"/>
                      <a:ext cx="5189220" cy="5935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eastAsia="宋体"/>
          <w:b/>
          <w:bCs/>
          <w:sz w:val="24"/>
          <w:szCs w:val="24"/>
          <w:lang w:val="en-US" w:eastAsia="zh-CN"/>
        </w:rPr>
        <w:t>图5-8    叶县水文地质图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4951730" cy="3391535"/>
            <wp:effectExtent l="9525" t="9525" r="10795" b="2794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58"/>
                    <a:stretch>
                      <a:fillRect/>
                    </a:stretch>
                  </pic:blipFill>
                  <pic:spPr>
                    <a:xfrm>
                      <a:off x="0" y="0"/>
                      <a:ext cx="4951730" cy="339153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rPr>
      </w:pPr>
      <w:r>
        <w:rPr>
          <w:rFonts w:hint="eastAsia"/>
          <w:b/>
          <w:bCs/>
          <w:sz w:val="24"/>
          <w:szCs w:val="24"/>
        </w:rPr>
        <w:t>图</w:t>
      </w:r>
      <w:r>
        <w:rPr>
          <w:rFonts w:hint="eastAsia" w:eastAsia="宋体"/>
          <w:b/>
          <w:bCs/>
          <w:sz w:val="24"/>
          <w:szCs w:val="24"/>
          <w:lang w:val="en-US" w:eastAsia="zh-CN"/>
        </w:rPr>
        <w:t>5</w:t>
      </w:r>
      <w:r>
        <w:rPr>
          <w:rFonts w:hint="eastAsia"/>
          <w:b/>
          <w:bCs/>
          <w:sz w:val="24"/>
          <w:szCs w:val="24"/>
        </w:rPr>
        <w:t>-</w:t>
      </w:r>
      <w:r>
        <w:rPr>
          <w:rFonts w:hint="eastAsia" w:eastAsia="宋体"/>
          <w:b/>
          <w:bCs/>
          <w:sz w:val="24"/>
          <w:szCs w:val="24"/>
          <w:lang w:val="en-US" w:eastAsia="zh-CN"/>
        </w:rPr>
        <w:t>9</w:t>
      </w:r>
      <w:r>
        <w:rPr>
          <w:rFonts w:hint="eastAsia"/>
          <w:b/>
          <w:bCs/>
          <w:sz w:val="24"/>
          <w:szCs w:val="24"/>
        </w:rPr>
        <w:t xml:space="preserve"> </w:t>
      </w:r>
      <w:r>
        <w:rPr>
          <w:rFonts w:hint="eastAsia" w:eastAsia="宋体"/>
          <w:b/>
          <w:bCs/>
          <w:sz w:val="24"/>
          <w:szCs w:val="24"/>
          <w:lang w:val="en-US" w:eastAsia="zh-CN"/>
        </w:rPr>
        <w:t xml:space="preserve">  </w:t>
      </w:r>
      <w:r>
        <w:rPr>
          <w:rFonts w:hint="eastAsia"/>
          <w:b/>
          <w:bCs/>
          <w:sz w:val="24"/>
          <w:szCs w:val="24"/>
        </w:rPr>
        <w:t xml:space="preserve"> 区域水文地质柱状图</w:t>
      </w:r>
    </w:p>
    <w:p>
      <w:pPr>
        <w:keepNext w:val="0"/>
        <w:keepLines w:val="0"/>
        <w:pageBreakBefore w:val="0"/>
        <w:widowControl/>
        <w:kinsoku/>
        <w:wordWrap/>
        <w:overflowPunct/>
        <w:topLinePunct w:val="0"/>
        <w:autoSpaceDE/>
        <w:autoSpaceDN/>
        <w:bidi w:val="0"/>
        <w:adjustRightInd/>
        <w:snapToGrid/>
        <w:spacing w:before="0" w:beforeLines="50" w:line="360" w:lineRule="auto"/>
        <w:ind w:firstLine="480" w:firstLineChars="200"/>
        <w:jc w:val="both"/>
        <w:textAlignment w:val="auto"/>
        <w:rPr>
          <w:rFonts w:hint="eastAsia" w:ascii="宋体" w:hAnsi="宋体" w:eastAsia="宋体" w:cs="宋体"/>
          <w:snapToGrid/>
          <w:color w:val="000000"/>
          <w:kern w:val="0"/>
          <w:sz w:val="24"/>
          <w:szCs w:val="24"/>
          <w:lang w:eastAsia="zh-CN" w:bidi="ar"/>
        </w:rPr>
        <w:sectPr>
          <w:pgSz w:w="11906" w:h="16839"/>
          <w:pgMar w:top="720" w:right="720" w:bottom="720" w:left="720" w:header="454" w:footer="454" w:gutter="0"/>
          <w:pgBorders>
            <w:top w:val="none" w:sz="0" w:space="0"/>
            <w:left w:val="none" w:sz="0" w:space="0"/>
            <w:bottom w:val="none" w:sz="0" w:space="0"/>
            <w:right w:val="none" w:sz="0" w:space="0"/>
          </w:pgBorders>
          <w:pgNumType w:fmt="numberInDash"/>
          <w:cols w:space="720" w:num="1"/>
        </w:sectPr>
      </w:pPr>
    </w:p>
    <w:p>
      <w:pPr>
        <w:keepNext w:val="0"/>
        <w:keepLines w:val="0"/>
        <w:pageBreakBefore w:val="0"/>
        <w:widowControl/>
        <w:kinsoku/>
        <w:wordWrap/>
        <w:overflowPunct/>
        <w:topLinePunct w:val="0"/>
        <w:autoSpaceDE/>
        <w:autoSpaceDN/>
        <w:bidi w:val="0"/>
        <w:adjustRightInd/>
        <w:snapToGrid/>
        <w:spacing w:before="0" w:beforeLines="50"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）地下水补给、径流和排泄</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）浅层地下水的补给、径流、排泄条件</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①补给条件</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浅层地下水的补给，主要以大气降水入渗补给为主，其次为灌溉回渗补给、河渠侧渗补给和侧向径流补给，水位变化幅度受季节变化影响较大。</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②径流条件</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浅层地下水的径流随地形和岩性结构的不同而有差异，在河谷平原、山前冲洪积倾斜平原，地形坡降大，组成岩性颗粒粗，结构松散，导水性良好，径流条件好，径流总是向河床及其下游方向运移；而在平原区地形平坦，水力坡度在</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浅层含水层颗粒细，导水性能较差，径流条件亦较差，径流缓慢。在天然条件下，沙河南岸平原区浅层地下水总的径流方向从西南向东北运移。在山前岗地区，由于地势较高，其水位高于周边平原区水位，浅层地下水由岗地向周边径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③排泄条件</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浅层地下水的排泄，主要以开采排泄为主，其次为蒸发排泄、地下径流排泄、越流排泄、河流排泄。</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 xml:space="preserve">）中深层地下水的补给、径流与排泄条件 </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①补给条件中深层地下水在平原区不能直接得到大气降水的入渗补给，其补给来源主要为上游地下水的径流补给和浅层地下水的越流补给；在山前地带可以间接得到大气降水的入渗补给。</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②径流条件</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天然条件下，中深层地下水自西向东径流，与地形坡降一致，水力坡度</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2.4‰</w:t>
      </w:r>
      <w:r>
        <w:rPr>
          <w:rFonts w:hint="eastAsia" w:ascii="宋体" w:hAnsi="宋体" w:eastAsia="宋体" w:cs="宋体"/>
          <w:snapToGrid/>
          <w:color w:val="000000"/>
          <w:kern w:val="0"/>
          <w:sz w:val="24"/>
          <w:szCs w:val="24"/>
          <w:lang w:eastAsia="zh-CN" w:bidi="ar"/>
        </w:rPr>
        <w:t>。山前含水层颗粒较粗，地下水径流条件较好，平原区含水层颗粒较细，地下水径流条件相对较差。</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③排泄条件</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人工开采和侧向径流是中深层地下水的主要排泄方式。</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）地下水动态特征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①浅层地下水的动态特征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区域上内浅层地下水水位多年变幅整体处于稳定状态。叶县</w:t>
      </w:r>
      <w:r>
        <w:rPr>
          <w:rFonts w:ascii="Times New Roman" w:hAnsi="Times New Roman" w:eastAsia="宋体" w:cs="Times New Roman"/>
          <w:snapToGrid/>
          <w:color w:val="000000"/>
          <w:kern w:val="0"/>
          <w:sz w:val="24"/>
          <w:szCs w:val="24"/>
          <w:lang w:eastAsia="zh-CN" w:bidi="ar"/>
        </w:rPr>
        <w:t>—</w:t>
      </w:r>
      <w:r>
        <w:rPr>
          <w:rFonts w:hint="eastAsia" w:ascii="宋体" w:hAnsi="宋体" w:eastAsia="宋体" w:cs="宋体"/>
          <w:snapToGrid/>
          <w:color w:val="000000"/>
          <w:kern w:val="0"/>
          <w:sz w:val="24"/>
          <w:szCs w:val="24"/>
          <w:lang w:eastAsia="zh-CN" w:bidi="ar"/>
        </w:rPr>
        <w:t>平顶山水位持续下降区中心水位埋深</w:t>
      </w:r>
      <w:r>
        <w:rPr>
          <w:rFonts w:ascii="Times New Roman" w:hAnsi="Times New Roman" w:eastAsia="宋体" w:cs="Times New Roman"/>
          <w:snapToGrid/>
          <w:color w:val="000000"/>
          <w:kern w:val="0"/>
          <w:sz w:val="24"/>
          <w:szCs w:val="24"/>
          <w:lang w:eastAsia="zh-CN" w:bidi="ar"/>
        </w:rPr>
        <w:t>9.93m</w:t>
      </w:r>
      <w:r>
        <w:rPr>
          <w:rFonts w:hint="eastAsia" w:ascii="宋体" w:hAnsi="宋体" w:eastAsia="宋体" w:cs="宋体"/>
          <w:snapToGrid/>
          <w:color w:val="000000"/>
          <w:kern w:val="0"/>
          <w:sz w:val="24"/>
          <w:szCs w:val="24"/>
          <w:lang w:eastAsia="zh-CN" w:bidi="ar"/>
        </w:rPr>
        <w:t>。</w:t>
      </w:r>
      <w:r>
        <w:rPr>
          <w:rFonts w:hint="default" w:ascii="Times New Roman" w:hAnsi="Times New Roman" w:eastAsia="宋体" w:cs="Times New Roman"/>
          <w:snapToGrid/>
          <w:color w:val="000000"/>
          <w:kern w:val="0"/>
          <w:sz w:val="24"/>
          <w:szCs w:val="24"/>
          <w:lang w:eastAsia="zh-CN" w:bidi="ar"/>
        </w:rPr>
        <w:t>与20世纪90年</w:t>
      </w:r>
      <w:r>
        <w:rPr>
          <w:rFonts w:hint="eastAsia" w:ascii="宋体" w:hAnsi="宋体" w:eastAsia="宋体" w:cs="宋体"/>
          <w:snapToGrid/>
          <w:color w:val="000000"/>
          <w:kern w:val="0"/>
          <w:sz w:val="24"/>
          <w:szCs w:val="24"/>
          <w:lang w:eastAsia="zh-CN" w:bidi="ar"/>
        </w:rPr>
        <w:t>代的浅层地下水水位动态情况进行对比，水位持续下降区面积的扩展速率为</w:t>
      </w:r>
      <w:r>
        <w:rPr>
          <w:rFonts w:ascii="Times New Roman" w:hAnsi="Times New Roman" w:eastAsia="宋体" w:cs="Times New Roman"/>
          <w:snapToGrid/>
          <w:color w:val="000000"/>
          <w:kern w:val="0"/>
          <w:sz w:val="24"/>
          <w:szCs w:val="24"/>
          <w:lang w:eastAsia="zh-CN" w:bidi="ar"/>
        </w:rPr>
        <w:t>6.72km</w:t>
      </w:r>
      <w:r>
        <w:rPr>
          <w:rFonts w:hint="eastAsia" w:ascii="Times New Roman" w:hAnsi="Times New Roman" w:eastAsia="宋体" w:cs="Times New Roman"/>
          <w:snapToGrid/>
          <w:color w:val="000000"/>
          <w:kern w:val="0"/>
          <w:sz w:val="24"/>
          <w:szCs w:val="24"/>
          <w:vertAlign w:val="superscript"/>
          <w:lang w:eastAsia="zh-CN" w:bidi="ar"/>
        </w:rPr>
        <w:t>2</w:t>
      </w:r>
      <w:r>
        <w:rPr>
          <w:rFonts w:ascii="Times New Roman" w:hAnsi="Times New Roman" w:eastAsia="宋体" w:cs="Times New Roman"/>
          <w:snapToGrid/>
          <w:color w:val="000000"/>
          <w:kern w:val="0"/>
          <w:sz w:val="24"/>
          <w:szCs w:val="24"/>
          <w:lang w:eastAsia="zh-CN" w:bidi="ar"/>
        </w:rPr>
        <w:t>/a</w:t>
      </w:r>
      <w:r>
        <w:rPr>
          <w:rFonts w:hint="eastAsia" w:ascii="宋体" w:hAnsi="宋体" w:eastAsia="宋体" w:cs="宋体"/>
          <w:snapToGrid/>
          <w:color w:val="000000"/>
          <w:kern w:val="0"/>
          <w:sz w:val="24"/>
          <w:szCs w:val="24"/>
          <w:lang w:eastAsia="zh-CN" w:bidi="ar"/>
        </w:rPr>
        <w:t>，水位下降速率为</w:t>
      </w:r>
      <w:r>
        <w:rPr>
          <w:rFonts w:ascii="Times New Roman" w:hAnsi="Times New Roman" w:eastAsia="宋体" w:cs="Times New Roman"/>
          <w:snapToGrid/>
          <w:color w:val="000000"/>
          <w:kern w:val="0"/>
          <w:sz w:val="24"/>
          <w:szCs w:val="24"/>
          <w:lang w:eastAsia="zh-CN" w:bidi="ar"/>
        </w:rPr>
        <w:t>0.26m/a</w:t>
      </w:r>
      <w:r>
        <w:rPr>
          <w:rFonts w:hint="eastAsia" w:ascii="宋体" w:hAnsi="宋体" w:eastAsia="宋体" w:cs="宋体"/>
          <w:snapToGrid/>
          <w:color w:val="000000"/>
          <w:kern w:val="0"/>
          <w:sz w:val="24"/>
          <w:szCs w:val="24"/>
          <w:lang w:eastAsia="zh-CN" w:bidi="ar"/>
        </w:rPr>
        <w:t>。根据本次调查成果，汝河河谷浅层地下水位年变幅维持在</w:t>
      </w:r>
      <w:r>
        <w:rPr>
          <w:rFonts w:ascii="Times New Roman" w:hAnsi="Times New Roman" w:eastAsia="宋体" w:cs="Times New Roman"/>
          <w:snapToGrid/>
          <w:color w:val="000000"/>
          <w:kern w:val="0"/>
          <w:sz w:val="24"/>
          <w:szCs w:val="24"/>
          <w:lang w:eastAsia="zh-CN" w:bidi="ar"/>
        </w:rPr>
        <w:t>±0.28m/a</w:t>
      </w:r>
      <w:r>
        <w:rPr>
          <w:rFonts w:hint="eastAsia" w:ascii="宋体" w:hAnsi="宋体" w:eastAsia="宋体" w:cs="宋体"/>
          <w:snapToGrid/>
          <w:color w:val="000000"/>
          <w:kern w:val="0"/>
          <w:sz w:val="24"/>
          <w:szCs w:val="24"/>
          <w:lang w:eastAsia="zh-CN" w:bidi="ar"/>
        </w:rPr>
        <w:t>，整体处于稳定状态；沙澧河冲积平原浅层地下水年变幅维持在</w:t>
      </w:r>
      <w:r>
        <w:rPr>
          <w:rFonts w:ascii="Times New Roman" w:hAnsi="Times New Roman" w:eastAsia="宋体" w:cs="Times New Roman"/>
          <w:snapToGrid/>
          <w:color w:val="000000"/>
          <w:kern w:val="0"/>
          <w:sz w:val="24"/>
          <w:szCs w:val="24"/>
          <w:lang w:eastAsia="zh-CN" w:bidi="ar"/>
        </w:rPr>
        <w:t>±0.36m/a</w:t>
      </w:r>
      <w:r>
        <w:rPr>
          <w:rFonts w:hint="eastAsia" w:ascii="宋体" w:hAnsi="宋体" w:eastAsia="宋体" w:cs="宋体"/>
          <w:snapToGrid/>
          <w:color w:val="000000"/>
          <w:kern w:val="0"/>
          <w:sz w:val="24"/>
          <w:szCs w:val="24"/>
          <w:lang w:eastAsia="zh-CN" w:bidi="ar"/>
        </w:rPr>
        <w:t>，整体来看区内浅层地下水多年动态基本稳定。</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②中深层地下水的动态特征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现状年，区内中深层地下水水位整体上呈下降趋势，根据本次调查成果，结合以往研究资料，综合分析区内中深层地下水水位年变幅为</w:t>
      </w:r>
      <w:r>
        <w:rPr>
          <w:rFonts w:ascii="Times New Roman" w:hAnsi="Times New Roman" w:eastAsia="宋体" w:cs="Times New Roman"/>
          <w:snapToGrid/>
          <w:color w:val="000000"/>
          <w:kern w:val="0"/>
          <w:sz w:val="24"/>
          <w:szCs w:val="24"/>
          <w:lang w:eastAsia="zh-CN" w:bidi="ar"/>
        </w:rPr>
        <w:t>±0.63m/a</w:t>
      </w:r>
      <w:r>
        <w:rPr>
          <w:rFonts w:hint="eastAsia" w:ascii="宋体" w:hAnsi="宋体" w:eastAsia="宋体" w:cs="宋体"/>
          <w:snapToGrid/>
          <w:color w:val="000000"/>
          <w:kern w:val="0"/>
          <w:sz w:val="24"/>
          <w:szCs w:val="24"/>
          <w:lang w:eastAsia="zh-CN" w:bidi="ar"/>
        </w:rPr>
        <w:t>，整体处于稳定状态。</w:t>
      </w:r>
    </w:p>
    <w:p>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b/>
          <w:bCs/>
          <w:snapToGrid/>
          <w:kern w:val="2"/>
          <w:sz w:val="24"/>
          <w:szCs w:val="24"/>
          <w:lang w:eastAsia="zh-CN"/>
        </w:rPr>
      </w:pPr>
      <w:r>
        <w:rPr>
          <w:rFonts w:hint="eastAsia" w:ascii="Times New Roman" w:hAnsi="Times New Roman" w:eastAsia="宋体" w:cs="Times New Roman"/>
          <w:b/>
          <w:bCs/>
          <w:snapToGrid/>
          <w:kern w:val="2"/>
          <w:sz w:val="24"/>
          <w:szCs w:val="24"/>
          <w:lang w:eastAsia="zh-CN"/>
        </w:rPr>
        <w:t>（五）</w:t>
      </w:r>
      <w:r>
        <w:rPr>
          <w:rFonts w:ascii="Times New Roman" w:hAnsi="Times New Roman" w:eastAsia="宋体" w:cs="Times New Roman"/>
          <w:b/>
          <w:bCs/>
          <w:snapToGrid/>
          <w:kern w:val="2"/>
          <w:sz w:val="24"/>
          <w:szCs w:val="24"/>
          <w:lang w:eastAsia="zh-CN"/>
        </w:rPr>
        <w:t>调查评价区水文地质特征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eastAsia="zh-CN" w:bidi="ar"/>
        </w:rPr>
        <w:t>1、评价区包气带土层岩性分析</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为详细了解评价区浅部土层的岩性、厚度及分布特征，本次调查搜集了评价区以往完成的挖探及静探试验、工程勘察等资料，并通过对包气带土层岩性的野外调查、物理性质和岩性结构特征的现场调查等工作，认为评价区包气带岩性横向变化不大，以粉质粘土夹薄层粉土为主。</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评价区浅层含水层地下水水文地质特征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w:t>
      </w:r>
      <w:r>
        <w:rPr>
          <w:rFonts w:hint="eastAsia" w:ascii="Times New Roman" w:hAnsi="Times New Roman" w:eastAsia="宋体" w:cs="Times New Roman"/>
          <w:snapToGrid/>
          <w:color w:val="000000"/>
          <w:kern w:val="0"/>
          <w:sz w:val="24"/>
          <w:szCs w:val="24"/>
          <w:lang w:eastAsia="zh-CN" w:bidi="ar"/>
        </w:rPr>
        <w:t>）评价区浅层含水层岩性特征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eastAsia="zh-CN" w:bidi="ar"/>
        </w:rPr>
        <w:t>根据本次搜集以为地质资料成果，评价区内由静止水位至含水层底板埋深7～25米之间的亚砂土、亚粘土、黄土类土均系潜水含水层组。</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eastAsia="zh-CN" w:bidi="ar"/>
        </w:rPr>
        <w:t>根据评价区范围内相关区域地质资料，评价区内第四系上更新统（Q</w:t>
      </w:r>
      <w:r>
        <w:rPr>
          <w:rFonts w:hint="eastAsia" w:ascii="Times New Roman" w:hAnsi="Times New Roman" w:eastAsia="宋体" w:cs="Times New Roman"/>
          <w:snapToGrid/>
          <w:color w:val="000000"/>
          <w:kern w:val="0"/>
          <w:sz w:val="24"/>
          <w:szCs w:val="24"/>
          <w:vertAlign w:val="subscript"/>
          <w:lang w:eastAsia="zh-CN" w:bidi="ar"/>
        </w:rPr>
        <w:t>3</w:t>
      </w:r>
      <w:r>
        <w:rPr>
          <w:rFonts w:hint="eastAsia" w:ascii="Times New Roman" w:hAnsi="Times New Roman" w:eastAsia="宋体" w:cs="Times New Roman"/>
          <w:snapToGrid/>
          <w:color w:val="000000"/>
          <w:kern w:val="0"/>
          <w:sz w:val="24"/>
          <w:szCs w:val="24"/>
          <w:lang w:eastAsia="zh-CN" w:bidi="ar"/>
        </w:rPr>
        <w:t>）地层根据岩性特征可分为六层，总厚度约30m。其岩性特征具体为，在耕植层以下有一层1～1m厚的重亚砂土层，其下第二层位为一层厚约5～7m的轻亚砂土层，该层厚度较为均一。再往下，第三层为一层厚约3～5m的亚砂土层，其在评价区西南部夹有一层厚约0.5m、岩性为亚粘土的透镜体；第四层仍为一层厚约3～4m的轻亚砂土层，其下的第五层为一层厚约3～5m的细砂、粉砂层，为评价区内最为重要的浅层地下水含水层位。再往下则第六层为一层厚约8-10m的弱透水层。第四系上更新统（Q</w:t>
      </w:r>
      <w:r>
        <w:rPr>
          <w:rFonts w:hint="eastAsia" w:ascii="Times New Roman" w:hAnsi="Times New Roman" w:eastAsia="宋体" w:cs="Times New Roman"/>
          <w:snapToGrid/>
          <w:color w:val="000000"/>
          <w:kern w:val="0"/>
          <w:sz w:val="24"/>
          <w:szCs w:val="24"/>
          <w:vertAlign w:val="subscript"/>
          <w:lang w:eastAsia="zh-CN" w:bidi="ar"/>
        </w:rPr>
        <w:t>3</w:t>
      </w:r>
      <w:r>
        <w:rPr>
          <w:rFonts w:hint="eastAsia" w:ascii="Times New Roman" w:hAnsi="Times New Roman" w:eastAsia="宋体" w:cs="Times New Roman"/>
          <w:snapToGrid/>
          <w:color w:val="000000"/>
          <w:kern w:val="0"/>
          <w:sz w:val="24"/>
          <w:szCs w:val="24"/>
          <w:lang w:eastAsia="zh-CN" w:bidi="ar"/>
        </w:rPr>
        <w:t>）地层以下则为第四系上更新统（Q</w:t>
      </w:r>
      <w:r>
        <w:rPr>
          <w:rFonts w:hint="eastAsia" w:ascii="Times New Roman" w:hAnsi="Times New Roman" w:eastAsia="宋体" w:cs="Times New Roman"/>
          <w:snapToGrid/>
          <w:color w:val="000000"/>
          <w:kern w:val="0"/>
          <w:sz w:val="24"/>
          <w:szCs w:val="24"/>
          <w:vertAlign w:val="subscript"/>
          <w:lang w:eastAsia="zh-CN" w:bidi="ar"/>
        </w:rPr>
        <w:t>3</w:t>
      </w:r>
      <w:r>
        <w:rPr>
          <w:rFonts w:hint="eastAsia" w:ascii="Times New Roman" w:hAnsi="Times New Roman" w:eastAsia="宋体" w:cs="Times New Roman"/>
          <w:snapToGrid/>
          <w:color w:val="000000"/>
          <w:kern w:val="0"/>
          <w:sz w:val="24"/>
          <w:szCs w:val="24"/>
          <w:lang w:eastAsia="zh-CN" w:bidi="ar"/>
        </w:rPr>
        <w:t>）地层，其同样可主要分为六层，该层组整体上含水性较弱，为相对隔水层。其第一层为一层厚约1～15m的亚粘土隔水层，第二层为一层1～3m的亚砂层，第三层则仍为一层厚约8～10m的亚粘土层，其下有一层厚度约0.5m的钙质结核层，再往下第五层为一层厚约5～7m的亚砂土层，其下第六层为一层7～10m的亚粘土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napToGrid/>
          <w:color w:val="000000"/>
          <w:kern w:val="0"/>
          <w:sz w:val="24"/>
          <w:szCs w:val="24"/>
          <w:lang w:eastAsia="zh-CN" w:bidi="ar"/>
        </w:rPr>
      </w:pPr>
      <w:r>
        <w:rPr>
          <w:rFonts w:hint="eastAsia" w:ascii="Times New Roman" w:hAnsi="Times New Roman" w:eastAsia="宋体" w:cs="Times New Roman"/>
          <w:snapToGrid/>
          <w:color w:val="000000"/>
          <w:kern w:val="0"/>
          <w:sz w:val="24"/>
          <w:szCs w:val="24"/>
          <w:lang w:eastAsia="zh-CN" w:bidi="ar"/>
        </w:rPr>
        <w:t>评价区整体地层结构变化较小，因而地下水富水性也相对较为均一，区域上属于强富水性分区，以5米降深计算，单井出水2000～5000m</w:t>
      </w:r>
      <w:r>
        <w:rPr>
          <w:rFonts w:hint="eastAsia" w:ascii="Times New Roman" w:hAnsi="Times New Roman" w:eastAsia="宋体" w:cs="Times New Roman"/>
          <w:snapToGrid/>
          <w:color w:val="000000"/>
          <w:kern w:val="0"/>
          <w:sz w:val="24"/>
          <w:szCs w:val="24"/>
          <w:vertAlign w:val="superscript"/>
          <w:lang w:eastAsia="zh-CN" w:bidi="ar"/>
        </w:rPr>
        <w:t>3</w:t>
      </w:r>
      <w:r>
        <w:rPr>
          <w:rFonts w:hint="eastAsia" w:ascii="Times New Roman" w:hAnsi="Times New Roman" w:eastAsia="宋体" w:cs="Times New Roman"/>
          <w:snapToGrid/>
          <w:color w:val="000000"/>
          <w:kern w:val="0"/>
          <w:sz w:val="24"/>
          <w:szCs w:val="24"/>
          <w:lang w:eastAsia="zh-CN" w:bidi="ar"/>
        </w:rPr>
        <w:t>/d，浅层地下水含水层主要为第四系上更新统（Q</w:t>
      </w:r>
      <w:r>
        <w:rPr>
          <w:rFonts w:hint="eastAsia" w:ascii="Times New Roman" w:hAnsi="Times New Roman" w:eastAsia="宋体" w:cs="Times New Roman"/>
          <w:snapToGrid/>
          <w:color w:val="000000"/>
          <w:kern w:val="0"/>
          <w:sz w:val="24"/>
          <w:szCs w:val="24"/>
          <w:vertAlign w:val="subscript"/>
          <w:lang w:eastAsia="zh-CN" w:bidi="ar"/>
        </w:rPr>
        <w:t>3</w:t>
      </w:r>
      <w:r>
        <w:rPr>
          <w:rFonts w:hint="eastAsia" w:ascii="Times New Roman" w:hAnsi="Times New Roman" w:eastAsia="宋体" w:cs="Times New Roman"/>
          <w:snapToGrid/>
          <w:color w:val="000000"/>
          <w:kern w:val="0"/>
          <w:sz w:val="24"/>
          <w:szCs w:val="24"/>
          <w:lang w:eastAsia="zh-CN" w:bidi="ar"/>
        </w:rPr>
        <w:t>）地层的第五层，含水层厚度约3～5m，岩性以细砂、粉细砂为主，含水层埋深约15～25m。本次调查认为该层位上部岩性以亚砂土、轻亚砂土层为主，下部则以亚粘土、轻亚砂土层，富水性均较弱。根据本次调查，当地居民开凿的灌溉水井一般深约30m，该细砂、粉细砂层应为主要取水层位，因此本次评价的主要含水层位为评价区30m以浅的第四系上更统（Q</w:t>
      </w:r>
      <w:r>
        <w:rPr>
          <w:rFonts w:hint="eastAsia" w:ascii="Times New Roman" w:hAnsi="Times New Roman" w:eastAsia="宋体" w:cs="Times New Roman"/>
          <w:snapToGrid/>
          <w:color w:val="000000"/>
          <w:kern w:val="0"/>
          <w:sz w:val="24"/>
          <w:szCs w:val="24"/>
          <w:vertAlign w:val="subscript"/>
          <w:lang w:eastAsia="zh-CN" w:bidi="ar"/>
        </w:rPr>
        <w:t>3</w:t>
      </w:r>
      <w:r>
        <w:rPr>
          <w:rFonts w:hint="eastAsia" w:ascii="Times New Roman" w:hAnsi="Times New Roman" w:eastAsia="宋体" w:cs="Times New Roman"/>
          <w:snapToGrid/>
          <w:color w:val="000000"/>
          <w:kern w:val="0"/>
          <w:sz w:val="24"/>
          <w:szCs w:val="24"/>
          <w:lang w:eastAsia="zh-CN" w:bidi="ar"/>
        </w:rPr>
        <w:t>）的第五层位的细砂、粉细砂含水层。</w:t>
      </w:r>
    </w:p>
    <w:p>
      <w:pPr>
        <w:widowControl/>
        <w:kinsoku/>
        <w:autoSpaceDE/>
        <w:autoSpaceDN/>
        <w:adjustRightInd/>
        <w:snapToGrid/>
        <w:spacing w:line="360" w:lineRule="auto"/>
        <w:ind w:firstLine="0" w:firstLineChars="0"/>
        <w:jc w:val="center"/>
        <w:textAlignment w:val="auto"/>
        <w:rPr>
          <w:rFonts w:ascii="宋体" w:hAnsi="宋体" w:eastAsia="宋体" w:cs="宋体"/>
          <w:snapToGrid/>
          <w:color w:val="000000"/>
          <w:kern w:val="0"/>
          <w:sz w:val="24"/>
          <w:szCs w:val="24"/>
          <w:lang w:eastAsia="zh-CN" w:bidi="ar"/>
        </w:rPr>
      </w:pPr>
      <w:r>
        <w:rPr>
          <w:rFonts w:ascii="Times New Roman" w:hAnsi="Times New Roman" w:eastAsia="宋体" w:cs="Times New Roman"/>
          <w:snapToGrid/>
          <w:kern w:val="2"/>
          <w:sz w:val="24"/>
          <w:szCs w:val="24"/>
          <w:lang w:eastAsia="zh-CN"/>
        </w:rPr>
        <w:drawing>
          <wp:inline distT="0" distB="0" distL="114300" distR="114300">
            <wp:extent cx="5751830" cy="2367280"/>
            <wp:effectExtent l="0" t="0" r="1270" b="1397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59"/>
                    <a:stretch>
                      <a:fillRect/>
                    </a:stretch>
                  </pic:blipFill>
                  <pic:spPr>
                    <a:xfrm>
                      <a:off x="0" y="0"/>
                      <a:ext cx="5751830" cy="2367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snapToGrid/>
          <w:kern w:val="2"/>
          <w:sz w:val="24"/>
          <w:szCs w:val="24"/>
          <w:lang w:eastAsia="zh-CN"/>
        </w:rPr>
      </w:pPr>
      <w:r>
        <w:rPr>
          <w:rFonts w:hint="eastAsia" w:ascii="Times New Roman" w:hAnsi="Times New Roman" w:eastAsia="宋体" w:cs="Times New Roman"/>
          <w:b/>
          <w:bCs/>
          <w:snapToGrid/>
          <w:kern w:val="2"/>
          <w:sz w:val="24"/>
          <w:szCs w:val="24"/>
          <w:lang w:eastAsia="zh-CN"/>
        </w:rPr>
        <w:t>图</w:t>
      </w:r>
      <w:r>
        <w:rPr>
          <w:rFonts w:hint="eastAsia" w:ascii="Times New Roman" w:hAnsi="Times New Roman" w:eastAsia="宋体" w:cs="Times New Roman"/>
          <w:b/>
          <w:bCs/>
          <w:snapToGrid/>
          <w:kern w:val="2"/>
          <w:sz w:val="24"/>
          <w:szCs w:val="24"/>
          <w:lang w:val="en-US" w:eastAsia="zh-CN"/>
        </w:rPr>
        <w:t>5</w:t>
      </w:r>
      <w:r>
        <w:rPr>
          <w:rFonts w:hint="eastAsia" w:ascii="Times New Roman" w:hAnsi="Times New Roman" w:eastAsia="宋体" w:cs="Times New Roman"/>
          <w:b/>
          <w:bCs/>
          <w:snapToGrid/>
          <w:kern w:val="2"/>
          <w:sz w:val="24"/>
          <w:szCs w:val="24"/>
          <w:lang w:eastAsia="zh-CN"/>
        </w:rPr>
        <w:t>-</w:t>
      </w:r>
      <w:r>
        <w:rPr>
          <w:rFonts w:hint="eastAsia" w:ascii="Times New Roman" w:hAnsi="Times New Roman" w:eastAsia="宋体" w:cs="Times New Roman"/>
          <w:b/>
          <w:bCs/>
          <w:snapToGrid/>
          <w:kern w:val="2"/>
          <w:sz w:val="24"/>
          <w:szCs w:val="24"/>
          <w:lang w:val="en-US" w:eastAsia="zh-CN"/>
        </w:rPr>
        <w:t>10</w:t>
      </w:r>
      <w:r>
        <w:rPr>
          <w:rFonts w:hint="eastAsia" w:ascii="Times New Roman" w:hAnsi="Times New Roman" w:eastAsia="宋体" w:cs="Times New Roman"/>
          <w:b/>
          <w:bCs/>
          <w:snapToGrid/>
          <w:kern w:val="2"/>
          <w:sz w:val="24"/>
          <w:szCs w:val="24"/>
          <w:lang w:eastAsia="zh-CN"/>
        </w:rPr>
        <w:t xml:space="preserve">  调查区域水文地质柱状图</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地下水补径排特征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）地下水补给</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浅层水主要靠大气降水入渗和周边侧向径流补给，其次为河渠入渗，湖沟坑塘入渗和农灌回渗补给。</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1</w:t>
      </w:r>
      <w:r>
        <w:rPr>
          <w:rFonts w:hint="eastAsia" w:ascii="宋体" w:hAnsi="宋体" w:eastAsia="宋体" w:cs="宋体"/>
          <w:snapToGrid/>
          <w:color w:val="000000"/>
          <w:kern w:val="0"/>
          <w:sz w:val="24"/>
          <w:szCs w:val="24"/>
          <w:lang w:eastAsia="zh-CN" w:bidi="ar"/>
        </w:rPr>
        <w:t>）降水入渗补给</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降水入渗是浅层地下水的主要补给来源之一，其补给量的大小与包气带岩性、结构、地下水位埋深、降水强度及频率有关。</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本区地形平坦，地面坡降一般</w:t>
      </w:r>
      <w:r>
        <w:rPr>
          <w:rFonts w:ascii="Times New Roman" w:hAnsi="Times New Roman" w:eastAsia="宋体" w:cs="Times New Roman"/>
          <w:snapToGrid/>
          <w:color w:val="000000"/>
          <w:kern w:val="0"/>
          <w:sz w:val="24"/>
          <w:szCs w:val="24"/>
          <w:lang w:eastAsia="zh-CN" w:bidi="ar"/>
        </w:rPr>
        <w:t>1/2000-1/4000</w:t>
      </w:r>
      <w:r>
        <w:rPr>
          <w:rFonts w:hint="eastAsia" w:ascii="宋体" w:hAnsi="宋体" w:eastAsia="宋体" w:cs="宋体"/>
          <w:snapToGrid/>
          <w:color w:val="000000"/>
          <w:kern w:val="0"/>
          <w:sz w:val="24"/>
          <w:szCs w:val="24"/>
          <w:lang w:eastAsia="zh-CN" w:bidi="ar"/>
        </w:rPr>
        <w:t>，地表径流迟缓，地下水埋深较浅，且包气带岩性大部分为粉土及粉砂，结构松散，极有利于大气降水渗入补给。特别是降水集中的</w:t>
      </w:r>
      <w:r>
        <w:rPr>
          <w:rFonts w:ascii="Times New Roman" w:hAnsi="Times New Roman" w:eastAsia="宋体" w:cs="Times New Roman"/>
          <w:snapToGrid/>
          <w:color w:val="000000"/>
          <w:kern w:val="0"/>
          <w:sz w:val="24"/>
          <w:szCs w:val="24"/>
          <w:lang w:eastAsia="zh-CN" w:bidi="ar"/>
        </w:rPr>
        <w:t>7-9</w:t>
      </w:r>
      <w:r>
        <w:rPr>
          <w:rFonts w:hint="eastAsia" w:ascii="宋体" w:hAnsi="宋体" w:eastAsia="宋体" w:cs="宋体"/>
          <w:snapToGrid/>
          <w:color w:val="000000"/>
          <w:kern w:val="0"/>
          <w:sz w:val="24"/>
          <w:szCs w:val="24"/>
          <w:lang w:eastAsia="zh-CN" w:bidi="ar"/>
        </w:rPr>
        <w:t>月份，地下水位显著上升。</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）灌溉回渗补给</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本区农业水利化程度高，主要是渠灌和井灌。</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2</w:t>
      </w:r>
      <w:r>
        <w:rPr>
          <w:rFonts w:hint="eastAsia" w:ascii="宋体" w:hAnsi="宋体" w:eastAsia="宋体" w:cs="宋体"/>
          <w:snapToGrid/>
          <w:color w:val="000000"/>
          <w:kern w:val="0"/>
          <w:sz w:val="24"/>
          <w:szCs w:val="24"/>
          <w:lang w:eastAsia="zh-CN" w:bidi="ar"/>
        </w:rPr>
        <w:t>）地下水径流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调查评价区浅层地下水的天然径流方向大部分为自西南向东北方向补给沙河。</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w:t>
      </w:r>
      <w:r>
        <w:rPr>
          <w:rFonts w:ascii="Times New Roman" w:hAnsi="Times New Roman" w:eastAsia="宋体" w:cs="Times New Roman"/>
          <w:snapToGrid/>
          <w:color w:val="000000"/>
          <w:kern w:val="0"/>
          <w:sz w:val="24"/>
          <w:szCs w:val="24"/>
          <w:lang w:eastAsia="zh-CN" w:bidi="ar"/>
        </w:rPr>
        <w:t>3</w:t>
      </w:r>
      <w:r>
        <w:rPr>
          <w:rFonts w:hint="eastAsia" w:ascii="宋体" w:hAnsi="宋体" w:eastAsia="宋体" w:cs="宋体"/>
          <w:snapToGrid/>
          <w:color w:val="000000"/>
          <w:kern w:val="0"/>
          <w:sz w:val="24"/>
          <w:szCs w:val="24"/>
          <w:lang w:eastAsia="zh-CN" w:bidi="ar"/>
        </w:rPr>
        <w:t>）地下水排泄</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主要排泄形式为人工开采、少量侧向排泄及向沙河排泄。</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Times New Roman" w:hAnsi="Times New Roman" w:eastAsia="宋体" w:cs="Times New Roman"/>
          <w:snapToGrid/>
          <w:color w:val="000000"/>
          <w:kern w:val="0"/>
          <w:sz w:val="24"/>
          <w:szCs w:val="24"/>
          <w:lang w:eastAsia="zh-CN" w:bidi="ar"/>
        </w:rPr>
        <w:t>4、</w:t>
      </w:r>
      <w:r>
        <w:rPr>
          <w:rFonts w:hint="eastAsia" w:ascii="宋体" w:hAnsi="宋体" w:eastAsia="宋体" w:cs="宋体"/>
          <w:snapToGrid/>
          <w:color w:val="000000"/>
          <w:kern w:val="0"/>
          <w:sz w:val="24"/>
          <w:szCs w:val="24"/>
          <w:lang w:eastAsia="zh-CN" w:bidi="ar"/>
        </w:rPr>
        <w:t>评价区浅层地下水流场特征</w:t>
      </w:r>
    </w:p>
    <w:p>
      <w:pPr>
        <w:widowControl/>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hint="eastAsia" w:ascii="宋体" w:hAnsi="宋体" w:eastAsia="宋体" w:cs="宋体"/>
          <w:snapToGrid/>
          <w:color w:val="000000"/>
          <w:kern w:val="0"/>
          <w:sz w:val="24"/>
          <w:szCs w:val="24"/>
          <w:lang w:eastAsia="zh-CN" w:bidi="ar"/>
        </w:rPr>
        <w:t>地下水整体流向与地形坡度基本保持一致，地下水流向整体自西南向东北。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24"/>
        <w:textAlignment w:val="baseline"/>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（二）地下水评价等级判别</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30" w:right="119" w:firstLine="482"/>
        <w:jc w:val="both"/>
        <w:textAlignment w:val="baseline"/>
        <w:rPr>
          <w:rFonts w:ascii="宋体" w:hAnsi="宋体" w:eastAsia="宋体" w:cs="宋体"/>
          <w:sz w:val="24"/>
          <w:szCs w:val="24"/>
        </w:rPr>
      </w:pPr>
      <w:r>
        <w:rPr>
          <w:rFonts w:ascii="宋体" w:hAnsi="宋体" w:eastAsia="宋体" w:cs="宋体"/>
          <w:spacing w:val="2"/>
          <w:sz w:val="24"/>
          <w:szCs w:val="24"/>
        </w:rPr>
        <w:t>根据《环境影响评价技术导则  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2"/>
          <w:sz w:val="24"/>
          <w:szCs w:val="24"/>
        </w:rPr>
        <w:t>）地下水环境影响</w:t>
      </w:r>
      <w:r>
        <w:rPr>
          <w:rFonts w:ascii="宋体" w:hAnsi="宋体" w:eastAsia="宋体" w:cs="宋体"/>
          <w:spacing w:val="15"/>
          <w:sz w:val="24"/>
          <w:szCs w:val="24"/>
        </w:rPr>
        <w:t xml:space="preserve"> </w:t>
      </w:r>
      <w:r>
        <w:rPr>
          <w:rFonts w:ascii="宋体" w:hAnsi="宋体" w:eastAsia="宋体" w:cs="宋体"/>
          <w:spacing w:val="-2"/>
          <w:sz w:val="24"/>
          <w:szCs w:val="24"/>
        </w:rPr>
        <w:t>评价行业分类表（附录</w:t>
      </w:r>
      <w:r>
        <w:rPr>
          <w:rFonts w:ascii="Times New Roman" w:hAnsi="Times New Roman" w:eastAsia="Times New Roman" w:cs="Times New Roman"/>
          <w:spacing w:val="-2"/>
          <w:sz w:val="24"/>
          <w:szCs w:val="24"/>
        </w:rPr>
        <w:t>A</w:t>
      </w:r>
      <w:r>
        <w:rPr>
          <w:rFonts w:ascii="宋体" w:hAnsi="宋体" w:eastAsia="宋体" w:cs="宋体"/>
          <w:spacing w:val="5"/>
          <w:sz w:val="24"/>
          <w:szCs w:val="24"/>
        </w:rPr>
        <w:t>），</w:t>
      </w:r>
      <w:r>
        <w:rPr>
          <w:rFonts w:ascii="宋体" w:hAnsi="宋体" w:eastAsia="宋体" w:cs="宋体"/>
          <w:spacing w:val="-2"/>
          <w:sz w:val="24"/>
          <w:szCs w:val="24"/>
        </w:rPr>
        <w:t>本项目属于“</w:t>
      </w:r>
      <w:r>
        <w:rPr>
          <w:rFonts w:hint="eastAsia" w:ascii="Times New Roman" w:hAnsi="Times New Roman" w:eastAsia="宋体" w:cs="Times New Roman"/>
          <w:spacing w:val="-2"/>
          <w:sz w:val="24"/>
          <w:szCs w:val="24"/>
          <w:lang w:val="en-US" w:eastAsia="zh-CN"/>
        </w:rPr>
        <w:t>N</w:t>
      </w:r>
      <w:r>
        <w:rPr>
          <w:rFonts w:hint="eastAsia" w:ascii="宋体" w:hAnsi="宋体" w:eastAsia="宋体" w:cs="宋体"/>
          <w:spacing w:val="-2"/>
          <w:sz w:val="24"/>
          <w:szCs w:val="24"/>
          <w:lang w:eastAsia="zh-CN"/>
        </w:rPr>
        <w:t>轻工</w:t>
      </w:r>
      <w:r>
        <w:rPr>
          <w:rFonts w:ascii="宋体" w:hAnsi="宋体" w:eastAsia="宋体" w:cs="宋体"/>
          <w:spacing w:val="-3"/>
          <w:sz w:val="24"/>
          <w:szCs w:val="24"/>
        </w:rPr>
        <w:t>”类中第</w:t>
      </w:r>
      <w:r>
        <w:rPr>
          <w:rFonts w:hint="eastAsia" w:ascii="Times New Roman" w:hAnsi="Times New Roman" w:eastAsia="宋体" w:cs="Times New Roman"/>
          <w:spacing w:val="-3"/>
          <w:sz w:val="24"/>
          <w:szCs w:val="24"/>
          <w:lang w:val="en-US" w:eastAsia="zh-CN"/>
        </w:rPr>
        <w:t>98</w:t>
      </w:r>
      <w:r>
        <w:rPr>
          <w:rFonts w:ascii="宋体" w:hAnsi="宋体" w:eastAsia="宋体" w:cs="宋体"/>
          <w:spacing w:val="-3"/>
          <w:sz w:val="24"/>
          <w:szCs w:val="24"/>
        </w:rPr>
        <w:t>条</w:t>
      </w: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eastAsia="zh-CN"/>
        </w:rPr>
        <w:t>屠宰</w:t>
      </w: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eastAsia="zh-CN"/>
        </w:rPr>
        <w:t>报告书项目</w:t>
      </w:r>
      <w:r>
        <w:rPr>
          <w:rFonts w:ascii="宋体" w:hAnsi="宋体" w:eastAsia="宋体" w:cs="宋体"/>
          <w:spacing w:val="-2"/>
          <w:sz w:val="24"/>
          <w:szCs w:val="24"/>
          <w:highlight w:val="none"/>
        </w:rPr>
        <w:t>，为</w:t>
      </w:r>
      <w:r>
        <w:rPr>
          <w:rFonts w:ascii="Times New Roman" w:hAnsi="Times New Roman" w:eastAsia="Times New Roman" w:cs="Times New Roman"/>
          <w:spacing w:val="-2"/>
          <w:sz w:val="24"/>
          <w:szCs w:val="24"/>
          <w:highlight w:val="none"/>
        </w:rPr>
        <w:t>III</w:t>
      </w:r>
      <w:r>
        <w:rPr>
          <w:rFonts w:ascii="宋体" w:hAnsi="宋体" w:eastAsia="宋体" w:cs="宋体"/>
          <w:spacing w:val="-2"/>
          <w:sz w:val="24"/>
          <w:szCs w:val="24"/>
          <w:highlight w:val="none"/>
        </w:rPr>
        <w:t>类项目</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30" w:right="119" w:firstLine="482"/>
        <w:jc w:val="both"/>
        <w:textAlignment w:val="baseline"/>
        <w:rPr>
          <w:rFonts w:ascii="宋体" w:hAnsi="宋体" w:eastAsia="宋体" w:cs="宋体"/>
          <w:sz w:val="24"/>
          <w:szCs w:val="24"/>
        </w:rPr>
      </w:pPr>
      <w:r>
        <w:rPr>
          <w:rFonts w:ascii="宋体" w:hAnsi="宋体" w:eastAsia="宋体" w:cs="宋体"/>
          <w:spacing w:val="2"/>
          <w:sz w:val="24"/>
          <w:szCs w:val="24"/>
        </w:rPr>
        <w:t>本项目所在地不属于集中式饮用水水源地准保护区，不属于国家或地方政府设定的与地下水环境相关的其他保护区，经调查走访项目场地及调查评价范围内均未涉及集中式饮用水水源地准保护区，无国家或地方政府设定的与地下水环境相关的</w:t>
      </w:r>
      <w:r>
        <w:rPr>
          <w:rFonts w:ascii="宋体" w:hAnsi="宋体" w:eastAsia="宋体" w:cs="宋体"/>
          <w:spacing w:val="1"/>
          <w:sz w:val="24"/>
          <w:szCs w:val="24"/>
        </w:rPr>
        <w:t>其他保护区。根据地下水环境敏感程度分级表（见表</w:t>
      </w:r>
      <w:r>
        <w:rPr>
          <w:rFonts w:ascii="Times New Roman" w:hAnsi="Times New Roman" w:eastAsia="Times New Roman" w:cs="Times New Roman"/>
          <w:spacing w:val="1"/>
          <w:sz w:val="24"/>
          <w:szCs w:val="24"/>
        </w:rPr>
        <w:t>5-</w:t>
      </w:r>
      <w:r>
        <w:rPr>
          <w:rFonts w:hint="eastAsia" w:ascii="Times New Roman" w:hAnsi="Times New Roman" w:eastAsia="宋体" w:cs="Times New Roman"/>
          <w:spacing w:val="1"/>
          <w:sz w:val="24"/>
          <w:szCs w:val="24"/>
          <w:lang w:val="en-US" w:eastAsia="zh-CN"/>
        </w:rPr>
        <w:t>28</w:t>
      </w:r>
      <w:r>
        <w:rPr>
          <w:rFonts w:ascii="宋体" w:hAnsi="宋体" w:eastAsia="宋体" w:cs="宋体"/>
          <w:spacing w:val="8"/>
          <w:sz w:val="24"/>
          <w:szCs w:val="24"/>
        </w:rPr>
        <w:t>），</w:t>
      </w:r>
      <w:r>
        <w:rPr>
          <w:rFonts w:ascii="宋体" w:hAnsi="宋体" w:eastAsia="宋体" w:cs="宋体"/>
          <w:spacing w:val="1"/>
          <w:sz w:val="24"/>
          <w:szCs w:val="24"/>
        </w:rPr>
        <w:t>拟建</w:t>
      </w:r>
      <w:r>
        <w:rPr>
          <w:rFonts w:ascii="宋体" w:hAnsi="宋体" w:eastAsia="宋体" w:cs="宋体"/>
          <w:sz w:val="24"/>
          <w:szCs w:val="24"/>
        </w:rPr>
        <w:t>项目地下水环境</w:t>
      </w:r>
      <w:r>
        <w:rPr>
          <w:rFonts w:ascii="宋体" w:hAnsi="宋体" w:eastAsia="宋体" w:cs="宋体"/>
          <w:spacing w:val="-2"/>
          <w:sz w:val="24"/>
          <w:szCs w:val="24"/>
        </w:rPr>
        <w:t>敏感程度为较敏感。</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438"/>
        <w:textAlignment w:val="baseline"/>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5-</w:t>
      </w:r>
      <w:r>
        <w:rPr>
          <w:rFonts w:hint="eastAsia" w:ascii="Times New Roman" w:hAnsi="Times New Roman" w:eastAsia="宋体" w:cs="Times New Roman"/>
          <w:b/>
          <w:bCs/>
          <w:spacing w:val="-1"/>
          <w:sz w:val="24"/>
          <w:szCs w:val="24"/>
          <w:lang w:val="en-US" w:eastAsia="zh-CN"/>
        </w:rPr>
        <w:t>28</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地下水环境敏感程度分级表</w:t>
      </w:r>
    </w:p>
    <w:tbl>
      <w:tblPr>
        <w:tblStyle w:val="24"/>
        <w:tblW w:w="8949" w:type="dxa"/>
        <w:tblInd w:w="12"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99"/>
        <w:gridCol w:w="77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Ex>
        <w:trPr>
          <w:trHeight w:val="375" w:hRule="atLeast"/>
        </w:trPr>
        <w:tc>
          <w:tcPr>
            <w:tcW w:w="119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8"/>
                <w14:textOutline w14:w="3795" w14:cap="sq" w14:cmpd="sng">
                  <w14:solidFill>
                    <w14:srgbClr w14:val="000000"/>
                  </w14:solidFill>
                  <w14:prstDash w14:val="solid"/>
                  <w14:bevel/>
                </w14:textOutline>
              </w:rPr>
              <w:t>敏感程度</w:t>
            </w:r>
          </w:p>
        </w:tc>
        <w:tc>
          <w:tcPr>
            <w:tcW w:w="77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9"/>
                <w14:textOutline w14:w="3795" w14:cap="sq" w14:cmpd="sng">
                  <w14:solidFill>
                    <w14:srgbClr w14:val="000000"/>
                  </w14:solidFill>
                  <w14:prstDash w14:val="solid"/>
                  <w14:bevel/>
                </w14:textOutline>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Ex>
        <w:trPr>
          <w:trHeight w:val="1078" w:hRule="atLeast"/>
        </w:trPr>
        <w:tc>
          <w:tcPr>
            <w:tcW w:w="119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4"/>
              </w:rPr>
              <w:t>敏感</w:t>
            </w:r>
          </w:p>
        </w:tc>
        <w:tc>
          <w:tcPr>
            <w:tcW w:w="77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pPr>
            <w:r>
              <w:rPr>
                <w:spacing w:val="9"/>
              </w:rPr>
              <w:t>集中式饮用水水源（包括已建成的在用、备用、应急水源，在建和规划的饮用水水</w:t>
            </w:r>
            <w:r>
              <w:rPr>
                <w:spacing w:val="5"/>
              </w:rPr>
              <w:t xml:space="preserve"> </w:t>
            </w:r>
            <w:r>
              <w:rPr>
                <w:spacing w:val="9"/>
              </w:rPr>
              <w:t>源）准保护区；除集中式饮用水水源以外的国家或地方政府设定的与地下水环境相</w:t>
            </w:r>
            <w:r>
              <w:rPr>
                <w:spacing w:val="8"/>
              </w:rPr>
              <w:t xml:space="preserve"> </w:t>
            </w:r>
            <w:r>
              <w:rPr>
                <w:spacing w:val="9"/>
              </w:rPr>
              <w:t>关其它保护区，如热水、矿泉水、温泉等特殊地下水资源保护区。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436" w:hRule="atLeast"/>
        </w:trPr>
        <w:tc>
          <w:tcPr>
            <w:tcW w:w="119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6"/>
              </w:rPr>
              <w:t>较敏感</w:t>
            </w:r>
          </w:p>
        </w:tc>
        <w:tc>
          <w:tcPr>
            <w:tcW w:w="77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pPr>
            <w:r>
              <w:rPr>
                <w:spacing w:val="9"/>
              </w:rPr>
              <w:t>集中式饮用水水源（包括已建成的在用、备用、应急水源，在建和规划的饮用水水</w:t>
            </w:r>
            <w:r>
              <w:rPr>
                <w:spacing w:val="2"/>
              </w:rPr>
              <w:t xml:space="preserve">  </w:t>
            </w:r>
            <w:r>
              <w:rPr>
                <w:spacing w:val="9"/>
              </w:rPr>
              <w:t>源）准保护区以外的补给径流区；未划定准保护区的集中水式饮用水水源，其保护</w:t>
            </w:r>
            <w:r>
              <w:rPr>
                <w:spacing w:val="4"/>
              </w:rPr>
              <w:t xml:space="preserve">  </w:t>
            </w:r>
            <w:r>
              <w:rPr>
                <w:spacing w:val="6"/>
              </w:rPr>
              <w:t>区以外的补给径流区；分散式饮用水水源地；特殊地下水资源（如矿泉水</w:t>
            </w:r>
            <w:r>
              <w:rPr>
                <w:spacing w:val="5"/>
              </w:rPr>
              <w:t>、温泉等）</w:t>
            </w:r>
            <w:r>
              <w:t xml:space="preserve"> </w:t>
            </w:r>
            <w:r>
              <w:rPr>
                <w:spacing w:val="9"/>
              </w:rPr>
              <w:t>保护区以外的分布区等其他未列入上述敏感分级的环境敏感</w:t>
            </w:r>
            <w:r>
              <w:rPr>
                <w:spacing w:val="8"/>
              </w:rPr>
              <w:t>区</w:t>
            </w:r>
            <w:r>
              <w:rPr>
                <w:spacing w:val="-42"/>
              </w:rPr>
              <w:t xml:space="preserve"> </w:t>
            </w:r>
            <w:r>
              <w:rPr>
                <w:rFonts w:ascii="Times New Roman" w:hAnsi="Times New Roman" w:eastAsia="Times New Roman" w:cs="Times New Roman"/>
                <w:spacing w:val="8"/>
                <w:position w:val="6"/>
                <w:sz w:val="13"/>
                <w:szCs w:val="13"/>
              </w:rPr>
              <w:t>a</w:t>
            </w:r>
            <w:r>
              <w:rPr>
                <w:spacing w:val="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66" w:hRule="atLeast"/>
        </w:trPr>
        <w:tc>
          <w:tcPr>
            <w:tcW w:w="119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5"/>
              </w:rPr>
              <w:t>不敏感</w:t>
            </w:r>
          </w:p>
        </w:tc>
        <w:tc>
          <w:tcPr>
            <w:tcW w:w="77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8"/>
              </w:rPr>
              <w:t>上述地区之外的其它地区。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739" w:hRule="atLeast"/>
        </w:trPr>
        <w:tc>
          <w:tcPr>
            <w:tcW w:w="8949"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pPr>
            <w:r>
              <w:rPr>
                <w:spacing w:val="10"/>
              </w:rPr>
              <w:t>注：</w:t>
            </w:r>
            <w:r>
              <w:rPr>
                <w:rFonts w:ascii="Times New Roman" w:hAnsi="Times New Roman" w:eastAsia="Times New Roman" w:cs="Times New Roman"/>
                <w:spacing w:val="10"/>
              </w:rPr>
              <w:t>a</w:t>
            </w:r>
            <w:r>
              <w:rPr>
                <w:spacing w:val="10"/>
              </w:rPr>
              <w:t>“环境敏感区</w:t>
            </w:r>
            <w:r>
              <w:rPr>
                <w:spacing w:val="-70"/>
              </w:rPr>
              <w:t xml:space="preserve"> </w:t>
            </w:r>
            <w:r>
              <w:rPr>
                <w:spacing w:val="10"/>
              </w:rPr>
              <w:t>”是指《建设项目环境影</w:t>
            </w:r>
            <w:r>
              <w:rPr>
                <w:spacing w:val="9"/>
              </w:rPr>
              <w:t>响评价分类管理名录》中所界定的涉及地下水的环</w:t>
            </w:r>
            <w:r>
              <w:t xml:space="preserve"> </w:t>
            </w:r>
            <w:r>
              <w:rPr>
                <w:spacing w:val="5"/>
              </w:rPr>
              <w:t>境敏感区。</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综上所述可知，本项目地下水敏感程度为较敏感，根据评价工作等级划分表，本项目地下水评价等级为三级，地下水划分工作等级表详见表5-</w:t>
      </w:r>
      <w:r>
        <w:rPr>
          <w:rFonts w:hint="eastAsia" w:ascii="Times New Roman" w:hAnsi="Times New Roman" w:eastAsia="宋体" w:cs="Times New Roman"/>
          <w:sz w:val="24"/>
          <w:szCs w:val="24"/>
          <w:lang w:val="en-US" w:eastAsia="zh-CN"/>
        </w:rPr>
        <w:t>29</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801"/>
        <w:textAlignment w:val="baseline"/>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5-</w:t>
      </w:r>
      <w:r>
        <w:rPr>
          <w:rFonts w:hint="eastAsia" w:ascii="Times New Roman" w:hAnsi="Times New Roman" w:eastAsia="宋体" w:cs="Times New Roman"/>
          <w:b/>
          <w:bCs/>
          <w:spacing w:val="-1"/>
          <w:sz w:val="24"/>
          <w:szCs w:val="24"/>
          <w:lang w:val="en-US" w:eastAsia="zh-CN"/>
        </w:rPr>
        <w:t>29</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评价工作等级分级表</w:t>
      </w:r>
    </w:p>
    <w:tbl>
      <w:tblPr>
        <w:tblStyle w:val="24"/>
        <w:tblW w:w="8949"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130"/>
        <w:gridCol w:w="2132"/>
        <w:gridCol w:w="21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17" w:hRule="atLeast"/>
        </w:trPr>
        <w:tc>
          <w:tcPr>
            <w:tcW w:w="2541" w:type="dxa"/>
            <w:tcBorders>
              <w:tl2br w:val="nil"/>
              <w:tr2bl w:val="nil"/>
            </w:tcBorders>
            <w:vAlign w:val="center"/>
          </w:tcPr>
          <w:p>
            <w:pPr>
              <w:jc w:val="right"/>
              <w:rPr>
                <w:rFonts w:hint="default" w:ascii="Times New Roman" w:hAnsi="Times New Roman" w:cs="Times New Roman"/>
              </w:rPr>
            </w:pPr>
            <w:r>
              <w:rPr>
                <w:rFonts w:hint="default" w:ascii="Times New Roman" w:hAnsi="Times New Roman" w:cs="Times New Roman"/>
              </w:rPr>
              <w:t>项目类别</w:t>
            </w:r>
          </w:p>
          <w:p>
            <w:pPr>
              <w:jc w:val="both"/>
              <w:rPr>
                <w:rFonts w:hint="default" w:ascii="Times New Roman" w:hAnsi="Times New Roman" w:cs="Times New Roman"/>
              </w:rPr>
            </w:pPr>
            <w:r>
              <w:rPr>
                <w:rFonts w:hint="default" w:ascii="Times New Roman" w:hAnsi="Times New Roman" w:cs="Times New Roman"/>
              </w:rPr>
              <w:t>环境敏感程度</w:t>
            </w:r>
          </w:p>
        </w:tc>
        <w:tc>
          <w:tcPr>
            <w:tcW w:w="213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I类项目</w:t>
            </w:r>
          </w:p>
        </w:tc>
        <w:tc>
          <w:tcPr>
            <w:tcW w:w="213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II类项目</w:t>
            </w:r>
          </w:p>
        </w:tc>
        <w:tc>
          <w:tcPr>
            <w:tcW w:w="214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III类项目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63" w:hRule="atLeast"/>
        </w:trPr>
        <w:tc>
          <w:tcPr>
            <w:tcW w:w="2541"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敏感</w:t>
            </w:r>
          </w:p>
        </w:tc>
        <w:tc>
          <w:tcPr>
            <w:tcW w:w="213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w:t>
            </w:r>
          </w:p>
        </w:tc>
        <w:tc>
          <w:tcPr>
            <w:tcW w:w="213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w:t>
            </w:r>
          </w:p>
        </w:tc>
        <w:tc>
          <w:tcPr>
            <w:tcW w:w="214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63" w:hRule="atLeast"/>
        </w:trPr>
        <w:tc>
          <w:tcPr>
            <w:tcW w:w="2541"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较敏感</w:t>
            </w:r>
          </w:p>
        </w:tc>
        <w:tc>
          <w:tcPr>
            <w:tcW w:w="213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w:t>
            </w:r>
          </w:p>
        </w:tc>
        <w:tc>
          <w:tcPr>
            <w:tcW w:w="213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二</w:t>
            </w:r>
          </w:p>
        </w:tc>
        <w:tc>
          <w:tcPr>
            <w:tcW w:w="2146" w:type="dxa"/>
            <w:tcBorders>
              <w:tl2br w:val="nil"/>
              <w:tr2bl w:val="nil"/>
            </w:tcBorders>
            <w:shd w:val="clear" w:color="auto" w:fill="BEBEBE"/>
            <w:vAlign w:val="center"/>
          </w:tcPr>
          <w:p>
            <w:pPr>
              <w:jc w:val="center"/>
              <w:rPr>
                <w:rFonts w:hint="default" w:ascii="Times New Roman" w:hAnsi="Times New Roman" w:cs="Times New Roman"/>
              </w:rPr>
            </w:pPr>
            <w:r>
              <w:rPr>
                <w:rFonts w:hint="default" w:ascii="Times New Roman" w:hAnsi="Times New Roman" w:cs="Times New Roman"/>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trPr>
        <w:tc>
          <w:tcPr>
            <w:tcW w:w="2541"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不敏感</w:t>
            </w:r>
          </w:p>
        </w:tc>
        <w:tc>
          <w:tcPr>
            <w:tcW w:w="213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二</w:t>
            </w:r>
          </w:p>
        </w:tc>
        <w:tc>
          <w:tcPr>
            <w:tcW w:w="213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三</w:t>
            </w:r>
          </w:p>
        </w:tc>
        <w:tc>
          <w:tcPr>
            <w:tcW w:w="214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三</w:t>
            </w:r>
          </w:p>
        </w:tc>
      </w:tr>
    </w:tbl>
    <w:p>
      <w:pPr>
        <w:keepNext w:val="0"/>
        <w:keepLines w:val="0"/>
        <w:pageBreakBefore w:val="0"/>
        <w:widowControl w:val="0"/>
        <w:kinsoku w:val="0"/>
        <w:wordWrap/>
        <w:overflowPunct/>
        <w:topLinePunct w:val="0"/>
        <w:autoSpaceDE w:val="0"/>
        <w:autoSpaceDN w:val="0"/>
        <w:bidi w:val="0"/>
        <w:adjustRightInd w:val="0"/>
        <w:snapToGrid w:val="0"/>
        <w:spacing w:before="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综上所述，根据《环境影响评价技术导则  地下水环境》（HJ610-2016）中表2评价工作等级分级表，项目地下水环境影响评价定为三级。</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left="624"/>
        <w:textAlignment w:val="baseline"/>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（三）评价范围的确定</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根据《环境影响评价技术导则——地下水环境》（HJ610-2016）。本项目采用查表法确定评价范围，评价范围为以厂址为中心，厂址周围6km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以内地下水区域。</w:t>
      </w:r>
    </w:p>
    <w:p>
      <w:pPr>
        <w:spacing w:before="216" w:line="219" w:lineRule="auto"/>
        <w:ind w:left="62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（四）地下水环境影响识别</w:t>
      </w:r>
    </w:p>
    <w:p>
      <w:pPr>
        <w:keepNext w:val="0"/>
        <w:keepLines w:val="0"/>
        <w:pageBreakBefore w:val="0"/>
        <w:widowControl w:val="0"/>
        <w:kinsoku/>
        <w:wordWrap/>
        <w:overflowPunct/>
        <w:topLinePunct w:val="0"/>
        <w:autoSpaceDE w:val="0"/>
        <w:autoSpaceDN w:val="0"/>
        <w:bidi w:val="0"/>
        <w:adjustRightInd w:val="0"/>
        <w:snapToGrid w:val="0"/>
        <w:spacing w:before="214" w:line="384" w:lineRule="auto"/>
        <w:ind w:left="130" w:right="40" w:firstLine="482"/>
        <w:jc w:val="both"/>
        <w:textAlignment w:val="baseline"/>
        <w:rPr>
          <w:rFonts w:ascii="宋体" w:hAnsi="宋体" w:eastAsia="宋体" w:cs="宋体"/>
          <w:spacing w:val="-1"/>
          <w:sz w:val="24"/>
          <w:szCs w:val="24"/>
        </w:rPr>
      </w:pPr>
      <w:r>
        <w:rPr>
          <w:rFonts w:ascii="宋体" w:hAnsi="宋体" w:eastAsia="宋体" w:cs="宋体"/>
          <w:spacing w:val="2"/>
          <w:sz w:val="24"/>
          <w:szCs w:val="24"/>
        </w:rPr>
        <w:t>本项目运营期废水主要为生活污水、待宰区地面冲洗废水、屠宰废水（包括</w:t>
      </w:r>
      <w:r>
        <w:rPr>
          <w:rFonts w:hint="eastAsia" w:ascii="宋体" w:hAnsi="宋体" w:eastAsia="宋体" w:cs="宋体"/>
          <w:spacing w:val="2"/>
          <w:sz w:val="24"/>
          <w:szCs w:val="24"/>
          <w:lang w:eastAsia="zh-CN"/>
        </w:rPr>
        <w:t>牛羊</w:t>
      </w:r>
      <w:r>
        <w:rPr>
          <w:rFonts w:ascii="宋体" w:hAnsi="宋体" w:eastAsia="宋体" w:cs="宋体"/>
          <w:spacing w:val="-2"/>
          <w:sz w:val="24"/>
          <w:szCs w:val="24"/>
        </w:rPr>
        <w:t>胴体</w:t>
      </w:r>
      <w:r>
        <w:rPr>
          <w:rFonts w:hint="eastAsia" w:ascii="宋体" w:hAnsi="宋体" w:eastAsia="宋体" w:cs="宋体"/>
          <w:spacing w:val="-2"/>
          <w:sz w:val="24"/>
          <w:szCs w:val="24"/>
          <w:lang w:eastAsia="zh-CN"/>
        </w:rPr>
        <w:t>冲</w:t>
      </w:r>
      <w:r>
        <w:rPr>
          <w:rFonts w:ascii="宋体" w:hAnsi="宋体" w:eastAsia="宋体" w:cs="宋体"/>
          <w:spacing w:val="-2"/>
          <w:sz w:val="24"/>
          <w:szCs w:val="24"/>
        </w:rPr>
        <w:t>洗、副产品清洗、设备冲洗、车间地面冲洗等</w:t>
      </w:r>
      <w:r>
        <w:rPr>
          <w:rFonts w:ascii="宋体" w:hAnsi="宋体" w:eastAsia="宋体" w:cs="宋体"/>
          <w:spacing w:val="-3"/>
          <w:sz w:val="24"/>
          <w:szCs w:val="24"/>
        </w:rPr>
        <w:t>产生的废水）、</w:t>
      </w:r>
      <w:r>
        <w:rPr>
          <w:rFonts w:ascii="宋体" w:hAnsi="宋体" w:eastAsia="宋体" w:cs="宋体"/>
          <w:spacing w:val="2"/>
          <w:sz w:val="24"/>
          <w:szCs w:val="24"/>
        </w:rPr>
        <w:t>检验废水等，</w:t>
      </w:r>
      <w:r>
        <w:rPr>
          <w:rFonts w:ascii="宋体" w:hAnsi="宋体" w:eastAsia="宋体" w:cs="宋体"/>
          <w:spacing w:val="1"/>
          <w:sz w:val="24"/>
          <w:szCs w:val="24"/>
        </w:rPr>
        <w:t>餐饮废水与生活污水经化粪池</w:t>
      </w:r>
      <w:r>
        <w:rPr>
          <w:rFonts w:ascii="宋体" w:hAnsi="宋体" w:eastAsia="宋体" w:cs="宋体"/>
          <w:spacing w:val="-2"/>
          <w:sz w:val="24"/>
          <w:szCs w:val="24"/>
        </w:rPr>
        <w:t>处理后进入厂区污水处理站。项目运营期生活及生产废水经“</w:t>
      </w:r>
      <w:r>
        <w:rPr>
          <w:rFonts w:hint="default" w:ascii="宋体" w:hAnsi="宋体" w:eastAsia="宋体" w:cs="宋体"/>
          <w:spacing w:val="-2"/>
          <w:sz w:val="24"/>
          <w:szCs w:val="24"/>
          <w:lang w:eastAsia="zh-CN"/>
        </w:rPr>
        <w:t>格栅</w:t>
      </w:r>
      <w:r>
        <w:rPr>
          <w:rFonts w:hint="default" w:ascii="宋体" w:hAnsi="宋体" w:eastAsia="宋体" w:cs="宋体"/>
          <w:spacing w:val="-2"/>
          <w:sz w:val="24"/>
          <w:szCs w:val="24"/>
        </w:rPr>
        <w:t>气浮+水解酸化+生物接触氧化</w:t>
      </w:r>
      <w:r>
        <w:rPr>
          <w:rFonts w:hint="default" w:ascii="宋体" w:hAnsi="宋体" w:eastAsia="宋体" w:cs="宋体"/>
          <w:spacing w:val="-2"/>
          <w:sz w:val="24"/>
          <w:szCs w:val="24"/>
          <w:lang w:val="en-US" w:eastAsia="zh-CN"/>
        </w:rPr>
        <w:t>+消毒</w:t>
      </w:r>
      <w:r>
        <w:rPr>
          <w:rFonts w:ascii="宋体" w:hAnsi="宋体" w:eastAsia="宋体" w:cs="宋体"/>
          <w:spacing w:val="-87"/>
          <w:sz w:val="24"/>
          <w:szCs w:val="24"/>
        </w:rPr>
        <w:t xml:space="preserve"> </w:t>
      </w:r>
      <w:r>
        <w:rPr>
          <w:rFonts w:ascii="宋体" w:hAnsi="宋体" w:eastAsia="宋体" w:cs="宋体"/>
          <w:spacing w:val="-1"/>
          <w:sz w:val="24"/>
          <w:szCs w:val="24"/>
        </w:rPr>
        <w:t>”工艺处理后排入</w:t>
      </w:r>
      <w:r>
        <w:rPr>
          <w:rFonts w:hint="eastAsia" w:ascii="宋体" w:hAnsi="宋体" w:eastAsia="宋体" w:cs="宋体"/>
          <w:spacing w:val="-1"/>
          <w:sz w:val="24"/>
          <w:szCs w:val="24"/>
          <w:lang w:eastAsia="zh-CN"/>
        </w:rPr>
        <w:t>叶县县城污水处理厂</w:t>
      </w:r>
      <w:r>
        <w:rPr>
          <w:rFonts w:ascii="宋体" w:hAnsi="宋体" w:eastAsia="宋体" w:cs="宋体"/>
          <w:spacing w:val="-1"/>
          <w:sz w:val="24"/>
          <w:szCs w:val="24"/>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根据本项目所处区域的地质情况分析，本项目地下水可能存在的主要污染方式是渗入型污染。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程度的大小，取决于包气带的地质结构、成份、厚度、渗透性以及污染物的各类性质。一般说来，土壤粒细而紧密，渗透性差，则污染慢；反之，颗粒粗大松散，渗透性能良好则污染重该区域地下水的补给、径流、排泄等运动规律和贮存</w:t>
      </w:r>
      <w:r>
        <w:rPr>
          <w:rFonts w:ascii="宋体" w:hAnsi="宋体" w:eastAsia="宋体" w:cs="宋体"/>
          <w:spacing w:val="-1"/>
          <w:sz w:val="24"/>
          <w:szCs w:val="24"/>
        </w:rPr>
        <w:t>条件，均受地形、地貌、地质构造、地层岩性等条件的控制。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本项目所在地区域地质结构稳定，地质构造简单，无断裂破坏现象。无滑坡、泥石流、岩溶和采空区、地裂缝等不良地质现象。</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ascii="宋体" w:hAnsi="宋体" w:eastAsia="宋体" w:cs="宋体"/>
          <w:sz w:val="24"/>
          <w:szCs w:val="24"/>
        </w:rPr>
      </w:pPr>
      <w:r>
        <w:rPr>
          <w:rFonts w:ascii="宋体" w:hAnsi="宋体" w:eastAsia="宋体" w:cs="宋体"/>
          <w:spacing w:val="2"/>
          <w:sz w:val="24"/>
          <w:szCs w:val="24"/>
        </w:rPr>
        <w:t>本项目生活污水经化粪池处理后与生产污水经厂区污水处理站（项目区污水处</w:t>
      </w:r>
      <w:r>
        <w:rPr>
          <w:rFonts w:ascii="宋体" w:hAnsi="宋体" w:eastAsia="宋体" w:cs="宋体"/>
          <w:spacing w:val="-1"/>
          <w:sz w:val="24"/>
          <w:szCs w:val="24"/>
        </w:rPr>
        <w:t>理工艺为：“</w:t>
      </w:r>
      <w:r>
        <w:rPr>
          <w:rFonts w:hint="default" w:ascii="宋体" w:hAnsi="宋体" w:eastAsia="宋体" w:cs="宋体"/>
          <w:spacing w:val="-1"/>
          <w:sz w:val="24"/>
          <w:szCs w:val="24"/>
          <w:lang w:eastAsia="zh-CN"/>
        </w:rPr>
        <w:t>格栅</w:t>
      </w:r>
      <w:r>
        <w:rPr>
          <w:rFonts w:hint="default" w:ascii="宋体" w:hAnsi="宋体" w:eastAsia="宋体" w:cs="宋体"/>
          <w:spacing w:val="-1"/>
          <w:sz w:val="24"/>
          <w:szCs w:val="24"/>
        </w:rPr>
        <w:t>气浮+水解酸化+生物接触氧化</w:t>
      </w:r>
      <w:r>
        <w:rPr>
          <w:rFonts w:hint="default" w:ascii="宋体" w:hAnsi="宋体" w:eastAsia="宋体" w:cs="宋体"/>
          <w:spacing w:val="-1"/>
          <w:sz w:val="24"/>
          <w:szCs w:val="24"/>
          <w:lang w:val="en-US" w:eastAsia="zh-CN"/>
        </w:rPr>
        <w:t>+消毒</w:t>
      </w:r>
      <w:r>
        <w:rPr>
          <w:rFonts w:ascii="宋体" w:hAnsi="宋体" w:eastAsia="宋体" w:cs="宋体"/>
          <w:spacing w:val="-86"/>
          <w:sz w:val="24"/>
          <w:szCs w:val="24"/>
        </w:rPr>
        <w:t xml:space="preserve"> </w:t>
      </w:r>
      <w:r>
        <w:rPr>
          <w:rFonts w:ascii="宋体" w:hAnsi="宋体" w:eastAsia="宋体" w:cs="宋体"/>
          <w:spacing w:val="-1"/>
          <w:sz w:val="24"/>
          <w:szCs w:val="24"/>
        </w:rPr>
        <w:t>”）处</w:t>
      </w:r>
      <w:r>
        <w:rPr>
          <w:rFonts w:ascii="宋体" w:hAnsi="宋体" w:eastAsia="宋体" w:cs="宋体"/>
          <w:spacing w:val="1"/>
          <w:sz w:val="24"/>
          <w:szCs w:val="24"/>
        </w:rPr>
        <w:t>理后，满足《肉类加工工业水污染物排放标准》（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13457</w:t>
      </w:r>
      <w:r>
        <w:rPr>
          <w:rFonts w:ascii="宋体" w:hAnsi="宋体" w:eastAsia="宋体" w:cs="宋体"/>
          <w:spacing w:val="1"/>
          <w:sz w:val="24"/>
          <w:szCs w:val="24"/>
        </w:rPr>
        <w:t>－</w:t>
      </w:r>
      <w:r>
        <w:rPr>
          <w:rFonts w:ascii="Times New Roman" w:hAnsi="Times New Roman" w:eastAsia="Times New Roman" w:cs="Times New Roman"/>
          <w:spacing w:val="1"/>
          <w:sz w:val="24"/>
          <w:szCs w:val="24"/>
        </w:rPr>
        <w:t>92</w:t>
      </w:r>
      <w:r>
        <w:rPr>
          <w:rFonts w:ascii="宋体" w:hAnsi="宋体" w:eastAsia="宋体" w:cs="宋体"/>
          <w:spacing w:val="1"/>
          <w:sz w:val="24"/>
          <w:szCs w:val="24"/>
        </w:rPr>
        <w:t>）表</w:t>
      </w:r>
      <w:r>
        <w:rPr>
          <w:rFonts w:ascii="Times New Roman" w:hAnsi="Times New Roman" w:eastAsia="Times New Roman" w:cs="Times New Roman"/>
          <w:spacing w:val="1"/>
          <w:sz w:val="24"/>
          <w:szCs w:val="24"/>
        </w:rPr>
        <w:t>3</w:t>
      </w:r>
      <w:r>
        <w:rPr>
          <w:rFonts w:ascii="宋体" w:hAnsi="宋体" w:eastAsia="宋体" w:cs="宋体"/>
          <w:spacing w:val="1"/>
          <w:sz w:val="24"/>
          <w:szCs w:val="24"/>
        </w:rPr>
        <w:t>中畜类屠宰</w:t>
      </w:r>
      <w:r>
        <w:rPr>
          <w:rFonts w:ascii="宋体" w:hAnsi="宋体" w:eastAsia="宋体" w:cs="宋体"/>
          <w:spacing w:val="3"/>
          <w:sz w:val="24"/>
          <w:szCs w:val="24"/>
        </w:rPr>
        <w:t>加工三级标准限值及</w:t>
      </w:r>
      <w:r>
        <w:rPr>
          <w:rFonts w:hint="eastAsia" w:ascii="宋体" w:hAnsi="宋体" w:eastAsia="宋体" w:cs="宋体"/>
          <w:spacing w:val="3"/>
          <w:sz w:val="24"/>
          <w:szCs w:val="24"/>
          <w:lang w:eastAsia="zh-CN"/>
        </w:rPr>
        <w:t>叶县县城污水处理厂</w:t>
      </w:r>
      <w:r>
        <w:rPr>
          <w:rFonts w:ascii="宋体" w:hAnsi="宋体" w:eastAsia="宋体" w:cs="宋体"/>
          <w:spacing w:val="3"/>
          <w:sz w:val="24"/>
          <w:szCs w:val="24"/>
        </w:rPr>
        <w:t>进水指标要求后，排入</w:t>
      </w:r>
      <w:r>
        <w:rPr>
          <w:rFonts w:hint="eastAsia" w:ascii="宋体" w:hAnsi="宋体" w:eastAsia="宋体" w:cs="宋体"/>
          <w:spacing w:val="3"/>
          <w:sz w:val="24"/>
          <w:szCs w:val="24"/>
          <w:lang w:eastAsia="zh-CN"/>
        </w:rPr>
        <w:t>叶县县城污水处理厂</w:t>
      </w:r>
      <w:r>
        <w:rPr>
          <w:rFonts w:ascii="宋体" w:hAnsi="宋体" w:eastAsia="宋体" w:cs="宋体"/>
          <w:spacing w:val="3"/>
          <w:sz w:val="24"/>
          <w:szCs w:val="24"/>
        </w:rPr>
        <w:t>，</w:t>
      </w:r>
      <w:r>
        <w:rPr>
          <w:rFonts w:ascii="宋体" w:hAnsi="宋体" w:eastAsia="宋体" w:cs="宋体"/>
          <w:spacing w:val="9"/>
          <w:sz w:val="24"/>
          <w:szCs w:val="24"/>
        </w:rPr>
        <w:t>对地下水的影响主要为场区内污染物主要是通过废水入渗和降雨来影响地下水环</w:t>
      </w:r>
      <w:r>
        <w:rPr>
          <w:rFonts w:ascii="宋体" w:hAnsi="宋体" w:eastAsia="宋体" w:cs="宋体"/>
          <w:spacing w:val="2"/>
          <w:sz w:val="24"/>
          <w:szCs w:val="24"/>
        </w:rPr>
        <w:t>境。根据《环境影响评价技术导则  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11"/>
          <w:sz w:val="24"/>
          <w:szCs w:val="24"/>
        </w:rPr>
        <w:t>），</w:t>
      </w:r>
      <w:r>
        <w:rPr>
          <w:rFonts w:ascii="宋体" w:hAnsi="宋体" w:eastAsia="宋体" w:cs="宋体"/>
          <w:spacing w:val="1"/>
          <w:sz w:val="24"/>
          <w:szCs w:val="24"/>
        </w:rPr>
        <w:t>本项目厂区划</w:t>
      </w:r>
      <w:r>
        <w:rPr>
          <w:rFonts w:ascii="宋体" w:hAnsi="宋体" w:eastAsia="宋体" w:cs="宋体"/>
          <w:spacing w:val="2"/>
          <w:sz w:val="24"/>
          <w:szCs w:val="24"/>
        </w:rPr>
        <w:t>分为重点防渗区及一般防渗区，根据防渗级别采取不同的防渗材料，地下水防渗措</w:t>
      </w:r>
      <w:r>
        <w:rPr>
          <w:rFonts w:ascii="宋体" w:hAnsi="宋体" w:eastAsia="宋体" w:cs="宋体"/>
          <w:spacing w:val="4"/>
          <w:sz w:val="24"/>
          <w:szCs w:val="24"/>
        </w:rPr>
        <w:t>施均为目前行业普遍采用的成熟措施，污水处理区在夯压的基础上铺设</w:t>
      </w:r>
      <w:r>
        <w:rPr>
          <w:rFonts w:ascii="Times New Roman" w:hAnsi="Times New Roman" w:eastAsia="Times New Roman" w:cs="Times New Roman"/>
          <w:sz w:val="24"/>
          <w:szCs w:val="24"/>
        </w:rPr>
        <w:t>HDPE</w:t>
      </w:r>
      <w:r>
        <w:rPr>
          <w:rFonts w:ascii="宋体" w:hAnsi="宋体" w:eastAsia="宋体" w:cs="宋体"/>
          <w:spacing w:val="4"/>
          <w:sz w:val="24"/>
          <w:szCs w:val="24"/>
        </w:rPr>
        <w:t>膜</w:t>
      </w:r>
      <w:r>
        <w:rPr>
          <w:rFonts w:ascii="Times New Roman" w:hAnsi="Times New Roman" w:eastAsia="Times New Roman" w:cs="Times New Roman"/>
          <w:spacing w:val="4"/>
          <w:sz w:val="24"/>
          <w:szCs w:val="24"/>
        </w:rPr>
        <w:t>+</w:t>
      </w:r>
      <w:r>
        <w:rPr>
          <w:rFonts w:ascii="宋体" w:hAnsi="宋体" w:eastAsia="宋体" w:cs="宋体"/>
          <w:spacing w:val="3"/>
          <w:sz w:val="24"/>
          <w:szCs w:val="24"/>
        </w:rPr>
        <w:t>混凝土防渗，渗透系数</w:t>
      </w:r>
      <w:r>
        <w:rPr>
          <w:rFonts w:ascii="Times New Roman" w:hAnsi="Times New Roman" w:eastAsia="Times New Roman" w:cs="Times New Roman"/>
          <w:spacing w:val="3"/>
          <w:sz w:val="24"/>
          <w:szCs w:val="24"/>
        </w:rPr>
        <w:t>1.0×10</w:t>
      </w:r>
      <w:r>
        <w:rPr>
          <w:rFonts w:ascii="Times New Roman" w:hAnsi="Times New Roman" w:eastAsia="Times New Roman" w:cs="Times New Roman"/>
          <w:spacing w:val="3"/>
          <w:position w:val="7"/>
          <w:sz w:val="15"/>
          <w:szCs w:val="15"/>
        </w:rPr>
        <w:t>-</w:t>
      </w:r>
      <w:r>
        <w:rPr>
          <w:rFonts w:ascii="Times New Roman" w:hAnsi="Times New Roman" w:eastAsia="Times New Roman" w:cs="Times New Roman"/>
          <w:spacing w:val="-18"/>
          <w:position w:val="7"/>
          <w:sz w:val="15"/>
          <w:szCs w:val="15"/>
        </w:rPr>
        <w:t xml:space="preserve"> </w:t>
      </w:r>
      <w:r>
        <w:rPr>
          <w:rFonts w:ascii="Times New Roman" w:hAnsi="Times New Roman" w:eastAsia="Times New Roman" w:cs="Times New Roman"/>
          <w:spacing w:val="3"/>
          <w:position w:val="7"/>
          <w:sz w:val="15"/>
          <w:szCs w:val="15"/>
        </w:rPr>
        <w:t>10</w:t>
      </w:r>
      <w:r>
        <w:rPr>
          <w:rFonts w:ascii="Times New Roman" w:hAnsi="Times New Roman" w:eastAsia="Times New Roman" w:cs="Times New Roman"/>
          <w:sz w:val="24"/>
          <w:szCs w:val="24"/>
        </w:rPr>
        <w:t>cm</w:t>
      </w:r>
      <w:r>
        <w:rPr>
          <w:rFonts w:ascii="Times New Roman" w:hAnsi="Times New Roman" w:eastAsia="Times New Roman" w:cs="Times New Roman"/>
          <w:spacing w:val="3"/>
          <w:sz w:val="24"/>
          <w:szCs w:val="24"/>
        </w:rPr>
        <w:t>/s</w:t>
      </w:r>
      <w:r>
        <w:rPr>
          <w:rFonts w:ascii="宋体" w:hAnsi="宋体" w:eastAsia="宋体" w:cs="宋体"/>
          <w:spacing w:val="3"/>
          <w:sz w:val="24"/>
          <w:szCs w:val="24"/>
        </w:rPr>
        <w:t>，符合《危险废物贮存污染控</w:t>
      </w:r>
      <w:r>
        <w:rPr>
          <w:rFonts w:ascii="宋体" w:hAnsi="宋体" w:eastAsia="宋体" w:cs="宋体"/>
          <w:spacing w:val="2"/>
          <w:sz w:val="24"/>
          <w:szCs w:val="24"/>
        </w:rPr>
        <w:t>制标准》（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18597-2023</w:t>
      </w:r>
      <w:r>
        <w:rPr>
          <w:rFonts w:ascii="宋体" w:hAnsi="宋体" w:eastAsia="宋体" w:cs="宋体"/>
          <w:spacing w:val="-2"/>
          <w:sz w:val="24"/>
          <w:szCs w:val="24"/>
        </w:rPr>
        <w:t>）的相关规定要求，故本项目地下水污染主要发生在非正常状况下，即：</w:t>
      </w:r>
      <w:r>
        <w:rPr>
          <w:rFonts w:ascii="宋体" w:hAnsi="宋体" w:eastAsia="宋体" w:cs="宋体"/>
          <w:spacing w:val="2"/>
          <w:sz w:val="24"/>
          <w:szCs w:val="24"/>
        </w:rPr>
        <w:t>项目区污水处理站各处理单元防渗层达不到设计的防渗效果，废水通过池底、池壁</w:t>
      </w:r>
      <w:r>
        <w:rPr>
          <w:rFonts w:ascii="宋体" w:hAnsi="宋体" w:eastAsia="宋体" w:cs="宋体"/>
          <w:spacing w:val="-1"/>
          <w:sz w:val="24"/>
          <w:szCs w:val="24"/>
        </w:rPr>
        <w:t>下渗经包气带进入潜层地下水对场界的影响进行预测。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（五）地下水影响预测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（1）预测时段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本次评价地下水环境影响预测时段为污染发生后100d、365d、1000d。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（2）情景设置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根据《环境影响评价技术导则 地下水环境》（HJ610-2016），</w:t>
      </w:r>
      <w:r>
        <w:rPr>
          <w:rFonts w:hint="default" w:ascii="Times New Roman" w:hAnsi="Times New Roman" w:eastAsia="宋体" w:cs="Times New Roman"/>
          <w:sz w:val="24"/>
          <w:szCs w:val="24"/>
          <w:lang w:val="en-US" w:eastAsia="zh-CN"/>
        </w:rPr>
        <w:t>一般情况下，建设项目须对正常状况和非正常状况的情景分别进行预测。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本项目场区划分为重点防渗区及一般防渗区，根据防渗级别采取不同的防渗材料，地下水防渗措施均为目前行业普遍采用的成熟措施</w:t>
      </w:r>
      <w:r>
        <w:rPr>
          <w:rFonts w:hint="eastAsia" w:ascii="Times New Roman" w:hAnsi="Times New Roman" w:eastAsia="宋体" w:cs="Times New Roman"/>
          <w:sz w:val="24"/>
          <w:szCs w:val="24"/>
          <w:lang w:eastAsia="zh-CN"/>
        </w:rPr>
        <w:t>。屠宰车间采取混凝土硬化</w:t>
      </w:r>
      <w:r>
        <w:rPr>
          <w:rFonts w:hint="eastAsia" w:ascii="Times New Roman" w:hAnsi="Times New Roman" w:eastAsia="宋体" w:cs="Times New Roman"/>
          <w:sz w:val="24"/>
          <w:szCs w:val="24"/>
          <w:lang w:val="en-US" w:eastAsia="zh-CN"/>
        </w:rPr>
        <w:t>+环氧树脂防渗漆的方式，</w:t>
      </w:r>
      <w:r>
        <w:rPr>
          <w:rFonts w:hint="default" w:ascii="Times New Roman" w:hAnsi="Times New Roman" w:eastAsia="宋体" w:cs="Times New Roman"/>
          <w:sz w:val="24"/>
          <w:szCs w:val="24"/>
        </w:rPr>
        <w:t>渗透系数1.0×10</w:t>
      </w:r>
      <w:r>
        <w:rPr>
          <w:rFonts w:hint="default" w:ascii="Times New Roman" w:hAnsi="Times New Roman" w:eastAsia="宋体" w:cs="Times New Roman"/>
          <w:sz w:val="24"/>
          <w:szCs w:val="24"/>
          <w:vertAlign w:val="superscript"/>
        </w:rPr>
        <w:t>-</w:t>
      </w:r>
      <w:r>
        <w:rPr>
          <w:rFonts w:hint="eastAsia"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rPr>
        <w:t>cm/s，</w:t>
      </w:r>
      <w:r>
        <w:rPr>
          <w:rFonts w:hint="eastAsia" w:ascii="Times New Roman" w:hAnsi="Times New Roman" w:eastAsia="宋体" w:cs="Times New Roman"/>
          <w:sz w:val="24"/>
          <w:szCs w:val="24"/>
          <w:lang w:eastAsia="zh-CN"/>
        </w:rPr>
        <w:t>符合</w:t>
      </w:r>
      <w:r>
        <w:rPr>
          <w:rFonts w:hint="eastAsia" w:ascii="Times New Roman" w:hAnsi="Times New Roman" w:eastAsia="宋体" w:cs="Times New Roman"/>
          <w:sz w:val="24"/>
          <w:szCs w:val="24"/>
          <w:lang w:val="en-US" w:eastAsia="zh-CN"/>
        </w:rPr>
        <w:t>GB18599的要求</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污水处理区在夯压</w:t>
      </w:r>
      <w:r>
        <w:rPr>
          <w:rFonts w:hint="eastAsia" w:ascii="Times New Roman" w:hAnsi="Times New Roman" w:eastAsia="宋体" w:cs="Times New Roman"/>
          <w:sz w:val="24"/>
          <w:szCs w:val="24"/>
          <w:lang w:eastAsia="zh-CN"/>
        </w:rPr>
        <w:t>地基</w:t>
      </w:r>
      <w:r>
        <w:rPr>
          <w:rFonts w:hint="default" w:ascii="Times New Roman" w:hAnsi="Times New Roman" w:eastAsia="宋体" w:cs="Times New Roman"/>
          <w:sz w:val="24"/>
          <w:szCs w:val="24"/>
        </w:rPr>
        <w:t>的</w:t>
      </w:r>
      <w:r>
        <w:rPr>
          <w:rFonts w:hint="eastAsia" w:ascii="Times New Roman" w:hAnsi="Times New Roman" w:eastAsia="宋体" w:cs="Times New Roman"/>
          <w:sz w:val="24"/>
          <w:szCs w:val="24"/>
          <w:lang w:eastAsia="zh-CN"/>
        </w:rPr>
        <w:t>条件下</w:t>
      </w:r>
      <w:r>
        <w:rPr>
          <w:rFonts w:hint="default" w:ascii="Times New Roman" w:hAnsi="Times New Roman" w:eastAsia="宋体" w:cs="Times New Roman"/>
          <w:sz w:val="24"/>
          <w:szCs w:val="24"/>
        </w:rPr>
        <w:t>铺设HDPE膜+混凝土防渗，渗透系数1.0×10</w:t>
      </w:r>
      <w:r>
        <w:rPr>
          <w:rFonts w:hint="default" w:ascii="Times New Roman" w:hAnsi="Times New Roman" w:eastAsia="宋体" w:cs="Times New Roman"/>
          <w:sz w:val="24"/>
          <w:szCs w:val="24"/>
          <w:vertAlign w:val="superscript"/>
        </w:rPr>
        <w:t>-10</w:t>
      </w:r>
      <w:r>
        <w:rPr>
          <w:rFonts w:hint="default" w:ascii="Times New Roman" w:hAnsi="Times New Roman" w:eastAsia="宋体" w:cs="Times New Roman"/>
          <w:sz w:val="24"/>
          <w:szCs w:val="24"/>
        </w:rPr>
        <w:t>cm/s，符合GB 18597的相关规定要求，故仅预测非正常状况下的影响结果。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本次情景设置</w:t>
      </w:r>
      <w:r>
        <w:rPr>
          <w:rFonts w:hint="eastAsia" w:ascii="Times New Roman" w:hAnsi="Times New Roman" w:eastAsia="宋体" w:cs="Times New Roman"/>
          <w:sz w:val="24"/>
          <w:szCs w:val="24"/>
          <w:lang w:eastAsia="zh-CN"/>
        </w:rPr>
        <w:t>为</w:t>
      </w:r>
      <w:r>
        <w:rPr>
          <w:rFonts w:hint="default" w:ascii="Times New Roman" w:hAnsi="Times New Roman" w:eastAsia="宋体" w:cs="Times New Roman"/>
          <w:sz w:val="24"/>
          <w:szCs w:val="24"/>
        </w:rPr>
        <w:t>非正常状况下：污水处理区各处理单元防渗层达不到设计的防渗效果，废水通过池底、池壁下渗经包气带进入潜层地下水对场界及下游保护目标</w:t>
      </w:r>
      <w:r>
        <w:rPr>
          <w:rFonts w:hint="eastAsia" w:ascii="Times New Roman" w:hAnsi="Times New Roman" w:eastAsia="宋体" w:cs="Times New Roman"/>
          <w:sz w:val="24"/>
          <w:szCs w:val="24"/>
          <w:highlight w:val="none"/>
          <w:lang w:eastAsia="zh-CN"/>
        </w:rPr>
        <w:t>鲁庄</w:t>
      </w:r>
      <w:r>
        <w:rPr>
          <w:rFonts w:hint="default" w:ascii="Times New Roman" w:hAnsi="Times New Roman" w:eastAsia="宋体" w:cs="Times New Roman"/>
          <w:sz w:val="24"/>
          <w:szCs w:val="24"/>
        </w:rPr>
        <w:t>的影响进行预测。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（3）预测因子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本项目废水污染物特征因子不含重金属，不含持久性有机污染物，废水特征污染因子为COD、氨氮。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（4）预测情景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非正常状况建设项目的工艺设备或地下水环境保护措施因系统老化、腐蚀等原因不能正常运行或保护效果达不到设计要求时的运行状况。具体情况如下：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本项目产生的废水主要是生产废水和生活污水，本项目生活污水经化粪池处理后与生产污水经厂区污水处理站（项目区污水处理工艺为：“</w:t>
      </w:r>
      <w:r>
        <w:rPr>
          <w:rFonts w:hint="default" w:ascii="Times New Roman" w:hAnsi="Times New Roman" w:eastAsia="宋体" w:cs="Times New Roman"/>
          <w:sz w:val="24"/>
          <w:szCs w:val="24"/>
          <w:lang w:eastAsia="zh-CN"/>
        </w:rPr>
        <w:t>格栅</w:t>
      </w:r>
      <w:r>
        <w:rPr>
          <w:rFonts w:hint="default" w:ascii="Times New Roman" w:hAnsi="Times New Roman" w:eastAsia="宋体" w:cs="Times New Roman"/>
          <w:sz w:val="24"/>
          <w:szCs w:val="24"/>
        </w:rPr>
        <w:t>气浮+水解酸化+生物接触氧化</w:t>
      </w:r>
      <w:r>
        <w:rPr>
          <w:rFonts w:hint="default" w:ascii="Times New Roman" w:hAnsi="Times New Roman" w:eastAsia="宋体" w:cs="Times New Roman"/>
          <w:sz w:val="24"/>
          <w:szCs w:val="24"/>
          <w:lang w:val="en-US" w:eastAsia="zh-CN"/>
        </w:rPr>
        <w:t>+消毒</w:t>
      </w:r>
      <w:r>
        <w:rPr>
          <w:rFonts w:hint="default" w:ascii="Times New Roman" w:hAnsi="Times New Roman" w:eastAsia="宋体" w:cs="Times New Roman"/>
          <w:sz w:val="24"/>
          <w:szCs w:val="24"/>
        </w:rPr>
        <w:t>”）处理后，满足《肉类加工工业水污染物排放标准》（GB13457－92）表3中畜类屠宰加工三级标准限值及污水处理厂进水指标要求后，排入</w:t>
      </w:r>
      <w:r>
        <w:rPr>
          <w:rFonts w:hint="default" w:ascii="Times New Roman" w:hAnsi="Times New Roman" w:eastAsia="宋体" w:cs="Times New Roman"/>
          <w:sz w:val="24"/>
          <w:szCs w:val="24"/>
          <w:lang w:eastAsia="zh-CN"/>
        </w:rPr>
        <w:t>叶县县城污水处理厂</w:t>
      </w:r>
      <w:r>
        <w:rPr>
          <w:rFonts w:hint="default" w:ascii="Times New Roman" w:hAnsi="Times New Roman" w:eastAsia="宋体" w:cs="Times New Roman"/>
          <w:sz w:val="24"/>
          <w:szCs w:val="24"/>
        </w:rPr>
        <w:t>。本次预测模拟的非正常工况主要为污水处理站发生跑、冒、滴、漏情况，污染物直接进入含水层，持续对地下水环境产生影响的情景。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泄漏点位置：污水处理站。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模拟特征污染物：耗氧量、氨氮。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污染源概化：持续源，点源。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特征污染物泄漏浓度：COD、氨氮初始浓度分别为19</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mg/L、9</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mg/L，水量取废水总量（1</w:t>
      </w:r>
      <w:r>
        <w:rPr>
          <w:rFonts w:hint="eastAsia" w:ascii="Times New Roman" w:hAnsi="Times New Roman" w:eastAsia="宋体" w:cs="Times New Roman"/>
          <w:sz w:val="24"/>
          <w:szCs w:val="24"/>
          <w:lang w:val="en-US" w:eastAsia="zh-CN"/>
        </w:rPr>
        <w:t>49.26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/d）的5%，即</w:t>
      </w:r>
      <w:r>
        <w:rPr>
          <w:rFonts w:hint="eastAsia" w:ascii="Times New Roman" w:hAnsi="Times New Roman" w:eastAsia="宋体" w:cs="Times New Roman"/>
          <w:sz w:val="24"/>
          <w:szCs w:val="24"/>
          <w:lang w:val="en-US" w:eastAsia="zh-CN"/>
        </w:rPr>
        <w:t>7.46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根据项目工程分析，本次地下水预测的污染物浓度为COD19</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mg/L、氨氮9</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mg/L。</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耗氧量与COD 的换算公式如下：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耗氧量（以O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计）=[（10+V）k-10]×0.8</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V--高锰酸盐消耗量，mL。</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k--矫正系数，取1。标准高锰酸钾溶液浓度为0.01mol/L。</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经计算，耗氧量浓度为972.1mg/L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（4）预测源强及预测模式</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参照《给水排水构筑物工程施工及验收规范》（GB50141）中钢筋混凝土结构渗漏强度、渗漏量计算公式，确定本项目预测源强。其正常状况渗漏强度为：2L/（m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d），非正常状况下泄漏强度按照正常状况下泄漏源强的10倍计，渗漏量（L/d）=渗漏面积（池底面积+池壁面积）×渗漏强度。经验考虑，整个处理单元同时发生防渗层达不到设计的防渗效果的可能性较小，故本项目非正常状况的渗漏面积按照处理单元有效内表面积的10%计。</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本项目污水处理站主要构筑物包括预沉池、调节池、气浮池、水解酸化池、缺氧池、好氧池、二沉池等，按照处理单元有效内表面积（池底面积+池壁面积）的10%为33m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，按照渗漏现象出现在15d内被发现，则非正常工况下废水渗漏量约为</w:t>
      </w:r>
      <w:r>
        <w:rPr>
          <w:rFonts w:hint="default" w:ascii="Times New Roman" w:hAnsi="Times New Roman" w:eastAsia="宋体" w:cs="Times New Roman"/>
          <w:sz w:val="24"/>
          <w:szCs w:val="24"/>
          <w:highlight w:val="none"/>
        </w:rPr>
        <w:t>9.9m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w:t>
      </w:r>
      <w:r>
        <w:rPr>
          <w:rFonts w:hint="default" w:ascii="Times New Roman" w:hAnsi="Times New Roman" w:eastAsia="宋体" w:cs="Times New Roman"/>
          <w:sz w:val="24"/>
          <w:szCs w:val="24"/>
        </w:rPr>
        <w:t>。废水中COD浓度为19</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mg/L ，氨氮为9</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mg/L，所以COD、氨氮泄漏量分别为COD19kg ，氨氮 0.92kg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①预测模型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预测模型采用地下水溶质运移解析法——一维半无限长多孔介质柱体，一端为定浓度边界模型：</w:t>
      </w:r>
    </w:p>
    <w:p>
      <w:pPr>
        <w:spacing w:before="23" w:line="924" w:lineRule="exact"/>
        <w:ind w:firstLine="2143"/>
      </w:pPr>
      <w:r>
        <w:rPr>
          <w:position w:val="-18"/>
        </w:rPr>
        <w:drawing>
          <wp:inline distT="0" distB="0" distL="0" distR="0">
            <wp:extent cx="2898140" cy="58674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60"/>
                    <a:stretch>
                      <a:fillRect/>
                    </a:stretch>
                  </pic:blipFill>
                  <pic:spPr>
                    <a:xfrm>
                      <a:off x="0" y="0"/>
                      <a:ext cx="2898647" cy="58674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式中：x—距注入点的距离，m；</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i/>
          <w:iCs/>
          <w:sz w:val="24"/>
          <w:szCs w:val="24"/>
        </w:rPr>
        <w:t>t</w:t>
      </w:r>
      <w:r>
        <w:rPr>
          <w:rFonts w:hint="default" w:ascii="Times New Roman" w:hAnsi="Times New Roman" w:eastAsia="宋体" w:cs="Times New Roman"/>
          <w:sz w:val="24"/>
          <w:szCs w:val="24"/>
        </w:rPr>
        <w:t>—时间，d；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i/>
          <w:iCs/>
          <w:sz w:val="24"/>
          <w:szCs w:val="24"/>
        </w:rPr>
        <w:t>C</w:t>
      </w:r>
      <w:r>
        <w:rPr>
          <w:rFonts w:hint="default" w:ascii="Times New Roman" w:hAnsi="Times New Roman" w:eastAsia="宋体" w:cs="Times New Roman"/>
          <w:sz w:val="24"/>
          <w:szCs w:val="24"/>
        </w:rPr>
        <w:t>—t 时刻 x 处的示踪剂浓度，g/L；</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i/>
          <w:iCs/>
          <w:sz w:val="24"/>
          <w:szCs w:val="24"/>
        </w:rPr>
        <w:t>C</w:t>
      </w:r>
      <w:r>
        <w:rPr>
          <w:rFonts w:hint="default" w:ascii="Times New Roman" w:hAnsi="Times New Roman" w:eastAsia="宋体" w:cs="Times New Roman"/>
          <w:i/>
          <w:iCs/>
          <w:sz w:val="24"/>
          <w:szCs w:val="24"/>
          <w:vertAlign w:val="subscript"/>
        </w:rPr>
        <w:t>0</w:t>
      </w:r>
      <w:r>
        <w:rPr>
          <w:rFonts w:hint="default" w:ascii="Times New Roman" w:hAnsi="Times New Roman" w:eastAsia="宋体" w:cs="Times New Roman"/>
          <w:sz w:val="24"/>
          <w:szCs w:val="24"/>
        </w:rPr>
        <w:t>—注入的示踪剂质量，kg；</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i/>
          <w:iCs/>
          <w:sz w:val="24"/>
          <w:szCs w:val="24"/>
        </w:rPr>
        <w:t>u</w:t>
      </w:r>
      <w:r>
        <w:rPr>
          <w:rFonts w:hint="default" w:ascii="Times New Roman" w:hAnsi="Times New Roman" w:eastAsia="宋体" w:cs="Times New Roman"/>
          <w:sz w:val="24"/>
          <w:szCs w:val="24"/>
        </w:rPr>
        <w:t>—水流速度，m/d；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i/>
          <w:iCs/>
          <w:sz w:val="24"/>
          <w:szCs w:val="24"/>
        </w:rPr>
        <w:t>D</w:t>
      </w:r>
      <w:r>
        <w:rPr>
          <w:rFonts w:hint="default" w:ascii="Times New Roman" w:hAnsi="Times New Roman" w:eastAsia="宋体" w:cs="Times New Roman"/>
          <w:i/>
          <w:iCs/>
          <w:sz w:val="24"/>
          <w:szCs w:val="24"/>
          <w:vertAlign w:val="subscript"/>
        </w:rPr>
        <w:t>L</w:t>
      </w:r>
      <w:r>
        <w:rPr>
          <w:rFonts w:hint="default" w:ascii="Times New Roman" w:hAnsi="Times New Roman" w:eastAsia="宋体" w:cs="Times New Roman"/>
          <w:sz w:val="24"/>
          <w:szCs w:val="24"/>
        </w:rPr>
        <w:t>—纵向弥散系数，m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i/>
          <w:iCs/>
          <w:sz w:val="24"/>
          <w:szCs w:val="24"/>
        </w:rPr>
        <w:t>erfc</w:t>
      </w:r>
      <w:r>
        <w:rPr>
          <w:rFonts w:hint="default" w:ascii="Times New Roman" w:hAnsi="Times New Roman" w:eastAsia="宋体" w:cs="Times New Roman"/>
          <w:sz w:val="24"/>
          <w:szCs w:val="24"/>
        </w:rPr>
        <w:t>—余误差函数。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②预测参数的确定</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渗透系数 K：根据《环境影响评价技术导则  地下水环境》（HJ 610-2016）附录B中渗透系数经验值表格及项目所在地岩土工程特性，渗透系数（K）取 0.25m/d；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水力坡度 I：取 0.002；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有效孔隙度n</w:t>
      </w:r>
      <w:r>
        <w:rPr>
          <w:rFonts w:hint="default" w:ascii="Times New Roman" w:hAnsi="Times New Roman" w:eastAsia="宋体" w:cs="Times New Roman"/>
          <w:sz w:val="24"/>
          <w:szCs w:val="24"/>
          <w:vertAlign w:val="subscript"/>
        </w:rPr>
        <w:t>e</w:t>
      </w:r>
      <w:r>
        <w:rPr>
          <w:rFonts w:hint="default" w:ascii="Times New Roman" w:hAnsi="Times New Roman" w:eastAsia="宋体" w:cs="Times New Roman"/>
          <w:sz w:val="24"/>
          <w:szCs w:val="24"/>
        </w:rPr>
        <w:t xml:space="preserve"> ：取0.45；（参照执行《水文地质学基础》）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纵向弥散系数：根据张红志等人对不同土壤弥散系数的测点（一维土柱水动力弥散试验）可知，不同类士壤的弥散系数详见表5-</w:t>
      </w: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w:t>
      </w:r>
    </w:p>
    <w:p>
      <w:pPr>
        <w:jc w:val="center"/>
      </w:pPr>
      <w:r>
        <w:rPr>
          <w:rFonts w:hint="eastAsia" w:ascii="宋体" w:hAnsi="宋体" w:eastAsia="宋体" w:cs="宋体"/>
          <w:b/>
          <w:bCs/>
          <w:sz w:val="24"/>
          <w:szCs w:val="24"/>
        </w:rPr>
        <w:t>表5-</w:t>
      </w:r>
      <w:r>
        <w:rPr>
          <w:rFonts w:hint="eastAsia" w:ascii="宋体" w:hAnsi="宋体" w:eastAsia="宋体" w:cs="宋体"/>
          <w:b/>
          <w:bCs/>
          <w:sz w:val="24"/>
          <w:szCs w:val="24"/>
          <w:lang w:val="en-US" w:eastAsia="zh-CN"/>
        </w:rPr>
        <w:t>30</w:t>
      </w:r>
      <w:r>
        <w:rPr>
          <w:rFonts w:hint="eastAsia" w:ascii="宋体" w:hAnsi="宋体" w:eastAsia="宋体" w:cs="宋体"/>
          <w:b/>
          <w:bCs/>
          <w:sz w:val="24"/>
          <w:szCs w:val="24"/>
        </w:rPr>
        <w:t xml:space="preserve">        各类土质弥散系数</w:t>
      </w:r>
    </w:p>
    <w:tbl>
      <w:tblPr>
        <w:tblStyle w:val="24"/>
        <w:tblW w:w="8848"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771"/>
        <w:gridCol w:w="1768"/>
        <w:gridCol w:w="1768"/>
        <w:gridCol w:w="1768"/>
        <w:gridCol w:w="177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1771"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土壤类型</w:t>
            </w:r>
          </w:p>
        </w:tc>
        <w:tc>
          <w:tcPr>
            <w:tcW w:w="1768"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砂土</w:t>
            </w:r>
          </w:p>
        </w:tc>
        <w:tc>
          <w:tcPr>
            <w:tcW w:w="1768"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粉质黏土</w:t>
            </w:r>
          </w:p>
        </w:tc>
        <w:tc>
          <w:tcPr>
            <w:tcW w:w="1768"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粘质粉土</w:t>
            </w:r>
          </w:p>
        </w:tc>
        <w:tc>
          <w:tcPr>
            <w:tcW w:w="1773"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粘土</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1771"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弥散系数（cm</w:t>
            </w:r>
            <w:r>
              <w:rPr>
                <w:rFonts w:hint="default" w:ascii="Times New Roman" w:hAnsi="Times New Roman" w:cs="Times New Roman"/>
                <w:sz w:val="20"/>
                <w:szCs w:val="20"/>
                <w:vertAlign w:val="superscript"/>
              </w:rPr>
              <w:t>2</w:t>
            </w:r>
            <w:r>
              <w:rPr>
                <w:rFonts w:hint="default" w:ascii="Times New Roman" w:hAnsi="Times New Roman" w:cs="Times New Roman"/>
                <w:sz w:val="20"/>
                <w:szCs w:val="20"/>
              </w:rPr>
              <w:t>/s）</w:t>
            </w:r>
          </w:p>
        </w:tc>
        <w:tc>
          <w:tcPr>
            <w:tcW w:w="1768"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1.46×10</w:t>
            </w:r>
            <w:r>
              <w:rPr>
                <w:rFonts w:hint="default" w:ascii="Times New Roman" w:hAnsi="Times New Roman" w:cs="Times New Roman"/>
                <w:sz w:val="20"/>
                <w:szCs w:val="20"/>
                <w:vertAlign w:val="superscript"/>
              </w:rPr>
              <w:t>-3</w:t>
            </w:r>
          </w:p>
        </w:tc>
        <w:tc>
          <w:tcPr>
            <w:tcW w:w="1768"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1.71×10</w:t>
            </w:r>
            <w:r>
              <w:rPr>
                <w:rFonts w:hint="default" w:ascii="Times New Roman" w:hAnsi="Times New Roman" w:cs="Times New Roman"/>
                <w:sz w:val="20"/>
                <w:szCs w:val="20"/>
                <w:vertAlign w:val="superscript"/>
              </w:rPr>
              <w:t>-9</w:t>
            </w:r>
          </w:p>
        </w:tc>
        <w:tc>
          <w:tcPr>
            <w:tcW w:w="1768"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8.46×10</w:t>
            </w:r>
            <w:r>
              <w:rPr>
                <w:rFonts w:hint="default" w:ascii="Times New Roman" w:hAnsi="Times New Roman" w:cs="Times New Roman"/>
                <w:sz w:val="20"/>
                <w:szCs w:val="20"/>
                <w:vertAlign w:val="superscript"/>
              </w:rPr>
              <w:t>-9</w:t>
            </w:r>
          </w:p>
        </w:tc>
        <w:tc>
          <w:tcPr>
            <w:tcW w:w="1773" w:type="dxa"/>
            <w:tcBorders>
              <w:tl2br w:val="nil"/>
              <w:tr2bl w:val="nil"/>
            </w:tcBorders>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2.31×10</w:t>
            </w:r>
            <w:r>
              <w:rPr>
                <w:rFonts w:hint="default" w:ascii="Times New Roman" w:hAnsi="Times New Roman" w:cs="Times New Roman"/>
                <w:sz w:val="20"/>
                <w:szCs w:val="20"/>
                <w:vertAlign w:val="superscript"/>
              </w:rPr>
              <w:t>-11</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b w:val="0"/>
          <w:bCs w:val="0"/>
          <w:sz w:val="24"/>
          <w:szCs w:val="24"/>
          <w:u w:val="none" w:color="auto"/>
        </w:rPr>
      </w:pPr>
      <w:r>
        <w:rPr>
          <w:rFonts w:hint="default" w:ascii="Times New Roman" w:hAnsi="Times New Roman" w:eastAsia="宋体" w:cs="Times New Roman"/>
          <w:sz w:val="24"/>
          <w:szCs w:val="24"/>
        </w:rPr>
        <w:t>本项目所在地岩性主要为亚黏土、粉质粘土、砂岩、砂砾岩等，参照执行粉质粘土的弥散系数，取</w:t>
      </w:r>
      <w:r>
        <w:rPr>
          <w:rFonts w:ascii="Times New Roman" w:hAnsi="Times New Roman" w:eastAsia="Times New Roman" w:cs="Times New Roman"/>
          <w:b w:val="0"/>
          <w:bCs w:val="0"/>
          <w:spacing w:val="1"/>
          <w:sz w:val="24"/>
          <w:szCs w:val="24"/>
          <w:u w:val="none" w:color="auto"/>
        </w:rPr>
        <w:t>1.71×10</w:t>
      </w:r>
      <w:r>
        <w:rPr>
          <w:rFonts w:ascii="Times New Roman" w:hAnsi="Times New Roman" w:eastAsia="Times New Roman" w:cs="Times New Roman"/>
          <w:b w:val="0"/>
          <w:bCs w:val="0"/>
          <w:spacing w:val="1"/>
          <w:position w:val="8"/>
          <w:sz w:val="15"/>
          <w:szCs w:val="15"/>
          <w:u w:val="none" w:color="auto"/>
        </w:rPr>
        <w:t>-9</w:t>
      </w:r>
      <w:r>
        <w:rPr>
          <w:rFonts w:ascii="Times New Roman" w:hAnsi="Times New Roman" w:eastAsia="Times New Roman" w:cs="Times New Roman"/>
          <w:b w:val="0"/>
          <w:bCs w:val="0"/>
          <w:sz w:val="24"/>
          <w:szCs w:val="24"/>
          <w:u w:val="none" w:color="auto"/>
        </w:rPr>
        <w:t>cm</w:t>
      </w:r>
      <w:r>
        <w:rPr>
          <w:rFonts w:ascii="Times New Roman" w:hAnsi="Times New Roman" w:eastAsia="Times New Roman" w:cs="Times New Roman"/>
          <w:b w:val="0"/>
          <w:bCs w:val="0"/>
          <w:spacing w:val="1"/>
          <w:position w:val="8"/>
          <w:sz w:val="15"/>
          <w:szCs w:val="15"/>
          <w:u w:val="none" w:color="auto"/>
        </w:rPr>
        <w:t>2</w:t>
      </w:r>
      <w:r>
        <w:rPr>
          <w:rFonts w:ascii="Times New Roman" w:hAnsi="Times New Roman" w:eastAsia="Times New Roman" w:cs="Times New Roman"/>
          <w:b w:val="0"/>
          <w:bCs w:val="0"/>
          <w:spacing w:val="1"/>
          <w:sz w:val="24"/>
          <w:szCs w:val="24"/>
          <w:u w:val="none" w:color="auto"/>
        </w:rPr>
        <w:t>/s</w:t>
      </w:r>
      <w:r>
        <w:rPr>
          <w:rFonts w:ascii="宋体" w:hAnsi="宋体" w:eastAsia="宋体" w:cs="宋体"/>
          <w:b w:val="0"/>
          <w:bCs w:val="0"/>
          <w:spacing w:val="1"/>
          <w:sz w:val="24"/>
          <w:szCs w:val="24"/>
          <w:u w:val="none" w:color="auto"/>
          <w14:textOutline w14:w="4358" w14:cap="sq" w14:cmpd="sng">
            <w14:solidFill>
              <w14:srgbClr w14:val="000000"/>
            </w14:solidFill>
            <w14:prstDash w14:val="solid"/>
            <w14:bevel/>
          </w14:textOutline>
        </w:rPr>
        <w:t>（</w:t>
      </w:r>
      <w:r>
        <w:rPr>
          <w:rFonts w:ascii="Times New Roman" w:hAnsi="Times New Roman" w:eastAsia="Times New Roman" w:cs="Times New Roman"/>
          <w:b w:val="0"/>
          <w:bCs w:val="0"/>
          <w:spacing w:val="1"/>
          <w:sz w:val="24"/>
          <w:szCs w:val="24"/>
          <w:u w:val="none" w:color="auto"/>
        </w:rPr>
        <w:t>1.48</w:t>
      </w:r>
      <w:r>
        <w:rPr>
          <w:rFonts w:ascii="Times New Roman" w:hAnsi="Times New Roman" w:eastAsia="Times New Roman" w:cs="Times New Roman"/>
          <w:b w:val="0"/>
          <w:bCs w:val="0"/>
          <w:sz w:val="24"/>
          <w:szCs w:val="24"/>
          <w:u w:val="none" w:color="auto"/>
        </w:rPr>
        <w:t>×10</w:t>
      </w:r>
      <w:r>
        <w:rPr>
          <w:rFonts w:ascii="Times New Roman" w:hAnsi="Times New Roman" w:eastAsia="Times New Roman" w:cs="Times New Roman"/>
          <w:b w:val="0"/>
          <w:bCs w:val="0"/>
          <w:position w:val="8"/>
          <w:sz w:val="15"/>
          <w:szCs w:val="15"/>
          <w:u w:val="none" w:color="auto"/>
        </w:rPr>
        <w:t>-8</w:t>
      </w:r>
      <w:r>
        <w:rPr>
          <w:rFonts w:ascii="Times New Roman" w:hAnsi="Times New Roman" w:eastAsia="Times New Roman" w:cs="Times New Roman"/>
          <w:b w:val="0"/>
          <w:bCs w:val="0"/>
          <w:sz w:val="24"/>
          <w:szCs w:val="24"/>
          <w:u w:val="none" w:color="auto"/>
        </w:rPr>
        <w:t>m</w:t>
      </w:r>
      <w:r>
        <w:rPr>
          <w:rFonts w:ascii="Times New Roman" w:hAnsi="Times New Roman" w:eastAsia="Times New Roman" w:cs="Times New Roman"/>
          <w:b w:val="0"/>
          <w:bCs w:val="0"/>
          <w:position w:val="8"/>
          <w:sz w:val="15"/>
          <w:szCs w:val="15"/>
          <w:u w:val="none" w:color="auto"/>
        </w:rPr>
        <w:t>2</w:t>
      </w:r>
      <w:r>
        <w:rPr>
          <w:rFonts w:ascii="Times New Roman" w:hAnsi="Times New Roman" w:eastAsia="Times New Roman" w:cs="Times New Roman"/>
          <w:b w:val="0"/>
          <w:bCs w:val="0"/>
          <w:sz w:val="24"/>
          <w:szCs w:val="24"/>
          <w:u w:val="none" w:color="auto"/>
        </w:rPr>
        <w:t>/d</w:t>
      </w:r>
      <w:r>
        <w:rPr>
          <w:rFonts w:ascii="宋体" w:hAnsi="宋体" w:eastAsia="宋体" w:cs="宋体"/>
          <w:b w:val="0"/>
          <w:bCs w:val="0"/>
          <w:sz w:val="24"/>
          <w:szCs w:val="24"/>
          <w:u w:val="none" w:color="auto"/>
          <w14:textOutline w14:w="4358" w14:cap="sq" w14:cmpd="sng">
            <w14:solidFill>
              <w14:srgbClr w14:val="000000"/>
            </w14:solidFill>
            <w14:prstDash w14:val="solid"/>
            <w14:bevel/>
          </w14:textOutli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地下水流速</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地下水流速可以利用水力坡度及渗透系数求出，具体计算公式为：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u=K×I/n</w:t>
      </w:r>
      <w:r>
        <w:rPr>
          <w:rFonts w:hint="default" w:ascii="Times New Roman" w:hAnsi="Times New Roman" w:eastAsia="宋体" w:cs="Times New Roman"/>
          <w:sz w:val="24"/>
          <w:szCs w:val="24"/>
          <w:vertAlign w:val="subscript"/>
        </w:rPr>
        <w:t>e</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其中：u--地下水实际流速，m/d；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K--渗透系数，0.25m/d；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I--水力坡度，0.002；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n--有效孔隙度，0.45</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则地下水流速u=0.25×0.002/0.45=0.001m/d。</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（5）预测结果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基于上述对预测情景、预测模式和参数的确定，经预测本项目污染物在不同预测时段内（100d、365d、1000d）的影响情况具体见表5-</w:t>
      </w: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rPr>
        <w:t>和5-</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862"/>
        <w:textAlignment w:val="baseline"/>
        <w:rPr>
          <w:rFonts w:ascii="宋体" w:hAnsi="宋体" w:eastAsia="宋体" w:cs="宋体"/>
          <w:sz w:val="24"/>
          <w:szCs w:val="24"/>
          <w:u w:val="none" w:color="auto"/>
          <w14:textOutline w14:w="4358"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862"/>
        <w:textAlignment w:val="baseline"/>
        <w:rPr>
          <w:rFonts w:ascii="宋体" w:hAnsi="宋体" w:eastAsia="宋体" w:cs="宋体"/>
          <w:sz w:val="24"/>
          <w:szCs w:val="24"/>
          <w:u w:val="none" w:color="auto"/>
          <w14:textOutline w14:w="4358"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862"/>
        <w:textAlignment w:val="baseline"/>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5-</w:t>
      </w:r>
      <w:r>
        <w:rPr>
          <w:rFonts w:hint="eastAsia" w:ascii="Times New Roman" w:hAnsi="Times New Roman" w:eastAsia="宋体" w:cs="Times New Roman"/>
          <w:b/>
          <w:bCs/>
          <w:sz w:val="24"/>
          <w:szCs w:val="24"/>
          <w:u w:val="none" w:color="auto"/>
          <w:lang w:val="en-US" w:eastAsia="zh-CN"/>
        </w:rPr>
        <w:t>31</w:t>
      </w:r>
      <w:r>
        <w:rPr>
          <w:rFonts w:ascii="Times New Roman" w:hAnsi="Times New Roman" w:eastAsia="Times New Roman" w:cs="Times New Roman"/>
          <w:b/>
          <w:bCs/>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非正常状况下项目厂址下游地下水耗氧量预测结果一览表</w:t>
      </w:r>
    </w:p>
    <w:tbl>
      <w:tblPr>
        <w:tblStyle w:val="24"/>
        <w:tblW w:w="8781"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23"/>
        <w:gridCol w:w="1522"/>
        <w:gridCol w:w="1614"/>
        <w:gridCol w:w="1249"/>
        <w:gridCol w:w="1084"/>
        <w:gridCol w:w="1125"/>
        <w:gridCol w:w="116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2" w:hRule="atLeast"/>
          <w:jc w:val="center"/>
        </w:trPr>
        <w:tc>
          <w:tcPr>
            <w:tcW w:w="10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52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最大预测值</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61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最大预测值出 现距离（m）</w:t>
            </w:r>
          </w:p>
        </w:tc>
        <w:tc>
          <w:tcPr>
            <w:tcW w:w="12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最远影响距 离（m）</w:t>
            </w:r>
          </w:p>
        </w:tc>
        <w:tc>
          <w:tcPr>
            <w:tcW w:w="108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开始超标距离（m）</w:t>
            </w:r>
          </w:p>
        </w:tc>
        <w:tc>
          <w:tcPr>
            <w:tcW w:w="11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最远超标距离（m）</w:t>
            </w:r>
          </w:p>
        </w:tc>
        <w:tc>
          <w:tcPr>
            <w:tcW w:w="116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标准值</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jc w:val="center"/>
        </w:trPr>
        <w:tc>
          <w:tcPr>
            <w:tcW w:w="10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100d</w:t>
            </w:r>
          </w:p>
        </w:tc>
        <w:tc>
          <w:tcPr>
            <w:tcW w:w="152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1.12E+02</w:t>
            </w:r>
          </w:p>
        </w:tc>
        <w:tc>
          <w:tcPr>
            <w:tcW w:w="161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08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1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116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jc w:val="center"/>
        </w:trPr>
        <w:tc>
          <w:tcPr>
            <w:tcW w:w="10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365d</w:t>
            </w:r>
          </w:p>
        </w:tc>
        <w:tc>
          <w:tcPr>
            <w:tcW w:w="152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5.63E+01</w:t>
            </w:r>
          </w:p>
        </w:tc>
        <w:tc>
          <w:tcPr>
            <w:tcW w:w="161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12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108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1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116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8" w:hRule="atLeast"/>
          <w:jc w:val="center"/>
        </w:trPr>
        <w:tc>
          <w:tcPr>
            <w:tcW w:w="10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1000d</w:t>
            </w:r>
          </w:p>
        </w:tc>
        <w:tc>
          <w:tcPr>
            <w:tcW w:w="152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3.08E+01</w:t>
            </w:r>
          </w:p>
        </w:tc>
        <w:tc>
          <w:tcPr>
            <w:tcW w:w="161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w:t>
            </w:r>
          </w:p>
        </w:tc>
        <w:tc>
          <w:tcPr>
            <w:tcW w:w="124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w:t>
            </w:r>
          </w:p>
        </w:tc>
        <w:tc>
          <w:tcPr>
            <w:tcW w:w="108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12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w:t>
            </w:r>
          </w:p>
        </w:tc>
        <w:tc>
          <w:tcPr>
            <w:tcW w:w="116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bl>
    <w:p>
      <w:pPr>
        <w:spacing w:before="130" w:line="219" w:lineRule="auto"/>
        <w:ind w:left="1043"/>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5-</w:t>
      </w:r>
      <w:r>
        <w:rPr>
          <w:rFonts w:hint="eastAsia" w:ascii="Times New Roman" w:hAnsi="Times New Roman" w:eastAsia="宋体" w:cs="Times New Roman"/>
          <w:b/>
          <w:bCs/>
          <w:sz w:val="24"/>
          <w:szCs w:val="24"/>
          <w:u w:val="none" w:color="auto"/>
          <w:lang w:val="en-US" w:eastAsia="zh-CN"/>
        </w:rPr>
        <w:t>32</w:t>
      </w:r>
      <w:r>
        <w:rPr>
          <w:rFonts w:ascii="Times New Roman" w:hAnsi="Times New Roman" w:eastAsia="Times New Roman" w:cs="Times New Roman"/>
          <w:b/>
          <w:bCs/>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非正常状况下项目厂址下游地下水氨氮预测结果一览表</w:t>
      </w:r>
    </w:p>
    <w:tbl>
      <w:tblPr>
        <w:tblStyle w:val="24"/>
        <w:tblW w:w="8781"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1524"/>
        <w:gridCol w:w="1513"/>
        <w:gridCol w:w="1290"/>
        <w:gridCol w:w="1180"/>
        <w:gridCol w:w="1208"/>
        <w:gridCol w:w="104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2" w:hRule="atLeast"/>
          <w:jc w:val="center"/>
        </w:trPr>
        <w:tc>
          <w:tcPr>
            <w:tcW w:w="102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52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最大预测值（mg/L）</w:t>
            </w:r>
          </w:p>
        </w:tc>
        <w:tc>
          <w:tcPr>
            <w:tcW w:w="151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最大预测值出现距离（m）</w:t>
            </w:r>
          </w:p>
        </w:tc>
        <w:tc>
          <w:tcPr>
            <w:tcW w:w="129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最远影响距离（m）</w:t>
            </w:r>
          </w:p>
        </w:tc>
        <w:tc>
          <w:tcPr>
            <w:tcW w:w="118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开始超标距离（m）</w:t>
            </w:r>
          </w:p>
        </w:tc>
        <w:tc>
          <w:tcPr>
            <w:tcW w:w="1208"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最远超标距离（m）</w:t>
            </w:r>
          </w:p>
        </w:tc>
        <w:tc>
          <w:tcPr>
            <w:tcW w:w="104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标准值</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44" w:hRule="atLeast"/>
          <w:jc w:val="center"/>
        </w:trPr>
        <w:tc>
          <w:tcPr>
            <w:tcW w:w="102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100d</w:t>
            </w:r>
          </w:p>
        </w:tc>
        <w:tc>
          <w:tcPr>
            <w:tcW w:w="152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4.15E+00</w:t>
            </w:r>
          </w:p>
        </w:tc>
        <w:tc>
          <w:tcPr>
            <w:tcW w:w="151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9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118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208"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104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jc w:val="center"/>
        </w:trPr>
        <w:tc>
          <w:tcPr>
            <w:tcW w:w="102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365d</w:t>
            </w:r>
          </w:p>
        </w:tc>
        <w:tc>
          <w:tcPr>
            <w:tcW w:w="152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2.59E+00</w:t>
            </w:r>
          </w:p>
        </w:tc>
        <w:tc>
          <w:tcPr>
            <w:tcW w:w="151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129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w:t>
            </w:r>
          </w:p>
        </w:tc>
        <w:tc>
          <w:tcPr>
            <w:tcW w:w="118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08"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104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8" w:hRule="atLeast"/>
          <w:jc w:val="center"/>
        </w:trPr>
        <w:tc>
          <w:tcPr>
            <w:tcW w:w="102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1000d</w:t>
            </w:r>
          </w:p>
        </w:tc>
        <w:tc>
          <w:tcPr>
            <w:tcW w:w="152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1.08E+00</w:t>
            </w:r>
          </w:p>
        </w:tc>
        <w:tc>
          <w:tcPr>
            <w:tcW w:w="151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w:t>
            </w:r>
          </w:p>
        </w:tc>
        <w:tc>
          <w:tcPr>
            <w:tcW w:w="129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106</w:t>
            </w:r>
          </w:p>
        </w:tc>
        <w:tc>
          <w:tcPr>
            <w:tcW w:w="118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208"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76</w:t>
            </w:r>
          </w:p>
        </w:tc>
        <w:tc>
          <w:tcPr>
            <w:tcW w:w="104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bl>
    <w:p>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根据表5-</w:t>
      </w:r>
      <w:r>
        <w:rPr>
          <w:rFonts w:hint="eastAsia" w:ascii="Times New Roman" w:hAnsi="Times New Roman" w:eastAsia="宋体" w:cs="Times New Roman"/>
          <w:sz w:val="24"/>
          <w:szCs w:val="24"/>
          <w:lang w:val="en-US" w:eastAsia="zh-CN"/>
        </w:rPr>
        <w:t>31</w:t>
      </w:r>
      <w:r>
        <w:rPr>
          <w:rFonts w:hint="default" w:ascii="Times New Roman" w:hAnsi="Times New Roman" w:cs="Times New Roman"/>
          <w:sz w:val="24"/>
          <w:szCs w:val="24"/>
        </w:rPr>
        <w:t>和5-</w:t>
      </w:r>
      <w:r>
        <w:rPr>
          <w:rFonts w:hint="eastAsia" w:ascii="Times New Roman" w:hAnsi="Times New Roman" w:eastAsia="宋体" w:cs="Times New Roman"/>
          <w:sz w:val="24"/>
          <w:szCs w:val="24"/>
          <w:lang w:val="en-US" w:eastAsia="zh-CN"/>
        </w:rPr>
        <w:t>32</w:t>
      </w:r>
      <w:r>
        <w:rPr>
          <w:rFonts w:hint="default" w:ascii="Times New Roman" w:hAnsi="Times New Roman" w:cs="Times New Roman"/>
          <w:sz w:val="24"/>
          <w:szCs w:val="24"/>
        </w:rPr>
        <w:t>预测结果，事故工况下，耗氧量和氨氮进入地下水环境中， 污染影响程度随着时间逐渐减小，耗氧量100d内最大影响距离为20m，预测超标距离最远为18m，1年内最大影响距离为56m，预测超标距离最远为46m，1000d内最大影响距离为105m，预测超标距离最远为82m；氨氮100d内最大影响距离为21m，预测超标距离最远为16m，1年内最大影响距离为58m，预测超标距离最远为42m，1000d内最大影响距离为106m，预测超标距离最远为76m。可以看出，根据预测结果可以看出，非正常状况下，考虑污水处理站工艺设备因系统老化或腐蚀等原因不 能正常运行或保护效果不能达到要求时，污水连续泄漏，运移时间100d、365d、1000d时，耗氧量、NH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-N渗漏区域以外的地下水环境影响很小。随着时间的推移，地下水受污染影响范围逐渐增大，污染物迁移受地下水对流和弥散作用的影响，其影响范围主要集中在渗漏处地下水径流的下游方向。</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因此，为降低本项目可能存在的渗漏事故发生，从而对地下水环境产生影响，本项目应严格按照《给水排水构筑物工程施工及验收规范》（GB50141-2008）要求，进行污水处理站建设，确保工程质量，同时进行相关防腐、防渗工程，并设立相关流量监测设备，定期安排巡检等，尽可能降低项目对地下水环境的影响。</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spacing w:val="2"/>
          <w:sz w:val="24"/>
          <w:szCs w:val="24"/>
          <w:lang w:eastAsia="zh-CN"/>
        </w:rPr>
      </w:pPr>
      <w:r>
        <w:rPr>
          <w:rFonts w:hint="default" w:ascii="Times New Roman" w:hAnsi="Times New Roman" w:eastAsia="宋体" w:cs="Times New Roman"/>
          <w:sz w:val="24"/>
          <w:szCs w:val="24"/>
        </w:rPr>
        <w:t>本项目场区划分为重点防渗区及一般防渗区，根据防渗级别采取不同的防渗材料，地下水防渗措施均为目前行业普遍采用的成熟措施</w:t>
      </w:r>
      <w:r>
        <w:rPr>
          <w:rFonts w:hint="eastAsia" w:ascii="Times New Roman" w:hAnsi="Times New Roman" w:eastAsia="宋体" w:cs="Times New Roman"/>
          <w:sz w:val="24"/>
          <w:szCs w:val="24"/>
          <w:lang w:eastAsia="zh-CN"/>
        </w:rPr>
        <w:t>。屠宰车间内采取混凝土硬化</w:t>
      </w:r>
      <w:r>
        <w:rPr>
          <w:rFonts w:hint="eastAsia" w:ascii="Times New Roman" w:hAnsi="Times New Roman" w:eastAsia="宋体" w:cs="Times New Roman"/>
          <w:sz w:val="24"/>
          <w:szCs w:val="24"/>
          <w:lang w:val="en-US" w:eastAsia="zh-CN"/>
        </w:rPr>
        <w:t>+环氧树脂防渗漆的方式，</w:t>
      </w:r>
      <w:r>
        <w:rPr>
          <w:rFonts w:hint="default" w:ascii="Times New Roman" w:hAnsi="Times New Roman" w:eastAsia="宋体" w:cs="Times New Roman"/>
          <w:sz w:val="24"/>
          <w:szCs w:val="24"/>
        </w:rPr>
        <w:t>渗透系数1.0×10</w:t>
      </w:r>
      <w:r>
        <w:rPr>
          <w:rFonts w:hint="default" w:ascii="Times New Roman" w:hAnsi="Times New Roman" w:eastAsia="宋体" w:cs="Times New Roman"/>
          <w:sz w:val="24"/>
          <w:szCs w:val="24"/>
          <w:vertAlign w:val="superscript"/>
        </w:rPr>
        <w:t>-</w:t>
      </w:r>
      <w:r>
        <w:rPr>
          <w:rFonts w:hint="eastAsia"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rPr>
        <w:t>cm/s，</w:t>
      </w:r>
      <w:r>
        <w:rPr>
          <w:rFonts w:hint="eastAsia" w:ascii="Times New Roman" w:hAnsi="Times New Roman" w:eastAsia="宋体" w:cs="Times New Roman"/>
          <w:sz w:val="24"/>
          <w:szCs w:val="24"/>
          <w:lang w:eastAsia="zh-CN"/>
        </w:rPr>
        <w:t>符合</w:t>
      </w:r>
      <w:r>
        <w:rPr>
          <w:rFonts w:hint="eastAsia" w:ascii="Times New Roman" w:hAnsi="Times New Roman" w:eastAsia="宋体" w:cs="Times New Roman"/>
          <w:sz w:val="24"/>
          <w:szCs w:val="24"/>
          <w:lang w:val="en-US" w:eastAsia="zh-CN"/>
        </w:rPr>
        <w:t>GB18599的要求</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污水处理区在夯压</w:t>
      </w:r>
      <w:r>
        <w:rPr>
          <w:rFonts w:hint="eastAsia" w:ascii="Times New Roman" w:hAnsi="Times New Roman" w:eastAsia="宋体" w:cs="Times New Roman"/>
          <w:sz w:val="24"/>
          <w:szCs w:val="24"/>
          <w:lang w:eastAsia="zh-CN"/>
        </w:rPr>
        <w:t>地基</w:t>
      </w:r>
      <w:r>
        <w:rPr>
          <w:rFonts w:hint="default" w:ascii="Times New Roman" w:hAnsi="Times New Roman" w:eastAsia="宋体" w:cs="Times New Roman"/>
          <w:sz w:val="24"/>
          <w:szCs w:val="24"/>
        </w:rPr>
        <w:t>的</w:t>
      </w:r>
      <w:r>
        <w:rPr>
          <w:rFonts w:hint="eastAsia" w:ascii="Times New Roman" w:hAnsi="Times New Roman" w:eastAsia="宋体" w:cs="Times New Roman"/>
          <w:sz w:val="24"/>
          <w:szCs w:val="24"/>
          <w:lang w:eastAsia="zh-CN"/>
        </w:rPr>
        <w:t>条件下</w:t>
      </w:r>
      <w:r>
        <w:rPr>
          <w:rFonts w:hint="default" w:ascii="Times New Roman" w:hAnsi="Times New Roman" w:eastAsia="宋体" w:cs="Times New Roman"/>
          <w:sz w:val="24"/>
          <w:szCs w:val="24"/>
        </w:rPr>
        <w:t>铺设HDPE膜+混凝土防渗，渗透系数1.0×10</w:t>
      </w:r>
      <w:r>
        <w:rPr>
          <w:rFonts w:hint="default" w:ascii="Times New Roman" w:hAnsi="Times New Roman" w:eastAsia="宋体" w:cs="Times New Roman"/>
          <w:sz w:val="24"/>
          <w:szCs w:val="24"/>
          <w:vertAlign w:val="superscript"/>
        </w:rPr>
        <w:t>-10</w:t>
      </w:r>
      <w:r>
        <w:rPr>
          <w:rFonts w:hint="default" w:ascii="Times New Roman" w:hAnsi="Times New Roman" w:eastAsia="宋体" w:cs="Times New Roman"/>
          <w:sz w:val="24"/>
          <w:szCs w:val="24"/>
        </w:rPr>
        <w:t>cm/s，符合GB 18597的相关规定要求</w:t>
      </w:r>
      <w:r>
        <w:rPr>
          <w:rFonts w:hint="eastAsia" w:ascii="Times New Roman" w:hAnsi="Times New Roman" w:eastAsia="宋体" w:cs="Times New Roman"/>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本项目应充分做好污水管道的防渗处理，杜绝污水渗漏，确保污水收集处理系</w:t>
      </w:r>
      <w:r>
        <w:rPr>
          <w:rFonts w:ascii="宋体" w:hAnsi="宋体" w:eastAsia="宋体" w:cs="宋体"/>
          <w:spacing w:val="1"/>
          <w:sz w:val="24"/>
          <w:szCs w:val="24"/>
        </w:rPr>
        <w:t>统衔接良好，严格用水管理，防止污水“跑、冒、滴、漏”现象的发生，可以很大</w:t>
      </w:r>
      <w:r>
        <w:rPr>
          <w:rFonts w:ascii="宋体" w:hAnsi="宋体" w:eastAsia="宋体" w:cs="宋体"/>
          <w:spacing w:val="-2"/>
          <w:sz w:val="24"/>
          <w:szCs w:val="24"/>
        </w:rPr>
        <w:t>程度的消除周边地区污染物排放对地下水环境的影响。建设项目场区</w:t>
      </w:r>
      <w:r>
        <w:rPr>
          <w:rFonts w:ascii="宋体" w:hAnsi="宋体" w:eastAsia="宋体" w:cs="宋体"/>
          <w:spacing w:val="-3"/>
          <w:sz w:val="24"/>
          <w:szCs w:val="24"/>
        </w:rPr>
        <w:t>在落实好防渗、</w:t>
      </w:r>
      <w:r>
        <w:rPr>
          <w:rFonts w:ascii="宋体" w:hAnsi="宋体" w:eastAsia="宋体" w:cs="宋体"/>
          <w:spacing w:val="2"/>
          <w:sz w:val="24"/>
          <w:szCs w:val="24"/>
        </w:rPr>
        <w:t>防污措施后，本项目污染物能得到有效处理，对地下水水质影响较小，项目的建设</w:t>
      </w:r>
      <w:r>
        <w:rPr>
          <w:rFonts w:ascii="宋体" w:hAnsi="宋体" w:eastAsia="宋体" w:cs="宋体"/>
          <w:spacing w:val="-1"/>
          <w:sz w:val="24"/>
          <w:szCs w:val="24"/>
        </w:rPr>
        <w:t>不会产生其他环境地质问题，因此对地下水环境质量影响较小。</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b/>
          <w:bCs/>
          <w:sz w:val="28"/>
          <w:szCs w:val="28"/>
        </w:rPr>
      </w:pPr>
      <w:bookmarkStart w:id="349" w:name="bookmark96"/>
      <w:bookmarkEnd w:id="349"/>
      <w:r>
        <w:rPr>
          <w:rFonts w:ascii="Times New Roman" w:hAnsi="Times New Roman" w:eastAsia="Times New Roman" w:cs="Times New Roman"/>
          <w:b/>
          <w:bCs/>
          <w:spacing w:val="-1"/>
          <w:sz w:val="28"/>
          <w:szCs w:val="28"/>
        </w:rPr>
        <w:t>5.2.4</w:t>
      </w:r>
      <w:r>
        <w:rPr>
          <w:rFonts w:ascii="楷体" w:hAnsi="楷体" w:eastAsia="楷体" w:cs="楷体"/>
          <w:b/>
          <w:bCs/>
          <w:spacing w:val="-1"/>
          <w:sz w:val="28"/>
          <w:szCs w:val="28"/>
        </w:rPr>
        <w:t>声环境影响预测与评价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lang w:val="en-US" w:eastAsia="zh-CN"/>
        </w:rPr>
        <w:t>为说明项目运营后对周围环境的影响程度，本次评价预测计算本项目噪声源对四周厂界的噪声贡献值，分析说明噪声源对厂界声环境的影响。</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5</w:t>
      </w:r>
      <w:r>
        <w:rPr>
          <w:rFonts w:hint="default" w:ascii="Times New Roman" w:hAnsi="Times New Roman" w:cs="Times New Roman"/>
          <w:b/>
          <w:bCs/>
          <w:sz w:val="24"/>
          <w:szCs w:val="24"/>
          <w:lang w:val="en-US" w:eastAsia="zh-CN"/>
        </w:rPr>
        <w:t xml:space="preserve">.2.4.1主要噪声设备及源强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项目噪声污染源主要来自于待宰圈内牛羊的鸣叫声，屠宰车间设备、污水处理站、制冷系统设备产生的噪声及运输噪声；项目产生的噪声，通过应采用低噪声设备、对基础做减振处理、生产车间生产时门窗密闭等隔声措施，对高噪设备如各类风机与水泵加装减震基础、柔性接头；对空气动力性噪声设备引风机进风口安装消声器，再经墙壁衰减，各个噪声源及其源强见表</w:t>
      </w:r>
      <w:r>
        <w:rPr>
          <w:rFonts w:hint="eastAsia" w:ascii="Times New Roman" w:hAnsi="Times New Roman" w:cs="Times New Roman"/>
          <w:b w:val="0"/>
          <w:bCs w:val="0"/>
          <w:sz w:val="24"/>
          <w:szCs w:val="24"/>
          <w:lang w:val="en-US" w:eastAsia="zh-CN"/>
        </w:rPr>
        <w:t>5-33和5-34</w:t>
      </w:r>
      <w:r>
        <w:rPr>
          <w:rFonts w:hint="default" w:ascii="Times New Roman" w:hAnsi="Times New Roman" w:cs="Times New Roman"/>
          <w:b w:val="0"/>
          <w:bCs w:val="0"/>
          <w:sz w:val="24"/>
          <w:szCs w:val="24"/>
          <w:lang w:val="en-US" w:eastAsia="zh-CN"/>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z w:val="24"/>
          <w:szCs w:val="24"/>
          <w:u w:val="none"/>
          <w:lang w:val="en-US" w:eastAsia="zh-CN"/>
        </w:rPr>
      </w:pPr>
      <w:r>
        <w:rPr>
          <w:rFonts w:hint="default" w:ascii="Times New Roman" w:hAnsi="Times New Roman" w:eastAsia="宋体" w:cs="Times New Roman"/>
          <w:b/>
          <w:bCs/>
          <w:sz w:val="24"/>
          <w:szCs w:val="24"/>
          <w:u w:val="none"/>
          <w:lang w:val="en-US" w:eastAsia="zh-CN"/>
        </w:rPr>
        <w:t>表5-</w:t>
      </w:r>
      <w:r>
        <w:rPr>
          <w:rFonts w:hint="eastAsia" w:ascii="Times New Roman" w:hAnsi="Times New Roman" w:eastAsia="宋体" w:cs="Times New Roman"/>
          <w:b/>
          <w:bCs/>
          <w:sz w:val="24"/>
          <w:szCs w:val="24"/>
          <w:u w:val="none"/>
          <w:lang w:val="en-US" w:eastAsia="zh-CN"/>
        </w:rPr>
        <w:t>33</w:t>
      </w:r>
      <w:r>
        <w:rPr>
          <w:rFonts w:hint="default" w:ascii="Times New Roman" w:hAnsi="Times New Roman" w:eastAsia="宋体" w:cs="Times New Roman"/>
          <w:b/>
          <w:bCs/>
          <w:sz w:val="24"/>
          <w:szCs w:val="24"/>
          <w:u w:val="none"/>
          <w:lang w:val="en-US" w:eastAsia="zh-CN"/>
        </w:rPr>
        <w:t xml:space="preserve">  本项目噪声源强调查清单（室外声源）</w:t>
      </w:r>
    </w:p>
    <w:tbl>
      <w:tblPr>
        <w:tblStyle w:val="20"/>
        <w:tblW w:w="9658"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434"/>
        <w:gridCol w:w="1503"/>
        <w:gridCol w:w="752"/>
        <w:gridCol w:w="770"/>
        <w:gridCol w:w="651"/>
        <w:gridCol w:w="2413"/>
        <w:gridCol w:w="1489"/>
        <w:gridCol w:w="64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434" w:type="dxa"/>
            <w:vMerge w:val="restart"/>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声源名称</w:t>
            </w:r>
          </w:p>
        </w:tc>
        <w:tc>
          <w:tcPr>
            <w:tcW w:w="1503" w:type="dxa"/>
            <w:vMerge w:val="restart"/>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型号</w:t>
            </w:r>
          </w:p>
        </w:tc>
        <w:tc>
          <w:tcPr>
            <w:tcW w:w="2173" w:type="dxa"/>
            <w:gridSpan w:val="3"/>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空间相对位置/m</w:t>
            </w:r>
          </w:p>
        </w:tc>
        <w:tc>
          <w:tcPr>
            <w:tcW w:w="2413"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声源源强</w:t>
            </w:r>
          </w:p>
        </w:tc>
        <w:tc>
          <w:tcPr>
            <w:tcW w:w="1489" w:type="dxa"/>
            <w:vMerge w:val="restart"/>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声源控制措施</w:t>
            </w:r>
          </w:p>
        </w:tc>
        <w:tc>
          <w:tcPr>
            <w:tcW w:w="646" w:type="dxa"/>
            <w:vMerge w:val="restart"/>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运行时段</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jc w:val="center"/>
        </w:trPr>
        <w:tc>
          <w:tcPr>
            <w:tcW w:w="1434" w:type="dxa"/>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p>
        </w:tc>
        <w:tc>
          <w:tcPr>
            <w:tcW w:w="1503" w:type="dxa"/>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p>
        </w:tc>
        <w:tc>
          <w:tcPr>
            <w:tcW w:w="752"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X</w:t>
            </w:r>
          </w:p>
        </w:tc>
        <w:tc>
          <w:tcPr>
            <w:tcW w:w="770"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Y</w:t>
            </w:r>
          </w:p>
        </w:tc>
        <w:tc>
          <w:tcPr>
            <w:tcW w:w="651"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Z</w:t>
            </w:r>
          </w:p>
        </w:tc>
        <w:tc>
          <w:tcPr>
            <w:tcW w:w="2413"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（声压级/距声源距离）/dB(A)/m）</w:t>
            </w:r>
          </w:p>
        </w:tc>
        <w:tc>
          <w:tcPr>
            <w:tcW w:w="1489" w:type="dxa"/>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p>
        </w:tc>
        <w:tc>
          <w:tcPr>
            <w:tcW w:w="646" w:type="dxa"/>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532" w:hRule="atLeast"/>
          <w:jc w:val="center"/>
        </w:trPr>
        <w:tc>
          <w:tcPr>
            <w:tcW w:w="143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污水泵</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rPr>
              <w:t>（进水）</w:t>
            </w:r>
          </w:p>
        </w:tc>
        <w:tc>
          <w:tcPr>
            <w:tcW w:w="1503"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rPr>
              <w:t>15</w:t>
            </w:r>
            <w:r>
              <w:rPr>
                <w:rFonts w:hint="default" w:ascii="Times New Roman" w:hAnsi="Times New Roman" w:eastAsia="宋体" w:cs="Times New Roman"/>
                <w:color w:val="auto"/>
                <w:sz w:val="21"/>
                <w:szCs w:val="21"/>
                <w:u w:val="single"/>
                <w:lang w:val="en-US" w:eastAsia="zh-CN"/>
              </w:rPr>
              <w:t>m</w:t>
            </w:r>
            <w:r>
              <w:rPr>
                <w:rFonts w:hint="default" w:ascii="Times New Roman" w:hAnsi="Times New Roman" w:eastAsia="宋体" w:cs="Times New Roman"/>
                <w:color w:val="auto"/>
                <w:sz w:val="21"/>
                <w:szCs w:val="21"/>
                <w:u w:val="single"/>
                <w:vertAlign w:val="superscript"/>
                <w:lang w:val="en-US" w:eastAsia="zh-CN"/>
              </w:rPr>
              <w:t>3</w:t>
            </w:r>
            <w:r>
              <w:rPr>
                <w:rFonts w:hint="default" w:ascii="Times New Roman" w:hAnsi="Times New Roman" w:eastAsia="宋体" w:cs="Times New Roman"/>
                <w:color w:val="auto"/>
                <w:sz w:val="21"/>
                <w:szCs w:val="21"/>
                <w:u w:val="single"/>
                <w:lang w:val="en-US" w:eastAsia="zh-CN"/>
              </w:rPr>
              <w:t>/h</w:t>
            </w:r>
          </w:p>
        </w:tc>
        <w:tc>
          <w:tcPr>
            <w:tcW w:w="752"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3</w:t>
            </w:r>
            <w:r>
              <w:rPr>
                <w:rFonts w:hint="default" w:ascii="Times New Roman" w:hAnsi="Times New Roman" w:cs="Times New Roman"/>
                <w:color w:val="auto"/>
                <w:sz w:val="21"/>
                <w:szCs w:val="21"/>
                <w:u w:val="single"/>
                <w:lang w:val="en-US" w:eastAsia="zh-CN"/>
              </w:rPr>
              <w:t>0</w:t>
            </w:r>
          </w:p>
        </w:tc>
        <w:tc>
          <w:tcPr>
            <w:tcW w:w="770"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w:t>
            </w:r>
          </w:p>
        </w:tc>
        <w:tc>
          <w:tcPr>
            <w:tcW w:w="651"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w:t>
            </w:r>
          </w:p>
        </w:tc>
        <w:tc>
          <w:tcPr>
            <w:tcW w:w="2413"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85/1</w:t>
            </w:r>
          </w:p>
        </w:tc>
        <w:tc>
          <w:tcPr>
            <w:tcW w:w="1489" w:type="dxa"/>
            <w:vMerge w:val="restart"/>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选用低噪音设备；</w:t>
            </w:r>
            <w:r>
              <w:rPr>
                <w:rFonts w:hint="default" w:ascii="Times New Roman" w:hAnsi="Times New Roman" w:eastAsia="宋体" w:cs="Times New Roman"/>
                <w:color w:val="auto"/>
                <w:sz w:val="21"/>
                <w:szCs w:val="21"/>
                <w:u w:val="single"/>
                <w:lang w:val="en-US" w:eastAsia="zh-CN"/>
              </w:rPr>
              <w:t>基础减震、</w:t>
            </w:r>
            <w:r>
              <w:rPr>
                <w:rFonts w:hint="default" w:ascii="Times New Roman" w:hAnsi="Times New Roman" w:eastAsia="宋体" w:cs="Times New Roman"/>
                <w:color w:val="auto"/>
                <w:sz w:val="21"/>
                <w:szCs w:val="21"/>
                <w:u w:val="single"/>
              </w:rPr>
              <w:t>减振垫；</w:t>
            </w:r>
            <w:r>
              <w:rPr>
                <w:rFonts w:hint="default" w:ascii="Times New Roman" w:hAnsi="Times New Roman" w:eastAsia="宋体" w:cs="Times New Roman"/>
                <w:color w:val="auto"/>
                <w:sz w:val="21"/>
                <w:szCs w:val="21"/>
                <w:u w:val="single"/>
                <w:lang w:val="en-US" w:eastAsia="zh-CN"/>
              </w:rPr>
              <w:t>合理布局</w:t>
            </w:r>
          </w:p>
        </w:tc>
        <w:tc>
          <w:tcPr>
            <w:tcW w:w="646"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昼间</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532" w:hRule="atLeast"/>
          <w:jc w:val="center"/>
        </w:trPr>
        <w:tc>
          <w:tcPr>
            <w:tcW w:w="143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污水泵</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（出水）</w:t>
            </w:r>
          </w:p>
        </w:tc>
        <w:tc>
          <w:tcPr>
            <w:tcW w:w="1503"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15</w:t>
            </w:r>
            <w:r>
              <w:rPr>
                <w:rFonts w:hint="default" w:ascii="Times New Roman" w:hAnsi="Times New Roman" w:eastAsia="宋体" w:cs="Times New Roman"/>
                <w:color w:val="auto"/>
                <w:sz w:val="21"/>
                <w:szCs w:val="21"/>
                <w:u w:val="single"/>
                <w:lang w:val="en-US" w:eastAsia="zh-CN"/>
              </w:rPr>
              <w:t>m</w:t>
            </w:r>
            <w:r>
              <w:rPr>
                <w:rFonts w:hint="default" w:ascii="Times New Roman" w:hAnsi="Times New Roman" w:eastAsia="宋体" w:cs="Times New Roman"/>
                <w:color w:val="auto"/>
                <w:sz w:val="21"/>
                <w:szCs w:val="21"/>
                <w:u w:val="single"/>
                <w:vertAlign w:val="superscript"/>
                <w:lang w:val="en-US" w:eastAsia="zh-CN"/>
              </w:rPr>
              <w:t>3</w:t>
            </w:r>
            <w:r>
              <w:rPr>
                <w:rFonts w:hint="default" w:ascii="Times New Roman" w:hAnsi="Times New Roman" w:eastAsia="宋体" w:cs="Times New Roman"/>
                <w:color w:val="auto"/>
                <w:sz w:val="21"/>
                <w:szCs w:val="21"/>
                <w:u w:val="single"/>
                <w:lang w:val="en-US" w:eastAsia="zh-CN"/>
              </w:rPr>
              <w:t>/h</w:t>
            </w:r>
          </w:p>
        </w:tc>
        <w:tc>
          <w:tcPr>
            <w:tcW w:w="752"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w:t>
            </w:r>
          </w:p>
        </w:tc>
        <w:tc>
          <w:tcPr>
            <w:tcW w:w="770"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w:t>
            </w:r>
          </w:p>
        </w:tc>
        <w:tc>
          <w:tcPr>
            <w:tcW w:w="651"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w:t>
            </w:r>
          </w:p>
        </w:tc>
        <w:tc>
          <w:tcPr>
            <w:tcW w:w="2413"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85/1</w:t>
            </w:r>
          </w:p>
        </w:tc>
        <w:tc>
          <w:tcPr>
            <w:tcW w:w="1489" w:type="dxa"/>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p>
        </w:tc>
        <w:tc>
          <w:tcPr>
            <w:tcW w:w="646"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昼间</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532" w:hRule="atLeast"/>
          <w:jc w:val="center"/>
        </w:trPr>
        <w:tc>
          <w:tcPr>
            <w:tcW w:w="143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风机</w:t>
            </w:r>
          </w:p>
        </w:tc>
        <w:tc>
          <w:tcPr>
            <w:tcW w:w="1503"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50000</w:t>
            </w:r>
            <w:r>
              <w:rPr>
                <w:rFonts w:hint="default" w:ascii="Times New Roman" w:hAnsi="Times New Roman" w:eastAsia="宋体" w:cs="Times New Roman"/>
                <w:color w:val="auto"/>
                <w:sz w:val="21"/>
                <w:szCs w:val="21"/>
                <w:u w:val="single"/>
                <w:lang w:val="en-US" w:eastAsia="zh-CN"/>
              </w:rPr>
              <w:t>m</w:t>
            </w:r>
            <w:r>
              <w:rPr>
                <w:rFonts w:hint="default" w:ascii="Times New Roman" w:hAnsi="Times New Roman" w:eastAsia="宋体" w:cs="Times New Roman"/>
                <w:color w:val="auto"/>
                <w:sz w:val="21"/>
                <w:szCs w:val="21"/>
                <w:u w:val="single"/>
                <w:vertAlign w:val="superscript"/>
                <w:lang w:val="en-US" w:eastAsia="zh-CN"/>
              </w:rPr>
              <w:t>3</w:t>
            </w:r>
            <w:r>
              <w:rPr>
                <w:rFonts w:hint="default" w:ascii="Times New Roman" w:hAnsi="Times New Roman" w:eastAsia="宋体" w:cs="Times New Roman"/>
                <w:color w:val="auto"/>
                <w:sz w:val="21"/>
                <w:szCs w:val="21"/>
                <w:u w:val="single"/>
                <w:lang w:val="en-US" w:eastAsia="zh-CN"/>
              </w:rPr>
              <w:t>/h</w:t>
            </w:r>
          </w:p>
        </w:tc>
        <w:tc>
          <w:tcPr>
            <w:tcW w:w="752"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10</w:t>
            </w:r>
          </w:p>
        </w:tc>
        <w:tc>
          <w:tcPr>
            <w:tcW w:w="770"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5</w:t>
            </w:r>
          </w:p>
        </w:tc>
        <w:tc>
          <w:tcPr>
            <w:tcW w:w="651"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1.5</w:t>
            </w:r>
          </w:p>
        </w:tc>
        <w:tc>
          <w:tcPr>
            <w:tcW w:w="2413"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85/1</w:t>
            </w:r>
          </w:p>
        </w:tc>
        <w:tc>
          <w:tcPr>
            <w:tcW w:w="1489" w:type="dxa"/>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rPr>
            </w:pPr>
          </w:p>
        </w:tc>
        <w:tc>
          <w:tcPr>
            <w:tcW w:w="646" w:type="dxa"/>
            <w:tcBorders>
              <w:tl2br w:val="nil"/>
              <w:tr2bl w:val="nil"/>
            </w:tcBorders>
            <w:vAlign w:val="center"/>
          </w:tcPr>
          <w:p>
            <w:pPr>
              <w:keepNext w:val="0"/>
              <w:keepLines w:val="0"/>
              <w:suppressLineNumbers w:val="0"/>
              <w:topLinePunct/>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昼间</w:t>
            </w: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Lines="50" w:beforeAutospacing="0" w:after="0" w:afterAutospacing="0" w:line="240" w:lineRule="auto"/>
        <w:ind w:right="0"/>
        <w:jc w:val="center"/>
        <w:textAlignment w:val="baseline"/>
        <w:rPr>
          <w:rFonts w:hint="default" w:ascii="Times New Roman" w:hAnsi="Times New Roman" w:eastAsia="宋体" w:cs="Times New Roman"/>
          <w:b/>
          <w:bCs/>
          <w:sz w:val="24"/>
          <w:szCs w:val="24"/>
          <w:u w:val="none"/>
          <w:lang w:val="en-US" w:eastAsia="zh-CN"/>
        </w:rPr>
      </w:pPr>
      <w:r>
        <w:rPr>
          <w:rFonts w:hint="default" w:ascii="Times New Roman" w:hAnsi="Times New Roman" w:eastAsia="宋体" w:cs="Times New Roman"/>
          <w:b/>
          <w:bCs/>
          <w:sz w:val="24"/>
          <w:szCs w:val="24"/>
          <w:u w:val="none"/>
          <w:lang w:val="en-US" w:eastAsia="zh-CN"/>
        </w:rPr>
        <w:t>表</w:t>
      </w:r>
      <w:r>
        <w:rPr>
          <w:rFonts w:hint="eastAsia" w:ascii="Times New Roman" w:hAnsi="Times New Roman" w:eastAsia="宋体" w:cs="Times New Roman"/>
          <w:b/>
          <w:bCs/>
          <w:sz w:val="24"/>
          <w:szCs w:val="24"/>
          <w:u w:val="none"/>
          <w:lang w:val="en-US" w:eastAsia="zh-CN"/>
        </w:rPr>
        <w:t>5</w:t>
      </w:r>
      <w:r>
        <w:rPr>
          <w:rFonts w:hint="default" w:ascii="Times New Roman" w:hAnsi="Times New Roman" w:eastAsia="宋体" w:cs="Times New Roman"/>
          <w:b/>
          <w:bCs/>
          <w:sz w:val="24"/>
          <w:szCs w:val="24"/>
          <w:u w:val="none"/>
          <w:lang w:val="en-US" w:eastAsia="zh-CN"/>
        </w:rPr>
        <w:t>-</w:t>
      </w:r>
      <w:r>
        <w:rPr>
          <w:rFonts w:hint="eastAsia" w:ascii="Times New Roman" w:hAnsi="Times New Roman" w:eastAsia="宋体" w:cs="Times New Roman"/>
          <w:b/>
          <w:bCs/>
          <w:sz w:val="24"/>
          <w:szCs w:val="24"/>
          <w:u w:val="none"/>
          <w:lang w:val="en-US" w:eastAsia="zh-CN"/>
        </w:rPr>
        <w:t>34</w:t>
      </w:r>
      <w:r>
        <w:rPr>
          <w:rFonts w:hint="default" w:ascii="Times New Roman" w:hAnsi="Times New Roman" w:eastAsia="宋体" w:cs="Times New Roman"/>
          <w:b/>
          <w:bCs/>
          <w:sz w:val="24"/>
          <w:szCs w:val="24"/>
          <w:u w:val="none"/>
          <w:lang w:val="en-US" w:eastAsia="zh-CN"/>
        </w:rPr>
        <w:t xml:space="preserve">  本项目噪声源强调查清单（室内声源）</w:t>
      </w:r>
    </w:p>
    <w:tbl>
      <w:tblPr>
        <w:tblStyle w:val="20"/>
        <w:tblW w:w="9662" w:type="dxa"/>
        <w:jc w:val="center"/>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814"/>
        <w:gridCol w:w="609"/>
        <w:gridCol w:w="650"/>
        <w:gridCol w:w="1203"/>
        <w:gridCol w:w="427"/>
        <w:gridCol w:w="344"/>
        <w:gridCol w:w="350"/>
        <w:gridCol w:w="542"/>
        <w:gridCol w:w="817"/>
        <w:gridCol w:w="638"/>
        <w:gridCol w:w="648"/>
        <w:gridCol w:w="853"/>
        <w:gridCol w:w="838"/>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Ex>
        <w:trPr>
          <w:trHeight w:val="455" w:hRule="atLeast"/>
          <w:jc w:val="center"/>
        </w:trPr>
        <w:tc>
          <w:tcPr>
            <w:tcW w:w="929"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建筑物名称</w:t>
            </w:r>
          </w:p>
        </w:tc>
        <w:tc>
          <w:tcPr>
            <w:tcW w:w="814"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声源名称</w:t>
            </w:r>
          </w:p>
        </w:tc>
        <w:tc>
          <w:tcPr>
            <w:tcW w:w="609"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型号</w:t>
            </w:r>
          </w:p>
        </w:tc>
        <w:tc>
          <w:tcPr>
            <w:tcW w:w="650"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声源源强</w:t>
            </w:r>
          </w:p>
        </w:tc>
        <w:tc>
          <w:tcPr>
            <w:tcW w:w="1203"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声源控制措施</w:t>
            </w:r>
          </w:p>
        </w:tc>
        <w:tc>
          <w:tcPr>
            <w:tcW w:w="1121" w:type="dxa"/>
            <w:gridSpan w:val="3"/>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空间相对位置/m</w:t>
            </w:r>
          </w:p>
        </w:tc>
        <w:tc>
          <w:tcPr>
            <w:tcW w:w="542"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距室内边界距离/m</w:t>
            </w:r>
          </w:p>
        </w:tc>
        <w:tc>
          <w:tcPr>
            <w:tcW w:w="817"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室内边界声级/dB(A)</w:t>
            </w:r>
          </w:p>
        </w:tc>
        <w:tc>
          <w:tcPr>
            <w:tcW w:w="638"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运行时段</w:t>
            </w:r>
          </w:p>
        </w:tc>
        <w:tc>
          <w:tcPr>
            <w:tcW w:w="648"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建筑物插入损失 / dB(A)</w:t>
            </w:r>
          </w:p>
        </w:tc>
        <w:tc>
          <w:tcPr>
            <w:tcW w:w="1691" w:type="dxa"/>
            <w:gridSpan w:val="2"/>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建筑物外噪声</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Ex>
        <w:trPr>
          <w:trHeight w:val="665" w:hRule="atLeast"/>
          <w:jc w:val="center"/>
        </w:trPr>
        <w:tc>
          <w:tcPr>
            <w:tcW w:w="929"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814"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609"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650"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1203"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427"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X</w:t>
            </w:r>
          </w:p>
        </w:tc>
        <w:tc>
          <w:tcPr>
            <w:tcW w:w="344"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Y</w:t>
            </w:r>
          </w:p>
        </w:tc>
        <w:tc>
          <w:tcPr>
            <w:tcW w:w="350"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Z</w:t>
            </w:r>
          </w:p>
        </w:tc>
        <w:tc>
          <w:tcPr>
            <w:tcW w:w="542"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817"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638"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648"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853"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声压级</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/dB(A)</w:t>
            </w:r>
          </w:p>
        </w:tc>
        <w:tc>
          <w:tcPr>
            <w:tcW w:w="83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建筑物外距离</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Ex>
        <w:trPr>
          <w:trHeight w:val="667" w:hRule="atLeast"/>
          <w:jc w:val="center"/>
        </w:trPr>
        <w:tc>
          <w:tcPr>
            <w:tcW w:w="929"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待宰间</w:t>
            </w:r>
          </w:p>
        </w:tc>
        <w:tc>
          <w:tcPr>
            <w:tcW w:w="814"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bidi="ar-SA"/>
              </w:rPr>
              <w:t>牛羊鸣叫</w:t>
            </w:r>
          </w:p>
        </w:tc>
        <w:tc>
          <w:tcPr>
            <w:tcW w:w="609"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bCs/>
                <w:color w:val="auto"/>
                <w:sz w:val="21"/>
                <w:szCs w:val="21"/>
                <w:highlight w:val="none"/>
                <w:u w:val="single"/>
                <w:lang w:val="en-US" w:eastAsia="zh-CN"/>
              </w:rPr>
              <w:t>/</w:t>
            </w:r>
          </w:p>
        </w:tc>
        <w:tc>
          <w:tcPr>
            <w:tcW w:w="650"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bidi="ar-SA"/>
              </w:rPr>
              <w:t>90</w:t>
            </w:r>
          </w:p>
        </w:tc>
        <w:tc>
          <w:tcPr>
            <w:tcW w:w="1203" w:type="dxa"/>
            <w:vMerge w:val="restart"/>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选用低噪音设备；</w:t>
            </w:r>
            <w:r>
              <w:rPr>
                <w:rFonts w:hint="default" w:ascii="Times New Roman" w:hAnsi="Times New Roman" w:eastAsia="宋体" w:cs="Times New Roman"/>
                <w:color w:val="auto"/>
                <w:sz w:val="21"/>
                <w:szCs w:val="21"/>
                <w:u w:val="single"/>
                <w:lang w:val="en-US" w:eastAsia="zh-CN"/>
              </w:rPr>
              <w:t>基础减震、</w:t>
            </w:r>
            <w:r>
              <w:rPr>
                <w:rFonts w:hint="default" w:ascii="Times New Roman" w:hAnsi="Times New Roman" w:eastAsia="宋体" w:cs="Times New Roman"/>
                <w:color w:val="auto"/>
                <w:sz w:val="21"/>
                <w:szCs w:val="21"/>
                <w:u w:val="single"/>
              </w:rPr>
              <w:t>减振垫；</w:t>
            </w:r>
            <w:r>
              <w:rPr>
                <w:rFonts w:hint="default" w:ascii="Times New Roman" w:hAnsi="Times New Roman" w:eastAsia="宋体" w:cs="Times New Roman"/>
                <w:color w:val="auto"/>
                <w:sz w:val="21"/>
                <w:szCs w:val="21"/>
                <w:u w:val="single"/>
                <w:lang w:val="en-US" w:eastAsia="zh-CN"/>
              </w:rPr>
              <w:t>合理布局、</w:t>
            </w:r>
            <w:r>
              <w:rPr>
                <w:rFonts w:hint="default" w:ascii="Times New Roman" w:hAnsi="Times New Roman" w:eastAsia="宋体" w:cs="Times New Roman"/>
                <w:color w:val="auto"/>
                <w:sz w:val="21"/>
                <w:szCs w:val="21"/>
                <w:u w:val="single"/>
              </w:rPr>
              <w:t>利用建筑物隔声屏蔽</w:t>
            </w:r>
          </w:p>
        </w:tc>
        <w:tc>
          <w:tcPr>
            <w:tcW w:w="427"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bidi="ar-SA"/>
              </w:rPr>
              <w:t>0</w:t>
            </w:r>
          </w:p>
        </w:tc>
        <w:tc>
          <w:tcPr>
            <w:tcW w:w="344"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bidi="ar-SA"/>
              </w:rPr>
              <w:t>1</w:t>
            </w:r>
            <w:r>
              <w:rPr>
                <w:rFonts w:hint="default" w:ascii="Times New Roman" w:hAnsi="Times New Roman" w:cs="Times New Roman"/>
                <w:color w:val="auto"/>
                <w:sz w:val="21"/>
                <w:szCs w:val="21"/>
                <w:u w:val="single"/>
                <w:lang w:val="en-US" w:eastAsia="zh-CN" w:bidi="ar-SA"/>
              </w:rPr>
              <w:t>0</w:t>
            </w:r>
          </w:p>
        </w:tc>
        <w:tc>
          <w:tcPr>
            <w:tcW w:w="350"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bidi="ar-SA"/>
              </w:rPr>
              <w:t>1</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5</w:t>
            </w:r>
          </w:p>
        </w:tc>
        <w:tc>
          <w:tcPr>
            <w:tcW w:w="817"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7</w:t>
            </w:r>
            <w:r>
              <w:rPr>
                <w:rFonts w:hint="default" w:ascii="Times New Roman" w:hAnsi="Times New Roman" w:cs="Times New Roman"/>
                <w:color w:val="auto"/>
                <w:sz w:val="21"/>
                <w:szCs w:val="21"/>
                <w:u w:val="single"/>
                <w:lang w:val="en-US" w:eastAsia="zh-CN"/>
              </w:rPr>
              <w:t>6.0</w:t>
            </w:r>
          </w:p>
        </w:tc>
        <w:tc>
          <w:tcPr>
            <w:tcW w:w="63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val="en-US" w:eastAsia="zh-CN"/>
              </w:rPr>
              <w:t>昼间</w:t>
            </w:r>
          </w:p>
        </w:tc>
        <w:tc>
          <w:tcPr>
            <w:tcW w:w="64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w:t>
            </w:r>
          </w:p>
        </w:tc>
        <w:tc>
          <w:tcPr>
            <w:tcW w:w="853"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5</w:t>
            </w:r>
            <w:r>
              <w:rPr>
                <w:rFonts w:hint="default" w:ascii="Times New Roman" w:hAnsi="Times New Roman" w:cs="Times New Roman"/>
                <w:color w:val="auto"/>
                <w:sz w:val="21"/>
                <w:szCs w:val="21"/>
                <w:u w:val="single"/>
                <w:lang w:val="en-US" w:eastAsia="zh-CN"/>
              </w:rPr>
              <w:t>6</w:t>
            </w:r>
            <w:r>
              <w:rPr>
                <w:rFonts w:hint="default" w:ascii="Times New Roman" w:hAnsi="Times New Roman" w:eastAsia="宋体" w:cs="Times New Roman"/>
                <w:color w:val="auto"/>
                <w:sz w:val="21"/>
                <w:szCs w:val="21"/>
                <w:u w:val="single"/>
                <w:lang w:val="en-US" w:eastAsia="zh-CN"/>
              </w:rPr>
              <w:t>.</w:t>
            </w:r>
            <w:r>
              <w:rPr>
                <w:rFonts w:hint="default" w:ascii="Times New Roman" w:hAnsi="Times New Roman" w:cs="Times New Roman"/>
                <w:color w:val="auto"/>
                <w:sz w:val="21"/>
                <w:szCs w:val="21"/>
                <w:u w:val="single"/>
                <w:lang w:val="en-US" w:eastAsia="zh-CN"/>
              </w:rPr>
              <w:t>0</w:t>
            </w:r>
          </w:p>
        </w:tc>
        <w:tc>
          <w:tcPr>
            <w:tcW w:w="83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jc w:val="center"/>
        </w:trPr>
        <w:tc>
          <w:tcPr>
            <w:tcW w:w="929"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屠宰间</w:t>
            </w:r>
          </w:p>
        </w:tc>
        <w:tc>
          <w:tcPr>
            <w:tcW w:w="814"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rPr>
              <w:t>屠宰设备</w:t>
            </w:r>
          </w:p>
        </w:tc>
        <w:tc>
          <w:tcPr>
            <w:tcW w:w="609"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bCs/>
                <w:color w:val="auto"/>
                <w:sz w:val="21"/>
                <w:szCs w:val="21"/>
                <w:highlight w:val="none"/>
                <w:u w:val="single"/>
                <w:lang w:val="en-US" w:eastAsia="zh-CN"/>
              </w:rPr>
              <w:t>/</w:t>
            </w:r>
          </w:p>
        </w:tc>
        <w:tc>
          <w:tcPr>
            <w:tcW w:w="650"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bidi="ar-SA"/>
              </w:rPr>
              <w:t>8</w:t>
            </w:r>
            <w:r>
              <w:rPr>
                <w:rFonts w:hint="eastAsia" w:ascii="Times New Roman" w:hAnsi="Times New Roman" w:eastAsia="宋体" w:cs="Times New Roman"/>
                <w:color w:val="auto"/>
                <w:sz w:val="21"/>
                <w:szCs w:val="21"/>
                <w:u w:val="single"/>
                <w:lang w:val="en-US" w:eastAsia="zh-CN" w:bidi="ar-SA"/>
              </w:rPr>
              <w:t>0</w:t>
            </w:r>
          </w:p>
        </w:tc>
        <w:tc>
          <w:tcPr>
            <w:tcW w:w="1203"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427"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bidi="ar-SA"/>
              </w:rPr>
              <w:t>0</w:t>
            </w:r>
          </w:p>
        </w:tc>
        <w:tc>
          <w:tcPr>
            <w:tcW w:w="344"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bidi="ar-SA"/>
              </w:rPr>
              <w:t>3</w:t>
            </w:r>
            <w:r>
              <w:rPr>
                <w:rFonts w:hint="default" w:ascii="Times New Roman" w:hAnsi="Times New Roman" w:cs="Times New Roman"/>
                <w:color w:val="auto"/>
                <w:sz w:val="21"/>
                <w:szCs w:val="21"/>
                <w:u w:val="single"/>
                <w:lang w:val="en-US" w:eastAsia="zh-CN" w:bidi="ar-SA"/>
              </w:rPr>
              <w:t>0</w:t>
            </w:r>
          </w:p>
        </w:tc>
        <w:tc>
          <w:tcPr>
            <w:tcW w:w="350"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bidi="ar-SA"/>
              </w:rPr>
              <w:t>1</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3</w:t>
            </w:r>
          </w:p>
        </w:tc>
        <w:tc>
          <w:tcPr>
            <w:tcW w:w="817"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75.4</w:t>
            </w:r>
          </w:p>
        </w:tc>
        <w:tc>
          <w:tcPr>
            <w:tcW w:w="63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val="en-US" w:eastAsia="zh-CN"/>
              </w:rPr>
              <w:t>昼间</w:t>
            </w:r>
          </w:p>
        </w:tc>
        <w:tc>
          <w:tcPr>
            <w:tcW w:w="64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w:t>
            </w:r>
          </w:p>
        </w:tc>
        <w:tc>
          <w:tcPr>
            <w:tcW w:w="853"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5</w:t>
            </w:r>
            <w:r>
              <w:rPr>
                <w:rFonts w:hint="default" w:ascii="Times New Roman" w:hAnsi="Times New Roman" w:cs="Times New Roman"/>
                <w:color w:val="auto"/>
                <w:sz w:val="21"/>
                <w:szCs w:val="21"/>
                <w:u w:val="single"/>
                <w:lang w:val="en-US" w:eastAsia="zh-CN"/>
              </w:rPr>
              <w:t>5.4</w:t>
            </w:r>
          </w:p>
        </w:tc>
        <w:tc>
          <w:tcPr>
            <w:tcW w:w="83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w:t>
            </w:r>
            <w:r>
              <w:rPr>
                <w:rFonts w:hint="default" w:ascii="Times New Roman" w:hAnsi="Times New Roman" w:cs="Times New Roman"/>
                <w:color w:val="auto"/>
                <w:sz w:val="21"/>
                <w:szCs w:val="21"/>
                <w:u w:val="single"/>
                <w:lang w:val="en-US" w:eastAsia="zh-CN"/>
              </w:rPr>
              <w:t>0</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PrEx>
        <w:trPr>
          <w:trHeight w:val="312" w:hRule="atLeast"/>
          <w:jc w:val="center"/>
        </w:trPr>
        <w:tc>
          <w:tcPr>
            <w:tcW w:w="929"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制冷机房</w:t>
            </w:r>
          </w:p>
        </w:tc>
        <w:tc>
          <w:tcPr>
            <w:tcW w:w="814"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压缩机</w:t>
            </w:r>
          </w:p>
        </w:tc>
        <w:tc>
          <w:tcPr>
            <w:tcW w:w="609"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t>/</w:t>
            </w:r>
          </w:p>
        </w:tc>
        <w:tc>
          <w:tcPr>
            <w:tcW w:w="650" w:type="dxa"/>
            <w:tcBorders>
              <w:tl2br w:val="nil"/>
              <w:tr2bl w:val="nil"/>
            </w:tcBorders>
            <w:vAlign w:val="center"/>
          </w:tcPr>
          <w:p>
            <w:pPr>
              <w:keepNext w:val="0"/>
              <w:keepLines w:val="0"/>
              <w:pageBreakBefore w:val="0"/>
              <w:widowControl w:val="0"/>
              <w:suppressLineNumbers w:val="0"/>
              <w:kinsoku/>
              <w:wordWrap/>
              <w:overflowPunct/>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bidi="ar-SA"/>
              </w:rPr>
              <w:t>8</w:t>
            </w:r>
            <w:r>
              <w:rPr>
                <w:rFonts w:hint="eastAsia" w:ascii="Times New Roman" w:hAnsi="Times New Roman" w:eastAsia="宋体" w:cs="Times New Roman"/>
                <w:color w:val="auto"/>
                <w:sz w:val="21"/>
                <w:szCs w:val="21"/>
                <w:u w:val="single"/>
                <w:lang w:val="en-US" w:eastAsia="zh-CN" w:bidi="ar-SA"/>
              </w:rPr>
              <w:t>0</w:t>
            </w:r>
          </w:p>
        </w:tc>
        <w:tc>
          <w:tcPr>
            <w:tcW w:w="1203" w:type="dxa"/>
            <w:vMerge w:val="continue"/>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rPr>
            </w:pPr>
          </w:p>
        </w:tc>
        <w:tc>
          <w:tcPr>
            <w:tcW w:w="427"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bidi="ar-SA"/>
              </w:rPr>
              <w:t>0</w:t>
            </w:r>
          </w:p>
        </w:tc>
        <w:tc>
          <w:tcPr>
            <w:tcW w:w="344"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single"/>
                <w:lang w:val="en-US" w:eastAsia="zh-CN" w:bidi="ar-SA"/>
              </w:rPr>
              <w:t>60</w:t>
            </w:r>
          </w:p>
        </w:tc>
        <w:tc>
          <w:tcPr>
            <w:tcW w:w="350"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bidi="ar-SA"/>
              </w:rPr>
              <w:t>1</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2.5</w:t>
            </w:r>
          </w:p>
        </w:tc>
        <w:tc>
          <w:tcPr>
            <w:tcW w:w="817"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77.0</w:t>
            </w:r>
          </w:p>
        </w:tc>
        <w:tc>
          <w:tcPr>
            <w:tcW w:w="63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昼间</w:t>
            </w:r>
          </w:p>
        </w:tc>
        <w:tc>
          <w:tcPr>
            <w:tcW w:w="64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w:t>
            </w:r>
          </w:p>
        </w:tc>
        <w:tc>
          <w:tcPr>
            <w:tcW w:w="853"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5</w:t>
            </w:r>
            <w:r>
              <w:rPr>
                <w:rFonts w:hint="default" w:ascii="Times New Roman" w:hAnsi="Times New Roman" w:cs="Times New Roman"/>
                <w:color w:val="auto"/>
                <w:sz w:val="21"/>
                <w:szCs w:val="21"/>
                <w:u w:val="single"/>
                <w:lang w:val="en-US" w:eastAsia="zh-CN"/>
              </w:rPr>
              <w:t>7.0</w:t>
            </w:r>
          </w:p>
        </w:tc>
        <w:tc>
          <w:tcPr>
            <w:tcW w:w="838" w:type="dxa"/>
            <w:tcBorders>
              <w:tl2br w:val="nil"/>
              <w:tr2bl w:val="nil"/>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20</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"4.2.4.2" </w:instrText>
      </w:r>
      <w:r>
        <w:rPr>
          <w:rFonts w:hint="default" w:ascii="Times New Roman" w:hAnsi="Times New Roman" w:cs="Times New Roman"/>
          <w:b/>
          <w:bCs/>
          <w:sz w:val="24"/>
          <w:szCs w:val="24"/>
        </w:rPr>
        <w:fldChar w:fldCharType="separate"/>
      </w:r>
      <w:r>
        <w:rPr>
          <w:rFonts w:hint="eastAsia" w:ascii="Times New Roman" w:hAnsi="Times New Roman" w:eastAsia="宋体" w:cs="Times New Roman"/>
          <w:b/>
          <w:bCs/>
          <w:sz w:val="24"/>
          <w:szCs w:val="24"/>
          <w:lang w:val="en-US" w:eastAsia="zh-CN"/>
        </w:rPr>
        <w:t>5</w:t>
      </w:r>
      <w:r>
        <w:rPr>
          <w:rFonts w:hint="default" w:ascii="Times New Roman" w:hAnsi="Times New Roman" w:cs="Times New Roman"/>
          <w:b/>
          <w:bCs/>
          <w:sz w:val="24"/>
          <w:szCs w:val="24"/>
        </w:rPr>
        <w:t>.2.4.2</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t xml:space="preserve">  预测模式的确定</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（1）预测模式</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预测模式采用《环境影响评价技术导则-声环境》（HJ2.4-2021）中推荐的工业噪声预测计算模式。噪声在传播过程中受到多种因素的干扰，使其产生衰减，根据建设项目噪声源</w:t>
      </w:r>
      <w:r>
        <w:rPr>
          <w:rFonts w:hint="eastAsia" w:ascii="Times New Roman" w:hAnsi="Times New Roman" w:eastAsia="宋体" w:cs="Times New Roman"/>
          <w:sz w:val="24"/>
          <w:szCs w:val="24"/>
          <w:lang w:eastAsia="zh-CN"/>
        </w:rPr>
        <w:t>特点</w:t>
      </w:r>
      <w:r>
        <w:rPr>
          <w:rFonts w:hint="default" w:ascii="Times New Roman" w:hAnsi="Times New Roman" w:cs="Times New Roman"/>
          <w:sz w:val="24"/>
          <w:szCs w:val="24"/>
        </w:rPr>
        <w:t>和环境特征，预测过程中考虑了厂房等建筑物的屏障作用、空气吸收。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①室内声源等效室外声源声功率级计算方法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声源位于室内，室内声源可采用等效室外声源声功率级法进行计算。设靠近开口处（或窗户）室内、室外某倍频带的声压级分别为Lp1和Lp2。若声源所在室内声场为近似扩散声场，则室外的倍频带声压级可按下式近似求出：</w:t>
      </w:r>
    </w:p>
    <w:p>
      <w:pPr>
        <w:spacing w:before="146" w:line="360" w:lineRule="exact"/>
        <w:ind w:firstLine="3914"/>
      </w:pPr>
      <w:r>
        <w:rPr>
          <w:position w:val="-7"/>
        </w:rPr>
        <w:drawing>
          <wp:inline distT="0" distB="0" distL="0" distR="0">
            <wp:extent cx="1247775" cy="228600"/>
            <wp:effectExtent l="0" t="0" r="9525"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1"/>
                    <a:stretch>
                      <a:fillRect/>
                    </a:stretch>
                  </pic:blipFill>
                  <pic:spPr>
                    <a:xfrm>
                      <a:off x="0" y="0"/>
                      <a:ext cx="1248155" cy="228600"/>
                    </a:xfrm>
                    <a:prstGeom prst="rect">
                      <a:avLst/>
                    </a:prstGeom>
                  </pic:spPr>
                </pic:pic>
              </a:graphicData>
            </a:graphic>
          </wp:inline>
        </w:drawing>
      </w:r>
    </w:p>
    <w:p>
      <w:pPr>
        <w:spacing w:before="174" w:line="219" w:lineRule="auto"/>
        <w:ind w:left="616"/>
        <w:rPr>
          <w:rFonts w:ascii="宋体" w:hAnsi="宋体" w:eastAsia="宋体" w:cs="宋体"/>
          <w:sz w:val="24"/>
          <w:szCs w:val="24"/>
        </w:rPr>
      </w:pPr>
      <w:r>
        <w:rPr>
          <w:rFonts w:ascii="宋体" w:hAnsi="宋体" w:eastAsia="宋体" w:cs="宋体"/>
          <w:spacing w:val="-2"/>
          <w:sz w:val="24"/>
          <w:szCs w:val="24"/>
        </w:rPr>
        <w:t xml:space="preserve">式中： </w:t>
      </w:r>
      <w:r>
        <w:rPr>
          <w:rFonts w:ascii="Times New Roman" w:hAnsi="Times New Roman" w:eastAsia="Times New Roman" w:cs="Times New Roman"/>
          <w:spacing w:val="-2"/>
          <w:sz w:val="24"/>
          <w:szCs w:val="24"/>
        </w:rPr>
        <w:t>TL—</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隔墙（或窗户）倍频带的隔声量，</w:t>
      </w:r>
      <w:r>
        <w:rPr>
          <w:rFonts w:ascii="Times New Roman" w:hAnsi="Times New Roman" w:eastAsia="Times New Roman" w:cs="Times New Roman"/>
          <w:spacing w:val="-2"/>
          <w:sz w:val="24"/>
          <w:szCs w:val="24"/>
        </w:rPr>
        <w:t>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p>
    <w:p>
      <w:pPr>
        <w:spacing w:before="181" w:line="219" w:lineRule="auto"/>
        <w:ind w:left="616"/>
        <w:rPr>
          <w:rFonts w:ascii="宋体" w:hAnsi="宋体" w:eastAsia="宋体" w:cs="宋体"/>
          <w:sz w:val="24"/>
          <w:szCs w:val="24"/>
        </w:rPr>
      </w:pPr>
      <w:r>
        <w:rPr>
          <w:rFonts w:ascii="宋体" w:hAnsi="宋体" w:eastAsia="宋体" w:cs="宋体"/>
          <w:spacing w:val="-1"/>
          <w:sz w:val="24"/>
          <w:szCs w:val="24"/>
        </w:rPr>
        <w:t>也可按以下公式计算某一室内声源靠近围护结构处产生的倍频带声压级：</w:t>
      </w:r>
    </w:p>
    <w:p>
      <w:pPr>
        <w:spacing w:before="146" w:line="521" w:lineRule="exact"/>
        <w:ind w:firstLine="3533"/>
      </w:pPr>
      <w:r>
        <w:rPr>
          <w:position w:val="-10"/>
        </w:rPr>
        <w:drawing>
          <wp:inline distT="0" distB="0" distL="0" distR="0">
            <wp:extent cx="1734185" cy="330200"/>
            <wp:effectExtent l="0" t="0" r="18415" b="1270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2"/>
                    <a:stretch>
                      <a:fillRect/>
                    </a:stretch>
                  </pic:blipFill>
                  <pic:spPr>
                    <a:xfrm>
                      <a:off x="0" y="0"/>
                      <a:ext cx="1734312" cy="330708"/>
                    </a:xfrm>
                    <a:prstGeom prst="rect">
                      <a:avLst/>
                    </a:prstGeom>
                  </pic:spPr>
                </pic:pic>
              </a:graphicData>
            </a:graphic>
          </wp:inline>
        </w:drawing>
      </w:r>
    </w:p>
    <w:p>
      <w:pPr>
        <w:spacing w:before="174" w:line="220" w:lineRule="auto"/>
        <w:ind w:left="616"/>
        <w:rPr>
          <w:rFonts w:ascii="宋体" w:hAnsi="宋体" w:eastAsia="宋体" w:cs="宋体"/>
          <w:sz w:val="24"/>
          <w:szCs w:val="24"/>
        </w:rPr>
      </w:pPr>
      <w:r>
        <w:rPr>
          <w:rFonts w:ascii="宋体" w:hAnsi="宋体" w:eastAsia="宋体" w:cs="宋体"/>
          <w:spacing w:val="-5"/>
          <w:sz w:val="24"/>
          <w:szCs w:val="24"/>
        </w:rPr>
        <w:t>式中：</w:t>
      </w:r>
    </w:p>
    <w:p>
      <w:pPr>
        <w:spacing w:before="136" w:line="313" w:lineRule="auto"/>
        <w:ind w:left="133" w:right="192" w:firstLine="478"/>
        <w:rPr>
          <w:rFonts w:ascii="宋体" w:hAnsi="宋体" w:eastAsia="宋体" w:cs="宋体"/>
          <w:sz w:val="24"/>
          <w:szCs w:val="24"/>
        </w:rPr>
      </w:pPr>
      <w:r>
        <w:rPr>
          <w:rFonts w:ascii="Times New Roman" w:hAnsi="Times New Roman" w:eastAsia="Times New Roman" w:cs="Times New Roman"/>
          <w:sz w:val="24"/>
          <w:szCs w:val="24"/>
        </w:rPr>
        <w:t>Q—</w:t>
      </w:r>
      <w:r>
        <w:rPr>
          <w:rFonts w:ascii="宋体" w:hAnsi="宋体" w:eastAsia="宋体" w:cs="宋体"/>
          <w:sz w:val="24"/>
          <w:szCs w:val="24"/>
        </w:rPr>
        <w:t>指向性因数；通常对无指向性声源，当声源放在房间</w:t>
      </w:r>
      <w:r>
        <w:rPr>
          <w:rFonts w:ascii="宋体" w:hAnsi="宋体" w:eastAsia="宋体" w:cs="宋体"/>
          <w:spacing w:val="-1"/>
          <w:sz w:val="24"/>
          <w:szCs w:val="24"/>
        </w:rPr>
        <w:t>中心时，</w:t>
      </w:r>
      <w:r>
        <w:rPr>
          <w:rFonts w:ascii="Times New Roman" w:hAnsi="Times New Roman" w:eastAsia="Times New Roman" w:cs="Times New Roman"/>
          <w:spacing w:val="-1"/>
          <w:sz w:val="24"/>
          <w:szCs w:val="24"/>
        </w:rPr>
        <w:t>Q=1</w:t>
      </w:r>
      <w:r>
        <w:rPr>
          <w:rFonts w:ascii="宋体" w:hAnsi="宋体" w:eastAsia="宋体" w:cs="宋体"/>
          <w:spacing w:val="-1"/>
          <w:sz w:val="24"/>
          <w:szCs w:val="24"/>
        </w:rPr>
        <w:t>；当放在一</w:t>
      </w:r>
      <w:r>
        <w:rPr>
          <w:rFonts w:ascii="宋体" w:hAnsi="宋体" w:eastAsia="宋体" w:cs="宋体"/>
          <w:sz w:val="24"/>
          <w:szCs w:val="24"/>
        </w:rPr>
        <w:t xml:space="preserve"> 面墙的中心时，</w:t>
      </w:r>
      <w:r>
        <w:rPr>
          <w:rFonts w:ascii="Times New Roman" w:hAnsi="Times New Roman" w:eastAsia="Times New Roman" w:cs="Times New Roman"/>
          <w:sz w:val="24"/>
          <w:szCs w:val="24"/>
        </w:rPr>
        <w:t>Q=2</w:t>
      </w:r>
      <w:r>
        <w:rPr>
          <w:rFonts w:ascii="宋体" w:hAnsi="宋体" w:eastAsia="宋体" w:cs="宋体"/>
          <w:sz w:val="24"/>
          <w:szCs w:val="24"/>
        </w:rPr>
        <w:t>；当放在两面墙夹角处时，</w:t>
      </w:r>
      <w:r>
        <w:rPr>
          <w:rFonts w:ascii="Times New Roman" w:hAnsi="Times New Roman" w:eastAsia="Times New Roman" w:cs="Times New Roman"/>
          <w:sz w:val="24"/>
          <w:szCs w:val="24"/>
        </w:rPr>
        <w:t>Q=4</w:t>
      </w:r>
      <w:r>
        <w:rPr>
          <w:rFonts w:ascii="宋体" w:hAnsi="宋体" w:eastAsia="宋体" w:cs="宋体"/>
          <w:sz w:val="24"/>
          <w:szCs w:val="24"/>
        </w:rPr>
        <w:t>；当</w:t>
      </w:r>
      <w:r>
        <w:rPr>
          <w:rFonts w:ascii="宋体" w:hAnsi="宋体" w:eastAsia="宋体" w:cs="宋体"/>
          <w:spacing w:val="-1"/>
          <w:sz w:val="24"/>
          <w:szCs w:val="24"/>
        </w:rPr>
        <w:t>放在三面墙夹角处时，</w:t>
      </w:r>
      <w:r>
        <w:rPr>
          <w:rFonts w:ascii="Times New Roman" w:hAnsi="Times New Roman" w:eastAsia="Times New Roman" w:cs="Times New Roman"/>
          <w:spacing w:val="-1"/>
          <w:sz w:val="24"/>
          <w:szCs w:val="24"/>
        </w:rPr>
        <w:t>Q=8</w:t>
      </w:r>
      <w:r>
        <w:rPr>
          <w:rFonts w:ascii="宋体" w:hAnsi="宋体" w:eastAsia="宋体" w:cs="宋体"/>
          <w:spacing w:val="-1"/>
          <w:sz w:val="24"/>
          <w:szCs w:val="24"/>
        </w:rPr>
        <w:t>。</w:t>
      </w:r>
    </w:p>
    <w:p>
      <w:pPr>
        <w:spacing w:before="120" w:line="323" w:lineRule="exact"/>
        <w:ind w:left="606"/>
        <w:rPr>
          <w:rFonts w:ascii="宋体" w:hAnsi="宋体" w:eastAsia="宋体" w:cs="宋体"/>
          <w:sz w:val="24"/>
          <w:szCs w:val="24"/>
        </w:rPr>
      </w:pPr>
      <w:r>
        <w:rPr>
          <w:rFonts w:ascii="Times New Roman" w:hAnsi="Times New Roman" w:eastAsia="Times New Roman" w:cs="Times New Roman"/>
          <w:spacing w:val="-1"/>
          <w:position w:val="2"/>
          <w:sz w:val="24"/>
          <w:szCs w:val="24"/>
        </w:rPr>
        <w:t>R—</w:t>
      </w:r>
      <w:r>
        <w:rPr>
          <w:rFonts w:ascii="宋体" w:hAnsi="宋体" w:eastAsia="宋体" w:cs="宋体"/>
          <w:spacing w:val="-1"/>
          <w:position w:val="2"/>
          <w:sz w:val="24"/>
          <w:szCs w:val="24"/>
        </w:rPr>
        <w:t>房间常数；</w:t>
      </w:r>
      <w:r>
        <w:rPr>
          <w:rFonts w:ascii="Times New Roman" w:hAnsi="Times New Roman" w:eastAsia="Times New Roman" w:cs="Times New Roman"/>
          <w:spacing w:val="-1"/>
          <w:position w:val="2"/>
          <w:sz w:val="24"/>
          <w:szCs w:val="24"/>
        </w:rPr>
        <w:t>R=Sα/(1−α)</w:t>
      </w:r>
      <w:r>
        <w:rPr>
          <w:rFonts w:ascii="Times New Roman" w:hAnsi="Times New Roman" w:eastAsia="Times New Roman" w:cs="Times New Roman"/>
          <w:spacing w:val="-29"/>
          <w:position w:val="2"/>
          <w:sz w:val="24"/>
          <w:szCs w:val="24"/>
        </w:rPr>
        <w:t xml:space="preserve"> </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S</w:t>
      </w:r>
      <w:r>
        <w:rPr>
          <w:rFonts w:ascii="Times New Roman" w:hAnsi="Times New Roman" w:eastAsia="Times New Roman" w:cs="Times New Roman"/>
          <w:spacing w:val="-2"/>
          <w:position w:val="2"/>
          <w:sz w:val="24"/>
          <w:szCs w:val="24"/>
        </w:rPr>
        <w:t xml:space="preserve"> </w:t>
      </w:r>
      <w:r>
        <w:rPr>
          <w:rFonts w:ascii="宋体" w:hAnsi="宋体" w:eastAsia="宋体" w:cs="宋体"/>
          <w:spacing w:val="-2"/>
          <w:position w:val="2"/>
          <w:sz w:val="24"/>
          <w:szCs w:val="24"/>
        </w:rPr>
        <w:t>为房间内表面面积，</w:t>
      </w:r>
      <w:r>
        <w:rPr>
          <w:rFonts w:ascii="Times New Roman" w:hAnsi="Times New Roman" w:eastAsia="Times New Roman" w:cs="Times New Roman"/>
          <w:spacing w:val="-2"/>
          <w:position w:val="2"/>
          <w:sz w:val="24"/>
          <w:szCs w:val="24"/>
        </w:rPr>
        <w:t>m</w:t>
      </w:r>
      <w:r>
        <w:rPr>
          <w:rFonts w:ascii="Times New Roman" w:hAnsi="Times New Roman" w:eastAsia="Times New Roman" w:cs="Times New Roman"/>
          <w:spacing w:val="-2"/>
          <w:position w:val="10"/>
          <w:sz w:val="15"/>
          <w:szCs w:val="15"/>
        </w:rPr>
        <w:t>2</w:t>
      </w:r>
      <w:r>
        <w:rPr>
          <w:rFonts w:ascii="Times New Roman" w:hAnsi="Times New Roman" w:eastAsia="Times New Roman" w:cs="Times New Roman"/>
          <w:spacing w:val="-9"/>
          <w:position w:val="10"/>
          <w:sz w:val="15"/>
          <w:szCs w:val="15"/>
        </w:rPr>
        <w:t xml:space="preserve"> </w:t>
      </w: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α</w:t>
      </w:r>
      <w:r>
        <w:rPr>
          <w:rFonts w:ascii="宋体" w:hAnsi="宋体" w:eastAsia="宋体" w:cs="宋体"/>
          <w:spacing w:val="-2"/>
          <w:position w:val="2"/>
          <w:sz w:val="24"/>
          <w:szCs w:val="24"/>
        </w:rPr>
        <w:t>为平均吸声系数。</w:t>
      </w:r>
    </w:p>
    <w:p>
      <w:pPr>
        <w:spacing w:before="188" w:line="220" w:lineRule="auto"/>
        <w:ind w:left="604"/>
        <w:rPr>
          <w:rFonts w:ascii="宋体" w:hAnsi="宋体" w:eastAsia="宋体" w:cs="宋体"/>
          <w:sz w:val="24"/>
          <w:szCs w:val="24"/>
        </w:rPr>
      </w:pPr>
      <w:r>
        <w:rPr>
          <w:rFonts w:ascii="Times New Roman" w:hAnsi="Times New Roman" w:eastAsia="Times New Roman" w:cs="Times New Roman"/>
          <w:spacing w:val="-1"/>
          <w:sz w:val="24"/>
          <w:szCs w:val="24"/>
        </w:rPr>
        <w:t>r—</w:t>
      </w:r>
      <w:r>
        <w:rPr>
          <w:rFonts w:ascii="宋体" w:hAnsi="宋体" w:eastAsia="宋体" w:cs="宋体"/>
          <w:spacing w:val="-1"/>
          <w:sz w:val="24"/>
          <w:szCs w:val="24"/>
        </w:rPr>
        <w:t>声源到靠近围护结构某点处的距离，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pPr>
        <w:spacing w:before="183" w:line="219" w:lineRule="auto"/>
        <w:ind w:left="614"/>
        <w:rPr>
          <w:rFonts w:ascii="宋体" w:hAnsi="宋体" w:eastAsia="宋体" w:cs="宋体"/>
          <w:sz w:val="24"/>
          <w:szCs w:val="24"/>
        </w:rPr>
      </w:pPr>
      <w:r>
        <w:rPr>
          <w:rFonts w:ascii="宋体" w:hAnsi="宋体" w:eastAsia="宋体" w:cs="宋体"/>
          <w:spacing w:val="-1"/>
          <w:sz w:val="24"/>
          <w:szCs w:val="24"/>
        </w:rPr>
        <w:t>按下式计算出所有室内声源在围护结构处产生的</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倍频带叠加声压级：</w:t>
      </w:r>
    </w:p>
    <w:p>
      <w:pPr>
        <w:spacing w:before="145" w:line="639" w:lineRule="exact"/>
        <w:ind w:firstLine="3607"/>
      </w:pPr>
      <w:r>
        <w:rPr>
          <w:position w:val="-12"/>
        </w:rPr>
        <w:drawing>
          <wp:inline distT="0" distB="0" distL="0" distR="0">
            <wp:extent cx="1638300" cy="405130"/>
            <wp:effectExtent l="0" t="0" r="0" b="1397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63"/>
                    <a:stretch>
                      <a:fillRect/>
                    </a:stretch>
                  </pic:blipFill>
                  <pic:spPr>
                    <a:xfrm>
                      <a:off x="0" y="0"/>
                      <a:ext cx="1638300" cy="405383"/>
                    </a:xfrm>
                    <a:prstGeom prst="rect">
                      <a:avLst/>
                    </a:prstGeom>
                  </pic:spPr>
                </pic:pic>
              </a:graphicData>
            </a:graphic>
          </wp:inline>
        </w:drawing>
      </w:r>
    </w:p>
    <w:p>
      <w:pPr>
        <w:spacing w:before="174" w:line="220" w:lineRule="auto"/>
        <w:ind w:left="616"/>
        <w:rPr>
          <w:rFonts w:ascii="宋体" w:hAnsi="宋体" w:eastAsia="宋体" w:cs="宋体"/>
          <w:sz w:val="24"/>
          <w:szCs w:val="24"/>
        </w:rPr>
      </w:pPr>
      <w:r>
        <w:rPr>
          <w:rFonts w:ascii="宋体" w:hAnsi="宋体" w:eastAsia="宋体" w:cs="宋体"/>
          <w:spacing w:val="-5"/>
          <w:sz w:val="24"/>
          <w:szCs w:val="24"/>
        </w:rPr>
        <w:t>式中：</w:t>
      </w:r>
    </w:p>
    <w:p>
      <w:pPr>
        <w:spacing w:before="182" w:line="465" w:lineRule="exact"/>
        <w:ind w:left="607"/>
        <w:rPr>
          <w:rFonts w:ascii="宋体" w:hAnsi="宋体" w:eastAsia="宋体" w:cs="宋体"/>
          <w:sz w:val="24"/>
          <w:szCs w:val="24"/>
        </w:rPr>
      </w:pPr>
      <w:r>
        <w:rPr>
          <w:rFonts w:ascii="Times New Roman" w:hAnsi="Times New Roman" w:eastAsia="Times New Roman" w:cs="Times New Roman"/>
          <w:position w:val="17"/>
          <w:sz w:val="24"/>
          <w:szCs w:val="24"/>
        </w:rPr>
        <w:t>L</w:t>
      </w:r>
      <w:r>
        <w:rPr>
          <w:rFonts w:ascii="Times New Roman" w:hAnsi="Times New Roman" w:eastAsia="Times New Roman" w:cs="Times New Roman"/>
          <w:position w:val="16"/>
          <w:sz w:val="15"/>
          <w:szCs w:val="15"/>
        </w:rPr>
        <w:t>P1i</w:t>
      </w:r>
      <w:r>
        <w:rPr>
          <w:rFonts w:ascii="Times New Roman" w:hAnsi="Times New Roman" w:eastAsia="Times New Roman" w:cs="Times New Roman"/>
          <w:position w:val="17"/>
          <w:sz w:val="24"/>
          <w:szCs w:val="24"/>
        </w:rPr>
        <w:t>(T)—</w:t>
      </w:r>
      <w:r>
        <w:rPr>
          <w:rFonts w:ascii="宋体" w:hAnsi="宋体" w:eastAsia="宋体" w:cs="宋体"/>
          <w:position w:val="17"/>
          <w:sz w:val="24"/>
          <w:szCs w:val="24"/>
        </w:rPr>
        <w:t>靠近围护结构处室内</w:t>
      </w:r>
      <w:r>
        <w:rPr>
          <w:rFonts w:ascii="宋体" w:hAnsi="宋体" w:eastAsia="宋体" w:cs="宋体"/>
          <w:spacing w:val="-63"/>
          <w:position w:val="17"/>
          <w:sz w:val="24"/>
          <w:szCs w:val="24"/>
        </w:rPr>
        <w:t xml:space="preserve"> </w:t>
      </w:r>
      <w:r>
        <w:rPr>
          <w:rFonts w:ascii="Times New Roman" w:hAnsi="Times New Roman" w:eastAsia="Times New Roman" w:cs="Times New Roman"/>
          <w:position w:val="17"/>
          <w:sz w:val="24"/>
          <w:szCs w:val="24"/>
        </w:rPr>
        <w:t xml:space="preserve">N </w:t>
      </w:r>
      <w:r>
        <w:rPr>
          <w:rFonts w:ascii="宋体" w:hAnsi="宋体" w:eastAsia="宋体" w:cs="宋体"/>
          <w:position w:val="17"/>
          <w:sz w:val="24"/>
          <w:szCs w:val="24"/>
        </w:rPr>
        <w:t>个声源</w:t>
      </w:r>
      <w:r>
        <w:rPr>
          <w:rFonts w:ascii="宋体" w:hAnsi="宋体" w:eastAsia="宋体" w:cs="宋体"/>
          <w:spacing w:val="-53"/>
          <w:position w:val="17"/>
          <w:sz w:val="24"/>
          <w:szCs w:val="24"/>
        </w:rPr>
        <w:t xml:space="preserve"> </w:t>
      </w:r>
      <w:r>
        <w:rPr>
          <w:rFonts w:ascii="Times New Roman" w:hAnsi="Times New Roman" w:eastAsia="Times New Roman" w:cs="Times New Roman"/>
          <w:position w:val="17"/>
          <w:sz w:val="24"/>
          <w:szCs w:val="24"/>
        </w:rPr>
        <w:t xml:space="preserve">i </w:t>
      </w:r>
      <w:r>
        <w:rPr>
          <w:rFonts w:ascii="宋体" w:hAnsi="宋体" w:eastAsia="宋体" w:cs="宋体"/>
          <w:position w:val="17"/>
          <w:sz w:val="24"/>
          <w:szCs w:val="24"/>
        </w:rPr>
        <w:t>倍频带的叠加声</w:t>
      </w:r>
      <w:r>
        <w:rPr>
          <w:rFonts w:ascii="宋体" w:hAnsi="宋体" w:eastAsia="宋体" w:cs="宋体"/>
          <w:spacing w:val="-1"/>
          <w:position w:val="17"/>
          <w:sz w:val="24"/>
          <w:szCs w:val="24"/>
        </w:rPr>
        <w:t>压级，</w:t>
      </w:r>
      <w:r>
        <w:rPr>
          <w:rFonts w:ascii="Times New Roman" w:hAnsi="Times New Roman" w:eastAsia="Times New Roman" w:cs="Times New Roman"/>
          <w:spacing w:val="-1"/>
          <w:position w:val="17"/>
          <w:sz w:val="24"/>
          <w:szCs w:val="24"/>
        </w:rPr>
        <w:t>dB</w:t>
      </w:r>
      <w:r>
        <w:rPr>
          <w:rFonts w:ascii="宋体" w:hAnsi="宋体" w:eastAsia="宋体" w:cs="宋体"/>
          <w:spacing w:val="-1"/>
          <w:position w:val="17"/>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P1ij</w:t>
      </w:r>
      <w:r>
        <w:rPr>
          <w:rFonts w:ascii="Times New Roman" w:hAnsi="Times New Roman" w:eastAsia="Times New Roman" w:cs="Times New Roman"/>
          <w:sz w:val="24"/>
          <w:szCs w:val="24"/>
        </w:rPr>
        <w:t>—</w:t>
      </w:r>
      <w:r>
        <w:rPr>
          <w:rFonts w:ascii="宋体" w:hAnsi="宋体" w:eastAsia="宋体" w:cs="宋体"/>
          <w:sz w:val="24"/>
          <w:szCs w:val="24"/>
        </w:rPr>
        <w:t xml:space="preserve">室内 </w:t>
      </w:r>
      <w:r>
        <w:rPr>
          <w:rFonts w:ascii="Times New Roman" w:hAnsi="Times New Roman" w:eastAsia="Times New Roman" w:cs="Times New Roman"/>
          <w:sz w:val="24"/>
          <w:szCs w:val="24"/>
        </w:rPr>
        <w:t xml:space="preserve">j  </w:t>
      </w:r>
      <w:r>
        <w:rPr>
          <w:rFonts w:ascii="宋体" w:hAnsi="宋体" w:eastAsia="宋体" w:cs="宋体"/>
          <w:sz w:val="24"/>
          <w:szCs w:val="24"/>
        </w:rPr>
        <w:t>声源</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 xml:space="preserve">i </w:t>
      </w:r>
      <w:r>
        <w:rPr>
          <w:rFonts w:ascii="宋体" w:hAnsi="宋体" w:eastAsia="宋体" w:cs="宋体"/>
          <w:sz w:val="24"/>
          <w:szCs w:val="24"/>
        </w:rPr>
        <w:t>倍频带的</w:t>
      </w:r>
      <w:r>
        <w:rPr>
          <w:rFonts w:ascii="宋体" w:hAnsi="宋体" w:eastAsia="宋体" w:cs="宋体"/>
          <w:spacing w:val="-1"/>
          <w:sz w:val="24"/>
          <w:szCs w:val="24"/>
        </w:rPr>
        <w:t>声压级，</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p>
    <w:p>
      <w:pPr>
        <w:spacing w:before="78" w:line="219" w:lineRule="auto"/>
        <w:ind w:left="477"/>
        <w:rPr>
          <w:rFonts w:ascii="宋体" w:hAnsi="宋体" w:eastAsia="宋体" w:cs="宋体"/>
          <w:sz w:val="24"/>
          <w:szCs w:val="24"/>
        </w:rPr>
      </w:pPr>
      <w:r>
        <w:rPr>
          <w:rFonts w:ascii="Times New Roman" w:hAnsi="Times New Roman" w:eastAsia="Times New Roman" w:cs="Times New Roman"/>
          <w:sz w:val="24"/>
          <w:szCs w:val="24"/>
        </w:rPr>
        <w:t>N—</w:t>
      </w:r>
      <w:r>
        <w:rPr>
          <w:rFonts w:ascii="宋体" w:hAnsi="宋体" w:eastAsia="宋体" w:cs="宋体"/>
          <w:sz w:val="24"/>
          <w:szCs w:val="24"/>
        </w:rPr>
        <w:t>室内声源总数。</w:t>
      </w:r>
    </w:p>
    <w:p>
      <w:pPr>
        <w:spacing w:before="180" w:line="219" w:lineRule="auto"/>
        <w:ind w:left="488"/>
        <w:rPr>
          <w:rFonts w:ascii="宋体" w:hAnsi="宋体" w:eastAsia="宋体" w:cs="宋体"/>
          <w:sz w:val="24"/>
          <w:szCs w:val="24"/>
        </w:rPr>
      </w:pPr>
      <w:r>
        <w:rPr>
          <w:rFonts w:ascii="宋体" w:hAnsi="宋体" w:eastAsia="宋体" w:cs="宋体"/>
          <w:sz w:val="24"/>
          <w:szCs w:val="24"/>
        </w:rPr>
        <w:t>在室内近似为扩散声场时，按以下公式计算靠近室</w:t>
      </w:r>
      <w:r>
        <w:rPr>
          <w:rFonts w:ascii="宋体" w:hAnsi="宋体" w:eastAsia="宋体" w:cs="宋体"/>
          <w:spacing w:val="-1"/>
          <w:sz w:val="24"/>
          <w:szCs w:val="24"/>
        </w:rPr>
        <w:t>外围护结构处声压级：</w:t>
      </w:r>
    </w:p>
    <w:p>
      <w:pPr>
        <w:spacing w:before="148" w:line="427" w:lineRule="exact"/>
        <w:ind w:firstLine="3559"/>
      </w:pPr>
      <w:r>
        <w:rPr>
          <w:position w:val="-8"/>
        </w:rPr>
        <w:drawing>
          <wp:inline distT="0" distB="0" distL="0" distR="0">
            <wp:extent cx="1543685" cy="271145"/>
            <wp:effectExtent l="0" t="0" r="18415" b="14605"/>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64"/>
                    <a:stretch>
                      <a:fillRect/>
                    </a:stretch>
                  </pic:blipFill>
                  <pic:spPr>
                    <a:xfrm>
                      <a:off x="0" y="0"/>
                      <a:ext cx="1543811" cy="271271"/>
                    </a:xfrm>
                    <a:prstGeom prst="rect">
                      <a:avLst/>
                    </a:prstGeom>
                  </pic:spPr>
                </pic:pic>
              </a:graphicData>
            </a:graphic>
          </wp:inline>
        </w:drawing>
      </w:r>
    </w:p>
    <w:p>
      <w:pPr>
        <w:spacing w:before="171" w:line="220" w:lineRule="auto"/>
        <w:ind w:left="494"/>
        <w:rPr>
          <w:rFonts w:ascii="宋体" w:hAnsi="宋体" w:eastAsia="宋体" w:cs="宋体"/>
          <w:sz w:val="24"/>
          <w:szCs w:val="24"/>
        </w:rPr>
      </w:pPr>
      <w:r>
        <w:rPr>
          <w:rFonts w:ascii="宋体" w:hAnsi="宋体" w:eastAsia="宋体" w:cs="宋体"/>
          <w:spacing w:val="-5"/>
          <w:sz w:val="24"/>
          <w:szCs w:val="24"/>
        </w:rPr>
        <w:t>式中：</w:t>
      </w:r>
    </w:p>
    <w:p>
      <w:pPr>
        <w:spacing w:before="182" w:line="212" w:lineRule="auto"/>
        <w:ind w:left="485"/>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P2i</w:t>
      </w:r>
      <w:r>
        <w:rPr>
          <w:rFonts w:ascii="Times New Roman" w:hAnsi="Times New Roman" w:eastAsia="Times New Roman" w:cs="Times New Roman"/>
          <w:spacing w:val="10"/>
          <w:w w:val="102"/>
          <w:position w:val="-1"/>
          <w:sz w:val="15"/>
          <w:szCs w:val="15"/>
        </w:rPr>
        <w:t xml:space="preserve"> </w:t>
      </w:r>
      <w:r>
        <w:rPr>
          <w:rFonts w:ascii="Times New Roman" w:hAnsi="Times New Roman" w:eastAsia="Times New Roman" w:cs="Times New Roman"/>
          <w:sz w:val="24"/>
          <w:szCs w:val="24"/>
        </w:rPr>
        <w:t>(T)—</w:t>
      </w:r>
      <w:r>
        <w:rPr>
          <w:rFonts w:ascii="宋体" w:hAnsi="宋体" w:eastAsia="宋体" w:cs="宋体"/>
          <w:sz w:val="24"/>
          <w:szCs w:val="24"/>
        </w:rPr>
        <w:t>靠近围护结构处室外</w:t>
      </w:r>
      <w:r>
        <w:rPr>
          <w:rFonts w:ascii="宋体" w:hAnsi="宋体" w:eastAsia="宋体" w:cs="宋体"/>
          <w:spacing w:val="-63"/>
          <w:sz w:val="24"/>
          <w:szCs w:val="24"/>
        </w:rPr>
        <w:t xml:space="preserve"> </w:t>
      </w:r>
      <w:r>
        <w:rPr>
          <w:rFonts w:ascii="Times New Roman" w:hAnsi="Times New Roman" w:eastAsia="Times New Roman" w:cs="Times New Roman"/>
          <w:sz w:val="24"/>
          <w:szCs w:val="24"/>
        </w:rPr>
        <w:t xml:space="preserve">N </w:t>
      </w:r>
      <w:r>
        <w:rPr>
          <w:rFonts w:ascii="宋体" w:hAnsi="宋体" w:eastAsia="宋体" w:cs="宋体"/>
          <w:sz w:val="24"/>
          <w:szCs w:val="24"/>
        </w:rPr>
        <w:t>个声源</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倍频带的叠加声压级，</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z w:val="24"/>
          <w:szCs w:val="24"/>
        </w:rPr>
        <w:t>）；</w:t>
      </w:r>
    </w:p>
    <w:p>
      <w:pPr>
        <w:spacing w:before="192" w:line="219" w:lineRule="auto"/>
        <w:ind w:left="487"/>
        <w:rPr>
          <w:rFonts w:ascii="宋体" w:hAnsi="宋体" w:eastAsia="宋体" w:cs="宋体"/>
          <w:sz w:val="24"/>
          <w:szCs w:val="24"/>
        </w:rPr>
      </w:pPr>
      <w:r>
        <w:rPr>
          <w:rFonts w:ascii="Times New Roman" w:hAnsi="Times New Roman" w:eastAsia="Times New Roman" w:cs="Times New Roman"/>
          <w:spacing w:val="-3"/>
          <w:sz w:val="24"/>
          <w:szCs w:val="24"/>
        </w:rPr>
        <w:t>TL</w:t>
      </w:r>
      <w:r>
        <w:rPr>
          <w:rFonts w:ascii="Times New Roman" w:hAnsi="Times New Roman" w:eastAsia="Times New Roman" w:cs="Times New Roman"/>
          <w:spacing w:val="-3"/>
          <w:position w:val="-1"/>
          <w:sz w:val="15"/>
          <w:szCs w:val="15"/>
        </w:rPr>
        <w:t>i</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围护结构</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i </w:t>
      </w:r>
      <w:r>
        <w:rPr>
          <w:rFonts w:ascii="宋体" w:hAnsi="宋体" w:eastAsia="宋体" w:cs="宋体"/>
          <w:spacing w:val="-3"/>
          <w:sz w:val="24"/>
          <w:szCs w:val="24"/>
        </w:rPr>
        <w:t>倍频带的隔声量，</w:t>
      </w:r>
      <w:r>
        <w:rPr>
          <w:rFonts w:ascii="Times New Roman" w:hAnsi="Times New Roman" w:eastAsia="Times New Roman" w:cs="Times New Roman"/>
          <w:spacing w:val="-3"/>
          <w:sz w:val="24"/>
          <w:szCs w:val="24"/>
        </w:rPr>
        <w:t>dB</w:t>
      </w:r>
      <w:r>
        <w:rPr>
          <w:rFonts w:ascii="宋体" w:hAnsi="宋体" w:eastAsia="宋体" w:cs="宋体"/>
          <w:spacing w:val="-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468" w:lineRule="exact"/>
        <w:ind w:left="488"/>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然后按以下公式将室外声源的声压级和透过面积换算成等效的室外声源，计算出中心位置位于透声面积（</w:t>
      </w:r>
      <w:r>
        <w:rPr>
          <w:rFonts w:ascii="Times New Roman" w:hAnsi="Times New Roman" w:eastAsia="Times New Roman" w:cs="Times New Roman"/>
          <w:spacing w:val="0"/>
          <w:position w:val="0"/>
          <w:sz w:val="24"/>
          <w:szCs w:val="24"/>
        </w:rPr>
        <w:t>S</w:t>
      </w:r>
      <w:r>
        <w:rPr>
          <w:rFonts w:ascii="宋体" w:hAnsi="宋体" w:eastAsia="宋体" w:cs="宋体"/>
          <w:spacing w:val="0"/>
          <w:position w:val="0"/>
          <w:sz w:val="24"/>
          <w:szCs w:val="24"/>
        </w:rPr>
        <w:t>）处的等效声源的倍频带声功率级。</w:t>
      </w:r>
    </w:p>
    <w:p>
      <w:pPr>
        <w:spacing w:before="146" w:line="408" w:lineRule="exact"/>
        <w:ind w:firstLine="3785"/>
      </w:pPr>
      <w:r>
        <w:rPr>
          <w:position w:val="-8"/>
        </w:rPr>
        <w:drawing>
          <wp:inline distT="0" distB="0" distL="0" distR="0">
            <wp:extent cx="1255395" cy="259080"/>
            <wp:effectExtent l="0" t="0" r="1905" b="762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65"/>
                    <a:stretch>
                      <a:fillRect/>
                    </a:stretch>
                  </pic:blipFill>
                  <pic:spPr>
                    <a:xfrm>
                      <a:off x="0" y="0"/>
                      <a:ext cx="1255776" cy="259080"/>
                    </a:xfrm>
                    <a:prstGeom prst="rect">
                      <a:avLst/>
                    </a:prstGeom>
                  </pic:spPr>
                </pic:pic>
              </a:graphicData>
            </a:graphic>
          </wp:inline>
        </w:drawing>
      </w:r>
    </w:p>
    <w:p>
      <w:pPr>
        <w:spacing w:before="174" w:line="466" w:lineRule="exact"/>
        <w:ind w:left="490"/>
        <w:rPr>
          <w:rFonts w:ascii="宋体" w:hAnsi="宋体" w:eastAsia="宋体" w:cs="宋体"/>
          <w:sz w:val="24"/>
          <w:szCs w:val="24"/>
        </w:rPr>
      </w:pPr>
      <w:r>
        <w:rPr>
          <w:rFonts w:ascii="宋体" w:hAnsi="宋体" w:eastAsia="宋体" w:cs="宋体"/>
          <w:spacing w:val="-1"/>
          <w:position w:val="17"/>
          <w:sz w:val="24"/>
          <w:szCs w:val="24"/>
        </w:rPr>
        <w:t>然后按室外声源预测方法计算预测点处的</w:t>
      </w:r>
      <w:r>
        <w:rPr>
          <w:rFonts w:ascii="宋体" w:hAnsi="宋体" w:eastAsia="宋体" w:cs="宋体"/>
          <w:spacing w:val="-49"/>
          <w:position w:val="17"/>
          <w:sz w:val="24"/>
          <w:szCs w:val="24"/>
        </w:rPr>
        <w:t xml:space="preserve"> </w:t>
      </w:r>
      <w:r>
        <w:rPr>
          <w:rFonts w:ascii="Times New Roman" w:hAnsi="Times New Roman" w:eastAsia="Times New Roman" w:cs="Times New Roman"/>
          <w:spacing w:val="-1"/>
          <w:position w:val="17"/>
          <w:sz w:val="24"/>
          <w:szCs w:val="24"/>
        </w:rPr>
        <w:t xml:space="preserve">A </w:t>
      </w:r>
      <w:r>
        <w:rPr>
          <w:rFonts w:ascii="宋体" w:hAnsi="宋体" w:eastAsia="宋体" w:cs="宋体"/>
          <w:spacing w:val="-1"/>
          <w:position w:val="17"/>
          <w:sz w:val="24"/>
          <w:szCs w:val="24"/>
        </w:rPr>
        <w:t>声级。</w:t>
      </w:r>
    </w:p>
    <w:p>
      <w:pPr>
        <w:spacing w:line="217" w:lineRule="auto"/>
        <w:ind w:left="487"/>
        <w:rPr>
          <w:rFonts w:ascii="宋体" w:hAnsi="宋体" w:eastAsia="宋体" w:cs="宋体"/>
          <w:sz w:val="24"/>
          <w:szCs w:val="24"/>
        </w:rPr>
      </w:pPr>
      <w:r>
        <w:rPr>
          <w:rFonts w:ascii="宋体" w:hAnsi="宋体" w:eastAsia="宋体" w:cs="宋体"/>
          <w:spacing w:val="-1"/>
          <w:sz w:val="24"/>
          <w:szCs w:val="24"/>
        </w:rPr>
        <w:t>②靠近声源处的预测点噪声预测模式</w:t>
      </w:r>
    </w:p>
    <w:p>
      <w:pPr>
        <w:spacing w:before="186" w:line="468" w:lineRule="exact"/>
        <w:jc w:val="right"/>
        <w:rPr>
          <w:rFonts w:ascii="宋体" w:hAnsi="宋体" w:eastAsia="宋体" w:cs="宋体"/>
          <w:sz w:val="24"/>
          <w:szCs w:val="24"/>
        </w:rPr>
      </w:pPr>
      <w:r>
        <w:rPr>
          <w:rFonts w:ascii="宋体" w:hAnsi="宋体" w:eastAsia="宋体" w:cs="宋体"/>
          <w:spacing w:val="-6"/>
          <w:position w:val="17"/>
          <w:sz w:val="24"/>
          <w:szCs w:val="24"/>
        </w:rPr>
        <w:t>如预测点在靠近声源处，但不能满足点声源条件时，需按线声源或面声源模式</w:t>
      </w:r>
      <w:r>
        <w:rPr>
          <w:rFonts w:ascii="宋体" w:hAnsi="宋体" w:eastAsia="宋体" w:cs="宋体"/>
          <w:spacing w:val="-7"/>
          <w:position w:val="17"/>
          <w:sz w:val="24"/>
          <w:szCs w:val="24"/>
        </w:rPr>
        <w:t>计算。</w:t>
      </w:r>
    </w:p>
    <w:p>
      <w:pPr>
        <w:spacing w:line="217" w:lineRule="auto"/>
        <w:ind w:left="487"/>
        <w:rPr>
          <w:rFonts w:ascii="宋体" w:hAnsi="宋体" w:eastAsia="宋体" w:cs="宋体"/>
          <w:sz w:val="24"/>
          <w:szCs w:val="24"/>
        </w:rPr>
      </w:pPr>
      <w:r>
        <w:rPr>
          <w:rFonts w:ascii="宋体" w:hAnsi="宋体" w:eastAsia="宋体" w:cs="宋体"/>
          <w:spacing w:val="-1"/>
          <w:sz w:val="24"/>
          <w:szCs w:val="24"/>
        </w:rPr>
        <w:t>③单个室外的点声源在预测点产生的声级计算基本公式</w:t>
      </w:r>
    </w:p>
    <w:p>
      <w:pPr>
        <w:keepNext w:val="0"/>
        <w:keepLines w:val="0"/>
        <w:pageBreakBefore w:val="0"/>
        <w:widowControl/>
        <w:kinsoku w:val="0"/>
        <w:wordWrap/>
        <w:overflowPunct/>
        <w:topLinePunct w:val="0"/>
        <w:autoSpaceDE w:val="0"/>
        <w:autoSpaceDN w:val="0"/>
        <w:bidi w:val="0"/>
        <w:adjustRightInd w:val="0"/>
        <w:snapToGrid w:val="0"/>
        <w:spacing w:before="183" w:line="468" w:lineRule="exact"/>
        <w:ind w:left="0" w:firstLine="480" w:firstLineChars="200"/>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如已知声源的倍频带声功率级（从</w:t>
      </w:r>
      <w:r>
        <w:rPr>
          <w:rFonts w:ascii="Times New Roman" w:hAnsi="Times New Roman" w:eastAsia="Times New Roman" w:cs="Times New Roman"/>
          <w:spacing w:val="0"/>
          <w:position w:val="0"/>
          <w:sz w:val="24"/>
          <w:szCs w:val="24"/>
        </w:rPr>
        <w:t>63Hz</w:t>
      </w:r>
      <w:r>
        <w:rPr>
          <w:rFonts w:ascii="宋体" w:hAnsi="宋体" w:eastAsia="宋体" w:cs="宋体"/>
          <w:spacing w:val="0"/>
          <w:position w:val="0"/>
          <w:sz w:val="24"/>
          <w:szCs w:val="24"/>
        </w:rPr>
        <w:t>到</w:t>
      </w:r>
      <w:r>
        <w:rPr>
          <w:rFonts w:ascii="Times New Roman" w:hAnsi="Times New Roman" w:eastAsia="Times New Roman" w:cs="Times New Roman"/>
          <w:spacing w:val="0"/>
          <w:position w:val="0"/>
          <w:sz w:val="24"/>
          <w:szCs w:val="24"/>
        </w:rPr>
        <w:t>8KHz</w:t>
      </w:r>
      <w:r>
        <w:rPr>
          <w:rFonts w:ascii="宋体" w:hAnsi="宋体" w:eastAsia="宋体" w:cs="宋体"/>
          <w:spacing w:val="0"/>
          <w:position w:val="0"/>
          <w:sz w:val="24"/>
          <w:szCs w:val="24"/>
        </w:rPr>
        <w:t>标称频带中心频率的</w:t>
      </w:r>
      <w:r>
        <w:rPr>
          <w:rFonts w:ascii="Times New Roman" w:hAnsi="Times New Roman" w:eastAsia="Times New Roman" w:cs="Times New Roman"/>
          <w:spacing w:val="0"/>
          <w:position w:val="0"/>
          <w:sz w:val="24"/>
          <w:szCs w:val="24"/>
        </w:rPr>
        <w:t>8</w:t>
      </w:r>
      <w:r>
        <w:rPr>
          <w:rFonts w:ascii="宋体" w:hAnsi="宋体" w:eastAsia="宋体" w:cs="宋体"/>
          <w:spacing w:val="0"/>
          <w:position w:val="0"/>
          <w:sz w:val="24"/>
          <w:szCs w:val="24"/>
        </w:rPr>
        <w:t xml:space="preserve">个倍频带）预测点位置的倍频带声压级 </w:t>
      </w:r>
      <w:r>
        <w:rPr>
          <w:rFonts w:ascii="Times New Roman" w:hAnsi="Times New Roman" w:eastAsia="Times New Roman" w:cs="Times New Roman"/>
          <w:spacing w:val="0"/>
          <w:position w:val="0"/>
          <w:sz w:val="24"/>
          <w:szCs w:val="24"/>
        </w:rPr>
        <w:t xml:space="preserve">Lp (r )  </w:t>
      </w:r>
      <w:r>
        <w:rPr>
          <w:rFonts w:ascii="宋体" w:hAnsi="宋体" w:eastAsia="宋体" w:cs="宋体"/>
          <w:spacing w:val="0"/>
          <w:position w:val="0"/>
          <w:sz w:val="24"/>
          <w:szCs w:val="24"/>
        </w:rPr>
        <w:t>可按以下公式计算：</w:t>
      </w:r>
    </w:p>
    <w:p>
      <w:pPr>
        <w:spacing w:before="129" w:line="331" w:lineRule="exact"/>
        <w:ind w:left="3679"/>
        <w:rPr>
          <w:rFonts w:ascii="Times New Roman" w:hAnsi="Times New Roman" w:eastAsia="Times New Roman" w:cs="Times New Roman"/>
          <w:sz w:val="24"/>
          <w:szCs w:val="24"/>
        </w:rPr>
      </w:pPr>
      <w:r>
        <w:rPr>
          <w:rFonts w:ascii="Times New Roman" w:hAnsi="Times New Roman" w:eastAsia="Times New Roman" w:cs="Times New Roman"/>
          <w:b/>
          <w:bCs/>
          <w:i/>
          <w:iCs/>
          <w:position w:val="4"/>
          <w:sz w:val="24"/>
          <w:szCs w:val="24"/>
        </w:rPr>
        <w:t>LP</w:t>
      </w:r>
      <w:r>
        <w:rPr>
          <w:rFonts w:ascii="Times New Roman" w:hAnsi="Times New Roman" w:eastAsia="Times New Roman" w:cs="Times New Roman"/>
          <w:b/>
          <w:bCs/>
          <w:spacing w:val="8"/>
          <w:position w:val="4"/>
          <w:sz w:val="24"/>
          <w:szCs w:val="24"/>
        </w:rPr>
        <w:t>(</w:t>
      </w:r>
      <w:r>
        <w:rPr>
          <w:rFonts w:ascii="Times New Roman" w:hAnsi="Times New Roman" w:eastAsia="Times New Roman" w:cs="Times New Roman"/>
          <w:b/>
          <w:bCs/>
          <w:i/>
          <w:iCs/>
          <w:spacing w:val="8"/>
          <w:position w:val="4"/>
          <w:sz w:val="24"/>
          <w:szCs w:val="24"/>
        </w:rPr>
        <w:t>r</w:t>
      </w:r>
      <w:r>
        <w:rPr>
          <w:rFonts w:ascii="Times New Roman" w:hAnsi="Times New Roman" w:eastAsia="Times New Roman" w:cs="Times New Roman"/>
          <w:b/>
          <w:bCs/>
          <w:spacing w:val="8"/>
          <w:position w:val="4"/>
          <w:sz w:val="24"/>
          <w:szCs w:val="24"/>
        </w:rPr>
        <w:t>)=</w:t>
      </w:r>
      <w:r>
        <w:rPr>
          <w:rFonts w:ascii="Times New Roman" w:hAnsi="Times New Roman" w:eastAsia="Times New Roman" w:cs="Times New Roman"/>
          <w:b/>
          <w:bCs/>
          <w:i/>
          <w:iCs/>
          <w:position w:val="4"/>
          <w:sz w:val="24"/>
          <w:szCs w:val="24"/>
        </w:rPr>
        <w:t>L</w:t>
      </w:r>
      <w:r>
        <w:rPr>
          <w:rFonts w:ascii="Times New Roman" w:hAnsi="Times New Roman" w:eastAsia="Times New Roman" w:cs="Times New Roman"/>
          <w:b/>
          <w:bCs/>
          <w:i/>
          <w:iCs/>
          <w:position w:val="-1"/>
          <w:sz w:val="24"/>
          <w:szCs w:val="24"/>
        </w:rPr>
        <w:t>w</w:t>
      </w:r>
      <w:r>
        <w:rPr>
          <w:rFonts w:ascii="Times New Roman" w:hAnsi="Times New Roman" w:eastAsia="Times New Roman" w:cs="Times New Roman"/>
          <w:b/>
          <w:bCs/>
          <w:spacing w:val="8"/>
          <w:position w:val="4"/>
          <w:sz w:val="24"/>
          <w:szCs w:val="24"/>
        </w:rPr>
        <w:t>+</w:t>
      </w:r>
      <w:r>
        <w:rPr>
          <w:rFonts w:ascii="Times New Roman" w:hAnsi="Times New Roman" w:eastAsia="Times New Roman" w:cs="Times New Roman"/>
          <w:b/>
          <w:bCs/>
          <w:i/>
          <w:iCs/>
          <w:position w:val="4"/>
          <w:sz w:val="24"/>
          <w:szCs w:val="24"/>
        </w:rPr>
        <w:t>D</w:t>
      </w:r>
      <w:r>
        <w:rPr>
          <w:rFonts w:ascii="Times New Roman" w:hAnsi="Times New Roman" w:eastAsia="Times New Roman" w:cs="Times New Roman"/>
          <w:b/>
          <w:bCs/>
          <w:i/>
          <w:iCs/>
          <w:position w:val="-1"/>
          <w:sz w:val="24"/>
          <w:szCs w:val="24"/>
        </w:rPr>
        <w:t>c</w:t>
      </w:r>
      <w:r>
        <w:rPr>
          <w:rFonts w:ascii="Times New Roman" w:hAnsi="Times New Roman" w:eastAsia="Times New Roman" w:cs="Times New Roman"/>
          <w:b/>
          <w:bCs/>
          <w:spacing w:val="8"/>
          <w:position w:val="4"/>
          <w:sz w:val="24"/>
          <w:szCs w:val="24"/>
        </w:rPr>
        <w:t>-</w:t>
      </w:r>
      <w:r>
        <w:rPr>
          <w:rFonts w:ascii="Times New Roman" w:hAnsi="Times New Roman" w:eastAsia="Times New Roman" w:cs="Times New Roman"/>
          <w:b/>
          <w:bCs/>
          <w:i/>
          <w:iCs/>
          <w:spacing w:val="8"/>
          <w:position w:val="4"/>
          <w:sz w:val="24"/>
          <w:szCs w:val="24"/>
        </w:rPr>
        <w:t>A</w:t>
      </w:r>
    </w:p>
    <w:p>
      <w:pPr>
        <w:spacing w:before="142" w:line="364" w:lineRule="exact"/>
        <w:ind w:left="2766"/>
        <w:rPr>
          <w:rFonts w:ascii="Times New Roman" w:hAnsi="Times New Roman" w:eastAsia="Times New Roman" w:cs="Times New Roman"/>
          <w:sz w:val="24"/>
          <w:szCs w:val="24"/>
        </w:rPr>
      </w:pPr>
      <w:r>
        <w:rPr>
          <w:rFonts w:ascii="Times New Roman" w:hAnsi="Times New Roman" w:eastAsia="Times New Roman" w:cs="Times New Roman"/>
          <w:b/>
          <w:bCs/>
          <w:i/>
          <w:iCs/>
          <w:spacing w:val="-1"/>
          <w:position w:val="6"/>
          <w:sz w:val="24"/>
          <w:szCs w:val="24"/>
        </w:rPr>
        <w:t xml:space="preserve">A </w:t>
      </w:r>
      <w:r>
        <w:rPr>
          <w:rFonts w:ascii="Times New Roman" w:hAnsi="Times New Roman" w:eastAsia="Times New Roman" w:cs="Times New Roman"/>
          <w:b/>
          <w:bCs/>
          <w:spacing w:val="-1"/>
          <w:position w:val="6"/>
          <w:sz w:val="24"/>
          <w:szCs w:val="24"/>
        </w:rPr>
        <w:t xml:space="preserve">= </w:t>
      </w:r>
      <w:r>
        <w:rPr>
          <w:rFonts w:ascii="Times New Roman" w:hAnsi="Times New Roman" w:eastAsia="Times New Roman" w:cs="Times New Roman"/>
          <w:b/>
          <w:bCs/>
          <w:i/>
          <w:iCs/>
          <w:spacing w:val="-1"/>
          <w:position w:val="4"/>
          <w:sz w:val="24"/>
          <w:szCs w:val="24"/>
        </w:rPr>
        <w:t>Adiv</w:t>
      </w:r>
      <w:r>
        <w:rPr>
          <w:rFonts w:ascii="Times New Roman" w:hAnsi="Times New Roman" w:eastAsia="Times New Roman" w:cs="Times New Roman"/>
          <w:b/>
          <w:bCs/>
          <w:spacing w:val="-1"/>
          <w:position w:val="4"/>
          <w:sz w:val="24"/>
          <w:szCs w:val="24"/>
        </w:rPr>
        <w:t>+</w:t>
      </w:r>
      <w:r>
        <w:rPr>
          <w:rFonts w:ascii="Times New Roman" w:hAnsi="Times New Roman" w:eastAsia="Times New Roman" w:cs="Times New Roman"/>
          <w:b/>
          <w:bCs/>
          <w:i/>
          <w:iCs/>
          <w:spacing w:val="-1"/>
          <w:position w:val="4"/>
          <w:sz w:val="24"/>
          <w:szCs w:val="24"/>
        </w:rPr>
        <w:t>Aatm</w:t>
      </w:r>
      <w:r>
        <w:rPr>
          <w:rFonts w:ascii="Times New Roman" w:hAnsi="Times New Roman" w:eastAsia="Times New Roman" w:cs="Times New Roman"/>
          <w:b/>
          <w:bCs/>
          <w:spacing w:val="-1"/>
          <w:position w:val="4"/>
          <w:sz w:val="24"/>
          <w:szCs w:val="24"/>
        </w:rPr>
        <w:t xml:space="preserve">+ </w:t>
      </w:r>
      <w:r>
        <w:rPr>
          <w:rFonts w:ascii="Times New Roman" w:hAnsi="Times New Roman" w:eastAsia="Times New Roman" w:cs="Times New Roman"/>
          <w:b/>
          <w:bCs/>
          <w:i/>
          <w:iCs/>
          <w:spacing w:val="-1"/>
          <w:position w:val="4"/>
          <w:sz w:val="24"/>
          <w:szCs w:val="24"/>
        </w:rPr>
        <w:t>Agr</w:t>
      </w:r>
      <w:r>
        <w:rPr>
          <w:rFonts w:ascii="Times New Roman" w:hAnsi="Times New Roman" w:eastAsia="Times New Roman" w:cs="Times New Roman"/>
          <w:b/>
          <w:bCs/>
          <w:spacing w:val="-1"/>
          <w:position w:val="4"/>
          <w:sz w:val="24"/>
          <w:szCs w:val="24"/>
        </w:rPr>
        <w:t>+</w:t>
      </w:r>
      <w:r>
        <w:rPr>
          <w:rFonts w:ascii="Times New Roman" w:hAnsi="Times New Roman" w:eastAsia="Times New Roman" w:cs="Times New Roman"/>
          <w:b/>
          <w:bCs/>
          <w:i/>
          <w:iCs/>
          <w:spacing w:val="-1"/>
          <w:position w:val="4"/>
          <w:sz w:val="24"/>
          <w:szCs w:val="24"/>
        </w:rPr>
        <w:t>Abar</w:t>
      </w:r>
      <w:r>
        <w:rPr>
          <w:rFonts w:ascii="Times New Roman" w:hAnsi="Times New Roman" w:eastAsia="Times New Roman" w:cs="Times New Roman"/>
          <w:b/>
          <w:bCs/>
          <w:spacing w:val="-1"/>
          <w:position w:val="4"/>
          <w:sz w:val="24"/>
          <w:szCs w:val="24"/>
        </w:rPr>
        <w:t xml:space="preserve">+ </w:t>
      </w:r>
      <w:r>
        <w:rPr>
          <w:rFonts w:ascii="Times New Roman" w:hAnsi="Times New Roman" w:eastAsia="Times New Roman" w:cs="Times New Roman"/>
          <w:b/>
          <w:bCs/>
          <w:i/>
          <w:iCs/>
          <w:spacing w:val="-1"/>
          <w:position w:val="4"/>
          <w:sz w:val="24"/>
          <w:szCs w:val="24"/>
        </w:rPr>
        <w:t>Amisc</w:t>
      </w:r>
    </w:p>
    <w:p>
      <w:pPr>
        <w:keepNext w:val="0"/>
        <w:keepLines w:val="0"/>
        <w:pageBreakBefore w:val="0"/>
        <w:widowControl/>
        <w:kinsoku w:val="0"/>
        <w:wordWrap/>
        <w:overflowPunct/>
        <w:topLinePunct w:val="0"/>
        <w:autoSpaceDE w:val="0"/>
        <w:autoSpaceDN w:val="0"/>
        <w:bidi w:val="0"/>
        <w:adjustRightInd w:val="0"/>
        <w:snapToGrid w:val="0"/>
        <w:spacing w:before="175" w:line="360" w:lineRule="auto"/>
        <w:ind w:left="494"/>
        <w:textAlignment w:val="baseline"/>
        <w:rPr>
          <w:rFonts w:ascii="宋体" w:hAnsi="宋体" w:eastAsia="宋体" w:cs="宋体"/>
          <w:sz w:val="24"/>
          <w:szCs w:val="24"/>
        </w:rPr>
      </w:pPr>
      <w:r>
        <w:rPr>
          <w:rFonts w:ascii="宋体" w:hAnsi="宋体" w:eastAsia="宋体" w:cs="宋体"/>
          <w:spacing w:val="-5"/>
          <w:sz w:val="24"/>
          <w:szCs w:val="24"/>
        </w:rPr>
        <w:t>式中：</w:t>
      </w:r>
    </w:p>
    <w:p>
      <w:pPr>
        <w:keepNext w:val="0"/>
        <w:keepLines w:val="0"/>
        <w:pageBreakBefore w:val="0"/>
        <w:widowControl/>
        <w:kinsoku w:val="0"/>
        <w:wordWrap/>
        <w:overflowPunct/>
        <w:topLinePunct w:val="0"/>
        <w:autoSpaceDE w:val="0"/>
        <w:autoSpaceDN w:val="0"/>
        <w:bidi w:val="0"/>
        <w:adjustRightInd w:val="0"/>
        <w:snapToGrid w:val="0"/>
        <w:spacing w:before="182" w:line="360" w:lineRule="auto"/>
        <w:ind w:left="485"/>
        <w:textAlignment w:val="baseline"/>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w</w:t>
      </w:r>
      <w:r>
        <w:rPr>
          <w:rFonts w:ascii="Times New Roman" w:hAnsi="Times New Roman" w:eastAsia="Times New Roman" w:cs="Times New Roman"/>
          <w:spacing w:val="18"/>
          <w:position w:val="-1"/>
          <w:sz w:val="15"/>
          <w:szCs w:val="15"/>
        </w:rPr>
        <w:t xml:space="preserve"> </w:t>
      </w:r>
      <w:r>
        <w:rPr>
          <w:rFonts w:ascii="Times New Roman" w:hAnsi="Times New Roman" w:eastAsia="Times New Roman" w:cs="Times New Roman"/>
          <w:sz w:val="24"/>
          <w:szCs w:val="24"/>
        </w:rPr>
        <w:t>—</w:t>
      </w:r>
      <w:r>
        <w:rPr>
          <w:rFonts w:ascii="宋体" w:hAnsi="宋体" w:eastAsia="宋体" w:cs="宋体"/>
          <w:sz w:val="24"/>
          <w:szCs w:val="24"/>
        </w:rPr>
        <w:t>倍频带声功率级，</w:t>
      </w:r>
      <w:r>
        <w:rPr>
          <w:rFonts w:ascii="Times New Roman" w:hAnsi="Times New Roman" w:eastAsia="Times New Roman" w:cs="Times New Roman"/>
          <w:sz w:val="24"/>
          <w:szCs w:val="24"/>
        </w:rPr>
        <w:t>dB</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81" w:line="360" w:lineRule="auto"/>
        <w:ind w:left="21" w:right="80" w:firstLine="462"/>
        <w:textAlignment w:val="baseline"/>
        <w:rPr>
          <w:rFonts w:ascii="宋体" w:hAnsi="宋体" w:eastAsia="宋体" w:cs="宋体"/>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2"/>
          <w:position w:val="-1"/>
          <w:sz w:val="15"/>
          <w:szCs w:val="15"/>
        </w:rPr>
        <w:t>c</w:t>
      </w:r>
      <w:r>
        <w:rPr>
          <w:rFonts w:ascii="Times New Roman" w:hAnsi="Times New Roman" w:eastAsia="Times New Roman" w:cs="Times New Roman"/>
          <w:spacing w:val="-2"/>
          <w:sz w:val="24"/>
          <w:szCs w:val="24"/>
        </w:rPr>
        <w:t>—</w:t>
      </w:r>
      <w:r>
        <w:rPr>
          <w:rFonts w:ascii="宋体" w:hAnsi="宋体" w:eastAsia="宋体" w:cs="宋体"/>
          <w:spacing w:val="-2"/>
          <w:sz w:val="24"/>
          <w:szCs w:val="24"/>
        </w:rPr>
        <w:t>指向性校正，</w:t>
      </w:r>
      <w:r>
        <w:rPr>
          <w:rFonts w:ascii="Times New Roman" w:hAnsi="Times New Roman" w:eastAsia="Times New Roman" w:cs="Times New Roman"/>
          <w:spacing w:val="-2"/>
          <w:sz w:val="24"/>
          <w:szCs w:val="24"/>
        </w:rPr>
        <w:t>dB</w:t>
      </w:r>
      <w:r>
        <w:rPr>
          <w:rFonts w:ascii="宋体" w:hAnsi="宋体" w:eastAsia="宋体" w:cs="宋体"/>
          <w:spacing w:val="-2"/>
          <w:sz w:val="24"/>
          <w:szCs w:val="24"/>
        </w:rPr>
        <w:t>；它描述点声源的等效连</w:t>
      </w:r>
      <w:r>
        <w:rPr>
          <w:rFonts w:ascii="宋体" w:hAnsi="宋体" w:eastAsia="宋体" w:cs="宋体"/>
          <w:spacing w:val="-3"/>
          <w:sz w:val="24"/>
          <w:szCs w:val="24"/>
        </w:rPr>
        <w:t>续声压级与产生声功率级</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Lw</w:t>
      </w:r>
      <w:r>
        <w:rPr>
          <w:rFonts w:ascii="Times New Roman" w:hAnsi="Times New Roman" w:eastAsia="Times New Roman" w:cs="Times New Roman"/>
          <w:spacing w:val="31"/>
          <w:w w:val="101"/>
          <w:sz w:val="24"/>
          <w:szCs w:val="24"/>
        </w:rPr>
        <w:t xml:space="preserve"> </w:t>
      </w:r>
      <w:r>
        <w:rPr>
          <w:rFonts w:ascii="宋体" w:hAnsi="宋体" w:eastAsia="宋体" w:cs="宋体"/>
          <w:spacing w:val="-3"/>
          <w:sz w:val="24"/>
          <w:szCs w:val="24"/>
        </w:rPr>
        <w:t>的全向</w:t>
      </w:r>
      <w:r>
        <w:rPr>
          <w:rFonts w:ascii="宋体" w:hAnsi="宋体" w:eastAsia="宋体" w:cs="宋体"/>
          <w:sz w:val="24"/>
          <w:szCs w:val="24"/>
        </w:rPr>
        <w:t xml:space="preserve"> </w:t>
      </w:r>
      <w:r>
        <w:rPr>
          <w:rFonts w:ascii="宋体" w:hAnsi="宋体" w:eastAsia="宋体" w:cs="宋体"/>
          <w:spacing w:val="-1"/>
          <w:sz w:val="24"/>
          <w:szCs w:val="24"/>
        </w:rPr>
        <w:t>点声源在规定方向的级的偏差程度。指向性校正等于点声源的指向性指数</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DI </w:t>
      </w:r>
      <w:r>
        <w:rPr>
          <w:rFonts w:ascii="宋体" w:hAnsi="宋体" w:eastAsia="宋体" w:cs="宋体"/>
          <w:spacing w:val="-1"/>
          <w:sz w:val="24"/>
          <w:szCs w:val="24"/>
        </w:rPr>
        <w:t>加上计到</w:t>
      </w:r>
      <w:r>
        <w:rPr>
          <w:rFonts w:ascii="宋体" w:hAnsi="宋体" w:eastAsia="宋体" w:cs="宋体"/>
          <w:spacing w:val="-2"/>
          <w:sz w:val="24"/>
          <w:szCs w:val="24"/>
        </w:rPr>
        <w:t>小于</w:t>
      </w:r>
      <w:r>
        <w:rPr>
          <w:rFonts w:ascii="Times New Roman" w:hAnsi="Times New Roman" w:eastAsia="Times New Roman" w:cs="Times New Roman"/>
          <w:spacing w:val="-2"/>
          <w:sz w:val="24"/>
          <w:szCs w:val="24"/>
        </w:rPr>
        <w:t>4π</w:t>
      </w:r>
      <w:r>
        <w:rPr>
          <w:rFonts w:ascii="宋体" w:hAnsi="宋体" w:eastAsia="宋体" w:cs="宋体"/>
          <w:spacing w:val="-2"/>
          <w:sz w:val="24"/>
          <w:szCs w:val="24"/>
        </w:rPr>
        <w:t>球面度（</w:t>
      </w:r>
      <w:r>
        <w:rPr>
          <w:rFonts w:ascii="Times New Roman" w:hAnsi="Times New Roman" w:eastAsia="Times New Roman" w:cs="Times New Roman"/>
          <w:spacing w:val="-2"/>
          <w:sz w:val="24"/>
          <w:szCs w:val="24"/>
        </w:rPr>
        <w:t>sr</w:t>
      </w:r>
      <w:r>
        <w:rPr>
          <w:rFonts w:ascii="宋体" w:hAnsi="宋体" w:eastAsia="宋体" w:cs="宋体"/>
          <w:spacing w:val="-2"/>
          <w:sz w:val="24"/>
          <w:szCs w:val="24"/>
        </w:rPr>
        <w:t>）立体角内的声传播指数</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DΩ</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。对辐射到自由空间的全向点声源，</w:t>
      </w:r>
      <w:r>
        <w:rPr>
          <w:rFonts w:ascii="Times New Roman" w:hAnsi="Times New Roman" w:eastAsia="Times New Roman" w:cs="Times New Roman"/>
          <w:spacing w:val="-1"/>
          <w:position w:val="2"/>
          <w:sz w:val="24"/>
          <w:szCs w:val="24"/>
        </w:rPr>
        <w:t>Dc=0dB</w:t>
      </w:r>
      <w:r>
        <w:rPr>
          <w:rFonts w:ascii="宋体" w:hAnsi="宋体" w:eastAsia="宋体" w:cs="宋体"/>
          <w:spacing w:val="-1"/>
          <w:position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88" w:line="360" w:lineRule="auto"/>
        <w:ind w:left="482"/>
        <w:textAlignment w:val="baseline"/>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倍频带衰减，</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83" w:line="360" w:lineRule="auto"/>
        <w:ind w:left="482"/>
        <w:textAlignment w:val="baseline"/>
        <w:rPr>
          <w:rFonts w:ascii="宋体" w:hAnsi="宋体" w:eastAsia="宋体" w:cs="宋体"/>
          <w:sz w:val="24"/>
          <w:szCs w:val="24"/>
        </w:rPr>
      </w:pPr>
      <w:r>
        <w:rPr>
          <w:rFonts w:ascii="Times New Roman" w:hAnsi="Times New Roman" w:eastAsia="Times New Roman" w:cs="Times New Roman"/>
          <w:position w:val="17"/>
          <w:sz w:val="24"/>
          <w:szCs w:val="24"/>
        </w:rPr>
        <w:t>A</w:t>
      </w:r>
      <w:r>
        <w:rPr>
          <w:rFonts w:ascii="Times New Roman" w:hAnsi="Times New Roman" w:eastAsia="Times New Roman" w:cs="Times New Roman"/>
          <w:position w:val="16"/>
          <w:sz w:val="15"/>
          <w:szCs w:val="15"/>
        </w:rPr>
        <w:t>div</w:t>
      </w:r>
      <w:r>
        <w:rPr>
          <w:rFonts w:ascii="Times New Roman" w:hAnsi="Times New Roman" w:eastAsia="Times New Roman" w:cs="Times New Roman"/>
          <w:spacing w:val="23"/>
          <w:w w:val="102"/>
          <w:position w:val="16"/>
          <w:sz w:val="15"/>
          <w:szCs w:val="15"/>
        </w:rPr>
        <w:t xml:space="preserve"> </w:t>
      </w:r>
      <w:r>
        <w:rPr>
          <w:rFonts w:ascii="Times New Roman" w:hAnsi="Times New Roman" w:eastAsia="Times New Roman" w:cs="Times New Roman"/>
          <w:position w:val="17"/>
          <w:sz w:val="24"/>
          <w:szCs w:val="24"/>
        </w:rPr>
        <w:t>—</w:t>
      </w:r>
      <w:r>
        <w:rPr>
          <w:rFonts w:ascii="宋体" w:hAnsi="宋体" w:eastAsia="宋体" w:cs="宋体"/>
          <w:position w:val="17"/>
          <w:sz w:val="24"/>
          <w:szCs w:val="24"/>
        </w:rPr>
        <w:t>几何发散引起的倍频带衰减，</w:t>
      </w:r>
      <w:r>
        <w:rPr>
          <w:rFonts w:ascii="Times New Roman" w:hAnsi="Times New Roman" w:eastAsia="Times New Roman" w:cs="Times New Roman"/>
          <w:position w:val="17"/>
          <w:sz w:val="24"/>
          <w:szCs w:val="24"/>
        </w:rPr>
        <w:t>dB</w:t>
      </w:r>
      <w:r>
        <w:rPr>
          <w:rFonts w:ascii="宋体" w:hAnsi="宋体" w:eastAsia="宋体" w:cs="宋体"/>
          <w:position w:val="17"/>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left="482"/>
        <w:textAlignment w:val="baseline"/>
        <w:rPr>
          <w:rFonts w:ascii="宋体" w:hAnsi="宋体" w:eastAsia="宋体" w:cs="宋体"/>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atm</w:t>
      </w:r>
      <w:r>
        <w:rPr>
          <w:rFonts w:ascii="Times New Roman" w:hAnsi="Times New Roman" w:eastAsia="Times New Roman" w:cs="Times New Roman"/>
          <w:spacing w:val="26"/>
          <w:w w:val="101"/>
          <w:position w:val="-1"/>
          <w:sz w:val="15"/>
          <w:szCs w:val="15"/>
        </w:rPr>
        <w:t xml:space="preserve"> </w:t>
      </w:r>
      <w:r>
        <w:rPr>
          <w:rFonts w:ascii="Times New Roman" w:hAnsi="Times New Roman" w:eastAsia="Times New Roman" w:cs="Times New Roman"/>
          <w:sz w:val="24"/>
          <w:szCs w:val="24"/>
        </w:rPr>
        <w:t>—</w:t>
      </w:r>
      <w:r>
        <w:rPr>
          <w:rFonts w:ascii="宋体" w:hAnsi="宋体" w:eastAsia="宋体" w:cs="宋体"/>
          <w:sz w:val="24"/>
          <w:szCs w:val="24"/>
        </w:rPr>
        <w:t>大气吸收引起的倍频带衰减，</w:t>
      </w:r>
      <w:r>
        <w:rPr>
          <w:rFonts w:ascii="Times New Roman" w:hAnsi="Times New Roman" w:eastAsia="Times New Roman" w:cs="Times New Roman"/>
          <w:sz w:val="24"/>
          <w:szCs w:val="24"/>
        </w:rPr>
        <w:t>dB</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82"/>
        <w:textAlignment w:val="baseline"/>
        <w:rPr>
          <w:rFonts w:ascii="宋体" w:hAnsi="宋体" w:eastAsia="宋体" w:cs="宋体"/>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gr</w:t>
      </w:r>
      <w:r>
        <w:rPr>
          <w:rFonts w:ascii="Times New Roman" w:hAnsi="Times New Roman" w:eastAsia="Times New Roman" w:cs="Times New Roman"/>
          <w:sz w:val="24"/>
          <w:szCs w:val="24"/>
        </w:rPr>
        <w:t>—</w:t>
      </w:r>
      <w:r>
        <w:rPr>
          <w:rFonts w:ascii="宋体" w:hAnsi="宋体" w:eastAsia="宋体" w:cs="宋体"/>
          <w:sz w:val="24"/>
          <w:szCs w:val="24"/>
        </w:rPr>
        <w:t>地面效应引起的倍频带衰减，</w:t>
      </w:r>
      <w:r>
        <w:rPr>
          <w:rFonts w:ascii="Times New Roman" w:hAnsi="Times New Roman" w:eastAsia="Times New Roman" w:cs="Times New Roman"/>
          <w:sz w:val="24"/>
          <w:szCs w:val="24"/>
        </w:rPr>
        <w:t>dB</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2"/>
        <w:textAlignment w:val="baseline"/>
        <w:rPr>
          <w:rFonts w:ascii="宋体" w:hAnsi="宋体" w:eastAsia="宋体" w:cs="宋体"/>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bar</w:t>
      </w:r>
      <w:r>
        <w:rPr>
          <w:rFonts w:ascii="Times New Roman" w:hAnsi="Times New Roman" w:eastAsia="Times New Roman" w:cs="Times New Roman"/>
          <w:spacing w:val="24"/>
          <w:position w:val="-1"/>
          <w:sz w:val="15"/>
          <w:szCs w:val="15"/>
        </w:rPr>
        <w:t xml:space="preserve"> </w:t>
      </w:r>
      <w:r>
        <w:rPr>
          <w:rFonts w:ascii="Times New Roman" w:hAnsi="Times New Roman" w:eastAsia="Times New Roman" w:cs="Times New Roman"/>
          <w:sz w:val="24"/>
          <w:szCs w:val="24"/>
        </w:rPr>
        <w:t>—</w:t>
      </w:r>
      <w:r>
        <w:rPr>
          <w:rFonts w:ascii="宋体" w:hAnsi="宋体" w:eastAsia="宋体" w:cs="宋体"/>
          <w:sz w:val="24"/>
          <w:szCs w:val="24"/>
        </w:rPr>
        <w:t>声屏障引起的倍频带衰减，</w:t>
      </w:r>
      <w:r>
        <w:rPr>
          <w:rFonts w:ascii="Times New Roman" w:hAnsi="Times New Roman" w:eastAsia="Times New Roman" w:cs="Times New Roman"/>
          <w:sz w:val="24"/>
          <w:szCs w:val="24"/>
        </w:rPr>
        <w:t>dB</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misc</w:t>
      </w:r>
      <w:r>
        <w:rPr>
          <w:rFonts w:ascii="Times New Roman" w:hAnsi="Times New Roman" w:eastAsia="Times New Roman" w:cs="Times New Roman"/>
          <w:sz w:val="24"/>
          <w:szCs w:val="24"/>
        </w:rPr>
        <w:t>—</w:t>
      </w:r>
      <w:r>
        <w:rPr>
          <w:rFonts w:ascii="宋体" w:hAnsi="宋体" w:eastAsia="宋体" w:cs="宋体"/>
          <w:sz w:val="24"/>
          <w:szCs w:val="24"/>
        </w:rPr>
        <w:t>其他多方面效应引起的倍频带衰减，</w:t>
      </w:r>
      <w:r>
        <w:rPr>
          <w:rFonts w:ascii="Times New Roman" w:hAnsi="Times New Roman" w:eastAsia="Times New Roman" w:cs="Times New Roman"/>
          <w:sz w:val="24"/>
          <w:szCs w:val="24"/>
        </w:rPr>
        <w:t>dB</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衰减项计算按导则 8.3.3-8.3.7 相关模式计算。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如已知靠近声源处某点的倍频带声压级时，相同方向预测点位置的倍频带声压级可按下式计算：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198880" cy="263525"/>
            <wp:effectExtent l="0" t="0" r="1270" b="3175"/>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66"/>
                    <a:stretch>
                      <a:fillRect/>
                    </a:stretch>
                  </pic:blipFill>
                  <pic:spPr>
                    <a:xfrm>
                      <a:off x="0" y="0"/>
                      <a:ext cx="1199388" cy="263652"/>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预测点的 A 声级，可利用 8 个倍频带的声压级按下式计算：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788795" cy="434340"/>
            <wp:effectExtent l="0" t="0" r="1905" b="381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67"/>
                    <a:stretch>
                      <a:fillRect/>
                    </a:stretch>
                  </pic:blipFill>
                  <pic:spPr>
                    <a:xfrm>
                      <a:off x="0" y="0"/>
                      <a:ext cx="1789176" cy="43434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式中：</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LPi(r)—预测点（r ）处，第 i 倍频带声压级，dB；</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ΔLi—i 倍频带 A 计权网络修正值，dB（见导则附录 B）。</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在不能取得声源倍频带声功率级或倍频带声压级，只能获得 A 声功率级或某点的 A声级时，可按以下公式作近似计算：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185545" cy="217805"/>
            <wp:effectExtent l="0" t="0" r="14605" b="1079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68"/>
                    <a:stretch>
                      <a:fillRect/>
                    </a:stretch>
                  </pic:blipFill>
                  <pic:spPr>
                    <a:xfrm>
                      <a:off x="0" y="0"/>
                      <a:ext cx="1185671" cy="217932"/>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hint="default" w:ascii="Times New Roman" w:hAnsi="Times New Roman" w:cs="Times New Roman"/>
          <w:sz w:val="24"/>
          <w:szCs w:val="24"/>
        </w:rPr>
      </w:pPr>
      <w:r>
        <w:rPr>
          <w:rFonts w:hint="default" w:ascii="Times New Roman" w:hAnsi="Times New Roman" w:cs="Times New Roman"/>
          <w:sz w:val="24"/>
          <w:szCs w:val="24"/>
        </w:rPr>
        <w:t xml:space="preserve">或 </w:t>
      </w:r>
      <w:r>
        <w:rPr>
          <w:rFonts w:hint="default" w:ascii="Times New Roman" w:hAnsi="Times New Roman" w:cs="Times New Roman"/>
          <w:sz w:val="24"/>
          <w:szCs w:val="24"/>
        </w:rPr>
        <w:drawing>
          <wp:inline distT="0" distB="0" distL="0" distR="0">
            <wp:extent cx="1089025" cy="200660"/>
            <wp:effectExtent l="0" t="0" r="15875" b="8890"/>
            <wp:docPr id="36" name="IM 142"/>
            <wp:cNvGraphicFramePr/>
            <a:graphic xmlns:a="http://schemas.openxmlformats.org/drawingml/2006/main">
              <a:graphicData uri="http://schemas.openxmlformats.org/drawingml/2006/picture">
                <pic:pic xmlns:pic="http://schemas.openxmlformats.org/drawingml/2006/picture">
                  <pic:nvPicPr>
                    <pic:cNvPr id="36" name="IM 142"/>
                    <pic:cNvPicPr/>
                  </pic:nvPicPr>
                  <pic:blipFill>
                    <a:blip r:embed="rId69"/>
                    <a:stretch>
                      <a:fillRect/>
                    </a:stretch>
                  </pic:blipFill>
                  <pic:spPr>
                    <a:xfrm>
                      <a:off x="0" y="0"/>
                      <a:ext cx="1089659" cy="201167"/>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A 可选择对 A 声级影响最大的倍频带计算，一般可选中心频率为 500Hz 的倍频带作估算。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④噪声贡献值计算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设第 i 个室外声源在预测点产生的 A 声级为 LAi，在 T  时间内该声源工作时间为 ti； 第j 个等效室外声源在预测点产生的 A 声级为 LAj ，在 T  时间内该声源工作时间为 tj，则拟建工程声源对预测点产生的贡献值（Leqg）为：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844800" cy="382270"/>
            <wp:effectExtent l="0" t="0" r="12700" b="17780"/>
            <wp:docPr id="37" name="IM 144"/>
            <wp:cNvGraphicFramePr/>
            <a:graphic xmlns:a="http://schemas.openxmlformats.org/drawingml/2006/main">
              <a:graphicData uri="http://schemas.openxmlformats.org/drawingml/2006/picture">
                <pic:pic xmlns:pic="http://schemas.openxmlformats.org/drawingml/2006/picture">
                  <pic:nvPicPr>
                    <pic:cNvPr id="37" name="IM 144"/>
                    <pic:cNvPicPr/>
                  </pic:nvPicPr>
                  <pic:blipFill>
                    <a:blip r:embed="rId70"/>
                    <a:stretch>
                      <a:fillRect/>
                    </a:stretch>
                  </pic:blipFill>
                  <pic:spPr>
                    <a:xfrm>
                      <a:off x="0" y="0"/>
                      <a:ext cx="2845307" cy="382523"/>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式中：</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tj—在 T 时间内 j 声源工作时间，s；</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ti—在 T 时间内 i 声源工作时间，s；</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T—用于计算等效声级的时间，s；</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N—室外声源个数；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M—等效室外声源个数。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⑤预测点的预测等效声级计算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考虑到背景噪声的影响，受声点声压级预测值 Leq 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783080" cy="217805"/>
            <wp:effectExtent l="0" t="0" r="7620" b="10795"/>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1"/>
                    <a:stretch>
                      <a:fillRect/>
                    </a:stretch>
                  </pic:blipFill>
                  <pic:spPr>
                    <a:xfrm>
                      <a:off x="0" y="0"/>
                      <a:ext cx="1783500" cy="21820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式中：</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Leq—建设项目声源在预测点的等效声级贡献值，dB(A)；</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Leqb—预测点的背景值，dB(A)。</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"4.2.4.3" </w:instrText>
      </w:r>
      <w:r>
        <w:rPr>
          <w:rFonts w:hint="default" w:ascii="Times New Roman" w:hAnsi="Times New Roman" w:cs="Times New Roman"/>
          <w:b/>
          <w:bCs/>
          <w:sz w:val="24"/>
          <w:szCs w:val="24"/>
        </w:rPr>
        <w:fldChar w:fldCharType="separate"/>
      </w:r>
      <w:r>
        <w:rPr>
          <w:rFonts w:hint="eastAsia" w:ascii="Times New Roman" w:hAnsi="Times New Roman" w:eastAsia="宋体" w:cs="Times New Roman"/>
          <w:b/>
          <w:bCs/>
          <w:sz w:val="24"/>
          <w:szCs w:val="24"/>
          <w:lang w:val="en-US" w:eastAsia="zh-CN"/>
        </w:rPr>
        <w:t>5</w:t>
      </w:r>
      <w:r>
        <w:rPr>
          <w:rFonts w:hint="default" w:ascii="Times New Roman" w:hAnsi="Times New Roman" w:cs="Times New Roman"/>
          <w:b/>
          <w:bCs/>
          <w:sz w:val="24"/>
          <w:szCs w:val="24"/>
        </w:rPr>
        <w:t>.2.4.3</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t xml:space="preserve"> 预测结果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textAlignment w:val="baseline"/>
        <w:rPr>
          <w:rFonts w:ascii="宋体" w:hAnsi="宋体" w:eastAsia="宋体" w:cs="宋体"/>
          <w:spacing w:val="-2"/>
          <w:sz w:val="24"/>
          <w:szCs w:val="24"/>
          <w:u w:val="single"/>
        </w:rPr>
      </w:pPr>
      <w:r>
        <w:rPr>
          <w:rFonts w:ascii="宋体" w:hAnsi="宋体" w:eastAsia="宋体" w:cs="宋体"/>
          <w:spacing w:val="-2"/>
          <w:sz w:val="24"/>
          <w:szCs w:val="24"/>
          <w:u w:val="single"/>
        </w:rPr>
        <w:t>由于企业对产噪设备和装置采取减振、消声、隔声等降噪措施，将使噪声源的噪声影响大大降低，且噪声源强距厂界均有一定距离，能有效降低对厂界的影响，对于运输车辆要加强管理，运输时间尽量安排在昼间，禁止鸣笛。</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rPr>
        <w:t>本次预测评价采用EIAN20，</w:t>
      </w:r>
      <w:r>
        <w:rPr>
          <w:rFonts w:hint="eastAsia" w:ascii="Times New Roman" w:hAnsi="Times New Roman" w:eastAsia="宋体" w:cs="Times New Roman"/>
          <w:sz w:val="24"/>
          <w:szCs w:val="24"/>
          <w:u w:val="single"/>
          <w:lang w:eastAsia="zh-CN"/>
        </w:rPr>
        <w:t>预测本项目运行过程中的厂界噪声和对周围声环境敏感点的影响</w:t>
      </w:r>
      <w:r>
        <w:rPr>
          <w:rFonts w:hint="default" w:ascii="Times New Roman" w:hAnsi="Times New Roman" w:cs="Times New Roman"/>
          <w:sz w:val="24"/>
          <w:szCs w:val="24"/>
          <w:u w:val="single"/>
        </w:rPr>
        <w:t>。</w:t>
      </w:r>
      <w:r>
        <w:rPr>
          <w:rFonts w:hint="eastAsia" w:ascii="Times New Roman" w:hAnsi="Times New Roman" w:eastAsia="宋体" w:cs="Times New Roman"/>
          <w:sz w:val="24"/>
          <w:szCs w:val="24"/>
          <w:u w:val="single"/>
          <w:lang w:eastAsia="zh-CN"/>
        </w:rPr>
        <w:t>本项目夜间（</w:t>
      </w:r>
      <w:r>
        <w:rPr>
          <w:rFonts w:hint="eastAsia" w:ascii="Times New Roman" w:hAnsi="Times New Roman" w:eastAsia="宋体" w:cs="Times New Roman"/>
          <w:sz w:val="24"/>
          <w:szCs w:val="24"/>
          <w:u w:val="single"/>
          <w:lang w:val="en-US" w:eastAsia="zh-CN"/>
        </w:rPr>
        <w:t>22:00-06:00</w:t>
      </w:r>
      <w:r>
        <w:rPr>
          <w:rFonts w:hint="eastAsia" w:ascii="Times New Roman" w:hAnsi="Times New Roman" w:eastAsia="宋体" w:cs="Times New Roman"/>
          <w:sz w:val="24"/>
          <w:szCs w:val="24"/>
          <w:u w:val="single"/>
          <w:lang w:eastAsia="zh-CN"/>
        </w:rPr>
        <w:t>）不生产。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）厂界</w:t>
      </w:r>
      <w:r>
        <w:rPr>
          <w:rFonts w:hint="default" w:ascii="Times New Roman" w:hAnsi="Times New Roman" w:cs="Times New Roman"/>
          <w:sz w:val="24"/>
          <w:szCs w:val="24"/>
        </w:rPr>
        <w:t>预测结果见表</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w:t>
      </w:r>
      <w:r>
        <w:rPr>
          <w:rFonts w:hint="eastAsia" w:ascii="Times New Roman" w:hAnsi="Times New Roman" w:eastAsia="宋体" w:cs="Times New Roman"/>
          <w:sz w:val="24"/>
          <w:szCs w:val="24"/>
          <w:lang w:val="en-US" w:eastAsia="zh-CN"/>
        </w:rPr>
        <w:t>35</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w:t>
      </w:r>
      <w:r>
        <w:rPr>
          <w:rFonts w:hint="default" w:ascii="Times New Roman" w:hAnsi="Times New Roman" w:cs="Times New Roman"/>
          <w:b/>
          <w:bCs/>
          <w:sz w:val="24"/>
          <w:szCs w:val="24"/>
          <w:lang w:val="en-US" w:eastAsia="zh-CN"/>
        </w:rPr>
        <w:t>5</w:t>
      </w:r>
      <w:r>
        <w:rPr>
          <w:rFonts w:hint="default" w:ascii="Times New Roman" w:hAnsi="Times New Roman" w:cs="Times New Roman"/>
          <w:b/>
          <w:bCs/>
          <w:sz w:val="24"/>
          <w:szCs w:val="24"/>
        </w:rPr>
        <w:t>-</w:t>
      </w:r>
      <w:r>
        <w:rPr>
          <w:rFonts w:hint="default" w:ascii="Times New Roman" w:hAnsi="Times New Roman" w:cs="Times New Roman"/>
          <w:b/>
          <w:bCs/>
          <w:sz w:val="24"/>
          <w:szCs w:val="24"/>
          <w:lang w:val="en-US" w:eastAsia="zh-CN"/>
        </w:rPr>
        <w:t>3</w:t>
      </w:r>
      <w:r>
        <w:rPr>
          <w:rFonts w:hint="eastAsia" w:ascii="Times New Roman" w:hAnsi="Times New Roman" w:cs="Times New Roman"/>
          <w:b/>
          <w:bCs/>
          <w:sz w:val="24"/>
          <w:szCs w:val="24"/>
          <w:lang w:val="en-US" w:eastAsia="zh-CN"/>
        </w:rPr>
        <w:t>5</w:t>
      </w:r>
      <w:r>
        <w:rPr>
          <w:rFonts w:hint="default" w:ascii="Times New Roman" w:hAnsi="Times New Roman" w:cs="Times New Roman"/>
          <w:b/>
          <w:bCs/>
          <w:sz w:val="24"/>
          <w:szCs w:val="24"/>
        </w:rPr>
        <w:t xml:space="preserve">                  厂界噪声预测结果         单位：dB(A)</w:t>
      </w:r>
    </w:p>
    <w:p>
      <w:pPr>
        <w:spacing w:line="24" w:lineRule="auto"/>
        <w:rPr>
          <w:rFonts w:ascii="Arial"/>
          <w:sz w:val="2"/>
        </w:rPr>
      </w:pPr>
    </w:p>
    <w:tbl>
      <w:tblPr>
        <w:tblStyle w:val="24"/>
        <w:tblW w:w="8836"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
      <w:tblGrid>
        <w:gridCol w:w="2266"/>
        <w:gridCol w:w="1655"/>
        <w:gridCol w:w="3205"/>
        <w:gridCol w:w="171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226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default" w:ascii="Times New Roman" w:hAnsi="Times New Roman" w:eastAsia="宋体" w:cs="Times New Roman"/>
                <w:spacing w:val="7"/>
                <w:sz w:val="20"/>
                <w:szCs w:val="20"/>
                <w:u w:val="single"/>
              </w:rPr>
              <w:t>预测点位置</w:t>
            </w:r>
          </w:p>
        </w:tc>
        <w:tc>
          <w:tcPr>
            <w:tcW w:w="165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default" w:ascii="Times New Roman" w:hAnsi="Times New Roman" w:eastAsia="宋体" w:cs="Times New Roman"/>
                <w:spacing w:val="6"/>
                <w:sz w:val="20"/>
                <w:szCs w:val="20"/>
                <w:u w:val="single"/>
              </w:rPr>
              <w:t>噪声贡献值</w:t>
            </w:r>
          </w:p>
        </w:tc>
        <w:tc>
          <w:tcPr>
            <w:tcW w:w="320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default" w:ascii="Times New Roman" w:hAnsi="Times New Roman" w:eastAsia="宋体" w:cs="Times New Roman"/>
                <w:spacing w:val="7"/>
                <w:sz w:val="20"/>
                <w:szCs w:val="20"/>
                <w:u w:val="single"/>
              </w:rPr>
              <w:t>评价标准（昼间）</w:t>
            </w:r>
          </w:p>
        </w:tc>
        <w:tc>
          <w:tcPr>
            <w:tcW w:w="171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default" w:ascii="Times New Roman" w:hAnsi="Times New Roman" w:eastAsia="宋体" w:cs="Times New Roman"/>
                <w:spacing w:val="7"/>
                <w:sz w:val="20"/>
                <w:szCs w:val="20"/>
                <w:u w:val="single"/>
              </w:rPr>
              <w:t>评价结果</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226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z w:val="20"/>
                <w:szCs w:val="20"/>
                <w:u w:val="single"/>
                <w:lang w:eastAsia="zh-CN"/>
              </w:rPr>
            </w:pPr>
            <w:r>
              <w:rPr>
                <w:rFonts w:hint="eastAsia" w:ascii="Times New Roman" w:hAnsi="Times New Roman" w:eastAsia="宋体" w:cs="Times New Roman"/>
                <w:sz w:val="20"/>
                <w:szCs w:val="20"/>
                <w:u w:val="single"/>
                <w:lang w:eastAsia="zh-CN"/>
              </w:rPr>
              <w:t>西厂界</w:t>
            </w:r>
          </w:p>
        </w:tc>
        <w:tc>
          <w:tcPr>
            <w:tcW w:w="16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u w:val="single"/>
                <w:lang w:eastAsia="zh-CN"/>
              </w:rPr>
            </w:pPr>
            <w:r>
              <w:rPr>
                <w:rFonts w:hint="default" w:ascii="Times New Roman" w:hAnsi="Times New Roman" w:cs="Times New Roman"/>
                <w:u w:val="single"/>
              </w:rPr>
              <w:t>5</w:t>
            </w:r>
            <w:r>
              <w:rPr>
                <w:rFonts w:hint="eastAsia" w:ascii="Times New Roman" w:hAnsi="Times New Roman" w:cs="Times New Roman"/>
                <w:u w:val="single"/>
                <w:lang w:val="en-US" w:eastAsia="zh-CN"/>
              </w:rPr>
              <w:t>7</w:t>
            </w:r>
          </w:p>
        </w:tc>
        <w:tc>
          <w:tcPr>
            <w:tcW w:w="320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70（4类）</w:t>
            </w:r>
          </w:p>
        </w:tc>
        <w:tc>
          <w:tcPr>
            <w:tcW w:w="171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default" w:ascii="Times New Roman" w:hAnsi="Times New Roman" w:eastAsia="宋体" w:cs="Times New Roman"/>
                <w:spacing w:val="5"/>
                <w:sz w:val="20"/>
                <w:szCs w:val="2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226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z w:val="20"/>
                <w:szCs w:val="20"/>
                <w:u w:val="single"/>
                <w:lang w:eastAsia="zh-CN"/>
              </w:rPr>
            </w:pPr>
            <w:r>
              <w:rPr>
                <w:rFonts w:hint="eastAsia" w:ascii="Times New Roman" w:hAnsi="Times New Roman" w:eastAsia="宋体" w:cs="Times New Roman"/>
                <w:sz w:val="20"/>
                <w:szCs w:val="20"/>
                <w:u w:val="single"/>
                <w:lang w:eastAsia="zh-CN"/>
              </w:rPr>
              <w:t>东厂界</w:t>
            </w:r>
          </w:p>
        </w:tc>
        <w:tc>
          <w:tcPr>
            <w:tcW w:w="16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u w:val="single"/>
                <w:lang w:eastAsia="zh-CN"/>
              </w:rPr>
            </w:pPr>
            <w:r>
              <w:rPr>
                <w:rFonts w:hint="default" w:ascii="Times New Roman" w:hAnsi="Times New Roman" w:cs="Times New Roman"/>
                <w:u w:val="single"/>
              </w:rPr>
              <w:t>5</w:t>
            </w:r>
            <w:r>
              <w:rPr>
                <w:rFonts w:hint="eastAsia" w:ascii="Times New Roman" w:hAnsi="Times New Roman" w:cs="Times New Roman"/>
                <w:u w:val="single"/>
                <w:lang w:val="en-US" w:eastAsia="zh-CN"/>
              </w:rPr>
              <w:t>2</w:t>
            </w:r>
          </w:p>
        </w:tc>
        <w:tc>
          <w:tcPr>
            <w:tcW w:w="320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1"/>
                <w:u w:val="single"/>
              </w:rPr>
            </w:pPr>
            <w:r>
              <w:rPr>
                <w:rFonts w:hint="default" w:ascii="Times New Roman" w:hAnsi="Times New Roman" w:cs="Times New Roman"/>
                <w:spacing w:val="2"/>
                <w:u w:val="single"/>
              </w:rPr>
              <w:t>60</w:t>
            </w:r>
            <w:r>
              <w:rPr>
                <w:rFonts w:hint="default" w:ascii="Times New Roman" w:hAnsi="Times New Roman" w:eastAsia="宋体" w:cs="Times New Roman"/>
                <w:spacing w:val="2"/>
                <w:u w:val="single"/>
              </w:rPr>
              <w:t>（</w:t>
            </w:r>
            <w:r>
              <w:rPr>
                <w:rFonts w:hint="default" w:ascii="Times New Roman" w:hAnsi="Times New Roman" w:cs="Times New Roman"/>
                <w:spacing w:val="2"/>
                <w:u w:val="single"/>
              </w:rPr>
              <w:t>2</w:t>
            </w:r>
            <w:r>
              <w:rPr>
                <w:rFonts w:hint="default" w:ascii="Times New Roman" w:hAnsi="Times New Roman" w:eastAsia="宋体" w:cs="Times New Roman"/>
                <w:spacing w:val="2"/>
                <w:u w:val="single"/>
              </w:rPr>
              <w:t>类）</w:t>
            </w:r>
          </w:p>
        </w:tc>
        <w:tc>
          <w:tcPr>
            <w:tcW w:w="171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default" w:ascii="Times New Roman" w:hAnsi="Times New Roman" w:eastAsia="宋体" w:cs="Times New Roman"/>
                <w:spacing w:val="5"/>
                <w:sz w:val="20"/>
                <w:szCs w:val="2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226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eastAsia" w:ascii="Times New Roman" w:hAnsi="Times New Roman" w:eastAsia="宋体" w:cs="Times New Roman"/>
                <w:sz w:val="20"/>
                <w:szCs w:val="20"/>
                <w:u w:val="single"/>
                <w:lang w:eastAsia="zh-CN"/>
              </w:rPr>
              <w:t>南厂界</w:t>
            </w:r>
          </w:p>
        </w:tc>
        <w:tc>
          <w:tcPr>
            <w:tcW w:w="16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u w:val="single"/>
                <w:lang w:eastAsia="zh-CN"/>
              </w:rPr>
            </w:pPr>
            <w:r>
              <w:rPr>
                <w:rFonts w:hint="default" w:ascii="Times New Roman" w:hAnsi="Times New Roman" w:cs="Times New Roman"/>
                <w:u w:val="single"/>
              </w:rPr>
              <w:t>5</w:t>
            </w:r>
            <w:r>
              <w:rPr>
                <w:rFonts w:hint="eastAsia" w:ascii="Times New Roman" w:hAnsi="Times New Roman" w:cs="Times New Roman"/>
                <w:u w:val="single"/>
                <w:lang w:val="en-US" w:eastAsia="zh-CN"/>
              </w:rPr>
              <w:t>4</w:t>
            </w:r>
          </w:p>
        </w:tc>
        <w:tc>
          <w:tcPr>
            <w:tcW w:w="32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1"/>
                <w:u w:val="single"/>
              </w:rPr>
            </w:pPr>
          </w:p>
        </w:tc>
        <w:tc>
          <w:tcPr>
            <w:tcW w:w="171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default" w:ascii="Times New Roman" w:hAnsi="Times New Roman" w:eastAsia="宋体" w:cs="Times New Roman"/>
                <w:spacing w:val="5"/>
                <w:sz w:val="20"/>
                <w:szCs w:val="20"/>
                <w:u w:val="single"/>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397" w:hRule="atLeast"/>
          <w:jc w:val="center"/>
        </w:trPr>
        <w:tc>
          <w:tcPr>
            <w:tcW w:w="226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eastAsia" w:ascii="Times New Roman" w:hAnsi="Times New Roman" w:eastAsia="宋体" w:cs="Times New Roman"/>
                <w:sz w:val="20"/>
                <w:szCs w:val="20"/>
                <w:u w:val="single"/>
                <w:lang w:eastAsia="zh-CN"/>
              </w:rPr>
              <w:t>北厂界</w:t>
            </w:r>
          </w:p>
        </w:tc>
        <w:tc>
          <w:tcPr>
            <w:tcW w:w="16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u w:val="single"/>
                <w:lang w:eastAsia="zh-CN"/>
              </w:rPr>
            </w:pPr>
            <w:r>
              <w:rPr>
                <w:rFonts w:hint="default" w:ascii="Times New Roman" w:hAnsi="Times New Roman" w:cs="Times New Roman"/>
                <w:u w:val="single"/>
              </w:rPr>
              <w:t>5</w:t>
            </w:r>
            <w:r>
              <w:rPr>
                <w:rFonts w:hint="eastAsia" w:ascii="Times New Roman" w:hAnsi="Times New Roman" w:cs="Times New Roman"/>
                <w:u w:val="single"/>
                <w:lang w:val="en-US" w:eastAsia="zh-CN"/>
              </w:rPr>
              <w:t>5</w:t>
            </w:r>
          </w:p>
        </w:tc>
        <w:tc>
          <w:tcPr>
            <w:tcW w:w="32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1"/>
                <w:u w:val="single"/>
              </w:rPr>
            </w:pPr>
          </w:p>
        </w:tc>
        <w:tc>
          <w:tcPr>
            <w:tcW w:w="171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u w:val="single"/>
              </w:rPr>
            </w:pPr>
            <w:r>
              <w:rPr>
                <w:rFonts w:hint="default" w:ascii="Times New Roman" w:hAnsi="Times New Roman" w:eastAsia="宋体" w:cs="Times New Roman"/>
                <w:spacing w:val="5"/>
                <w:sz w:val="20"/>
                <w:szCs w:val="20"/>
                <w:u w:val="single"/>
              </w:rPr>
              <w:t>达标</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由</w:t>
      </w:r>
      <w:r>
        <w:rPr>
          <w:rFonts w:hint="eastAsia" w:ascii="Times New Roman" w:hAnsi="Times New Roman" w:eastAsia="宋体" w:cs="Times New Roman"/>
          <w:sz w:val="24"/>
          <w:szCs w:val="24"/>
          <w:lang w:val="en-US" w:eastAsia="zh-CN"/>
        </w:rPr>
        <w:t>上表</w:t>
      </w:r>
      <w:r>
        <w:rPr>
          <w:rFonts w:hint="default" w:ascii="Times New Roman" w:hAnsi="Times New Roman" w:cs="Times New Roman"/>
          <w:sz w:val="24"/>
          <w:szCs w:val="24"/>
        </w:rPr>
        <w:t>可知，采取相应措施后</w:t>
      </w:r>
      <w:r>
        <w:rPr>
          <w:rFonts w:hint="eastAsia" w:ascii="Times New Roman" w:hAnsi="Times New Roman" w:eastAsia="宋体" w:cs="Times New Roman"/>
          <w:sz w:val="24"/>
          <w:szCs w:val="24"/>
          <w:lang w:eastAsia="zh-CN"/>
        </w:rPr>
        <w:t>本项目厂区东</w:t>
      </w:r>
      <w:r>
        <w:rPr>
          <w:rFonts w:hint="default" w:ascii="Times New Roman" w:hAnsi="Times New Roman" w:cs="Times New Roman"/>
          <w:sz w:val="24"/>
          <w:szCs w:val="24"/>
        </w:rPr>
        <w:t>、南、北厂界昼</w:t>
      </w:r>
      <w:r>
        <w:rPr>
          <w:rFonts w:hint="eastAsia" w:ascii="Times New Roman" w:hAnsi="Times New Roman" w:eastAsia="宋体" w:cs="Times New Roman"/>
          <w:sz w:val="24"/>
          <w:szCs w:val="24"/>
          <w:lang w:eastAsia="zh-CN"/>
        </w:rPr>
        <w:t>间</w:t>
      </w:r>
      <w:r>
        <w:rPr>
          <w:rFonts w:hint="default" w:ascii="Times New Roman" w:hAnsi="Times New Roman" w:cs="Times New Roman"/>
          <w:sz w:val="24"/>
          <w:szCs w:val="24"/>
        </w:rPr>
        <w:t>噪声贡献值均能达到《工业企业厂界环境噪声排放标准》（GB12348-2008）2类标准</w:t>
      </w:r>
      <w:r>
        <w:rPr>
          <w:rFonts w:hint="eastAsia" w:ascii="Times New Roman" w:hAnsi="Times New Roman" w:eastAsia="宋体" w:cs="Times New Roman"/>
          <w:sz w:val="24"/>
          <w:szCs w:val="24"/>
          <w:lang w:eastAsia="zh-CN"/>
        </w:rPr>
        <w:t>，西厂界满足</w:t>
      </w:r>
      <w:r>
        <w:rPr>
          <w:rFonts w:hint="eastAsia" w:ascii="Times New Roman" w:hAnsi="Times New Roman" w:eastAsia="宋体" w:cs="Times New Roman"/>
          <w:sz w:val="24"/>
          <w:szCs w:val="24"/>
          <w:lang w:val="en-US" w:eastAsia="zh-CN"/>
        </w:rPr>
        <w:t>4类标准</w:t>
      </w:r>
      <w:r>
        <w:rPr>
          <w:rFonts w:hint="default" w:ascii="Times New Roman" w:hAnsi="Times New Roman" w:cs="Times New Roman"/>
          <w:sz w:val="24"/>
          <w:szCs w:val="24"/>
        </w:rPr>
        <w:t>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）声环境保护目标预测结果见下表</w:t>
      </w:r>
    </w:p>
    <w:p>
      <w:pPr>
        <w:jc w:val="center"/>
        <w:rPr>
          <w:b/>
          <w:bCs/>
          <w:sz w:val="24"/>
          <w:szCs w:val="24"/>
        </w:rPr>
      </w:pPr>
      <w:r>
        <w:rPr>
          <w:rFonts w:hint="eastAsia"/>
          <w:b/>
          <w:bCs/>
          <w:sz w:val="24"/>
          <w:szCs w:val="24"/>
          <w:lang w:val="en-US" w:eastAsia="zh-CN"/>
        </w:rPr>
        <w:t xml:space="preserve">表5-36        </w:t>
      </w:r>
      <w:r>
        <w:rPr>
          <w:b/>
          <w:bCs/>
          <w:sz w:val="24"/>
          <w:szCs w:val="24"/>
          <w:lang w:val="en-US" w:eastAsia="zh-CN"/>
        </w:rPr>
        <w:t>声环境保护目标噪声预测结果与达标分析表</w:t>
      </w:r>
    </w:p>
    <w:tbl>
      <w:tblPr>
        <w:tblStyle w:val="21"/>
        <w:tblW w:w="911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572"/>
        <w:gridCol w:w="572"/>
        <w:gridCol w:w="576"/>
        <w:gridCol w:w="570"/>
        <w:gridCol w:w="577"/>
        <w:gridCol w:w="570"/>
        <w:gridCol w:w="577"/>
        <w:gridCol w:w="570"/>
        <w:gridCol w:w="577"/>
        <w:gridCol w:w="570"/>
        <w:gridCol w:w="577"/>
        <w:gridCol w:w="571"/>
        <w:gridCol w:w="561"/>
        <w:gridCol w:w="5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5" w:type="dxa"/>
            <w:vMerge w:val="restart"/>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lang w:eastAsia="zh-CN"/>
              </w:rPr>
            </w:pPr>
            <w:r>
              <w:rPr>
                <w:rFonts w:hint="default" w:ascii="Times New Roman" w:hAnsi="Times New Roman" w:eastAsia="宋体" w:cs="Times New Roman"/>
                <w:sz w:val="21"/>
                <w:szCs w:val="21"/>
                <w:u w:val="single"/>
                <w:vertAlign w:val="baseline"/>
                <w:lang w:eastAsia="zh-CN"/>
              </w:rPr>
              <w:t>名称</w:t>
            </w:r>
          </w:p>
        </w:tc>
        <w:tc>
          <w:tcPr>
            <w:tcW w:w="1144" w:type="dxa"/>
            <w:gridSpan w:val="2"/>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rPr>
            </w:pPr>
            <w:r>
              <w:rPr>
                <w:rFonts w:hint="default" w:ascii="Times New Roman" w:hAnsi="Times New Roman" w:eastAsia="宋体" w:cs="Times New Roman"/>
                <w:sz w:val="21"/>
                <w:szCs w:val="21"/>
                <w:u w:val="single"/>
                <w:vertAlign w:val="baseline"/>
                <w:lang w:eastAsia="zh-CN"/>
              </w:rPr>
              <w:t>噪声背景值</w:t>
            </w:r>
            <w:r>
              <w:rPr>
                <w:rFonts w:hint="default" w:ascii="Times New Roman" w:hAnsi="Times New Roman" w:eastAsia="宋体" w:cs="Times New Roman"/>
                <w:sz w:val="21"/>
                <w:szCs w:val="21"/>
                <w:u w:val="single"/>
                <w:vertAlign w:val="baseline"/>
              </w:rPr>
              <w:t>/dB(A)</w:t>
            </w:r>
          </w:p>
        </w:tc>
        <w:tc>
          <w:tcPr>
            <w:tcW w:w="1146" w:type="dxa"/>
            <w:gridSpan w:val="2"/>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rPr>
            </w:pPr>
            <w:r>
              <w:rPr>
                <w:rFonts w:hint="default" w:ascii="Times New Roman" w:hAnsi="Times New Roman" w:eastAsia="宋体" w:cs="Times New Roman"/>
                <w:sz w:val="21"/>
                <w:szCs w:val="21"/>
                <w:u w:val="single"/>
                <w:vertAlign w:val="baseline"/>
              </w:rPr>
              <w:t>噪声现状值/dB(A)</w:t>
            </w:r>
          </w:p>
        </w:tc>
        <w:tc>
          <w:tcPr>
            <w:tcW w:w="1147" w:type="dxa"/>
            <w:gridSpan w:val="2"/>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rPr>
            </w:pPr>
            <w:r>
              <w:rPr>
                <w:rFonts w:hint="default" w:ascii="Times New Roman" w:hAnsi="Times New Roman" w:eastAsia="宋体" w:cs="Times New Roman"/>
                <w:sz w:val="21"/>
                <w:szCs w:val="21"/>
                <w:u w:val="single"/>
                <w:vertAlign w:val="baseline"/>
              </w:rPr>
              <w:t>噪声标准/dB(A)</w:t>
            </w:r>
          </w:p>
        </w:tc>
        <w:tc>
          <w:tcPr>
            <w:tcW w:w="1147" w:type="dxa"/>
            <w:gridSpan w:val="2"/>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rPr>
            </w:pPr>
            <w:r>
              <w:rPr>
                <w:rFonts w:hint="default" w:ascii="Times New Roman" w:hAnsi="Times New Roman" w:eastAsia="宋体" w:cs="Times New Roman"/>
                <w:sz w:val="21"/>
                <w:szCs w:val="21"/>
                <w:u w:val="single"/>
                <w:vertAlign w:val="baseline"/>
                <w:lang w:val="en-US" w:eastAsia="zh-CN"/>
              </w:rPr>
              <w:t>噪声贡献值/dB(A)</w:t>
            </w:r>
          </w:p>
        </w:tc>
        <w:tc>
          <w:tcPr>
            <w:tcW w:w="1147" w:type="dxa"/>
            <w:gridSpan w:val="2"/>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rPr>
            </w:pPr>
            <w:r>
              <w:rPr>
                <w:rFonts w:hint="default" w:ascii="Times New Roman" w:hAnsi="Times New Roman" w:eastAsia="宋体" w:cs="Times New Roman"/>
                <w:sz w:val="21"/>
                <w:szCs w:val="21"/>
                <w:u w:val="single"/>
                <w:vertAlign w:val="baseline"/>
                <w:lang w:val="en-US" w:eastAsia="zh-CN"/>
              </w:rPr>
              <w:t xml:space="preserve">噪声预测值/dB(A) </w:t>
            </w:r>
          </w:p>
        </w:tc>
        <w:tc>
          <w:tcPr>
            <w:tcW w:w="1148" w:type="dxa"/>
            <w:gridSpan w:val="2"/>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rPr>
            </w:pPr>
            <w:r>
              <w:rPr>
                <w:rFonts w:hint="default" w:ascii="Times New Roman" w:hAnsi="Times New Roman" w:eastAsia="宋体" w:cs="Times New Roman"/>
                <w:sz w:val="21"/>
                <w:szCs w:val="21"/>
                <w:u w:val="single"/>
                <w:vertAlign w:val="baseline"/>
                <w:lang w:val="en-US" w:eastAsia="zh-CN"/>
              </w:rPr>
              <w:t>较现状增量/dB(A)</w:t>
            </w:r>
          </w:p>
        </w:tc>
        <w:tc>
          <w:tcPr>
            <w:tcW w:w="1122" w:type="dxa"/>
            <w:gridSpan w:val="2"/>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rPr>
            </w:pPr>
            <w:r>
              <w:rPr>
                <w:rFonts w:hint="default" w:ascii="Times New Roman" w:hAnsi="Times New Roman" w:eastAsia="宋体" w:cs="Times New Roman"/>
                <w:sz w:val="21"/>
                <w:szCs w:val="21"/>
                <w:u w:val="single"/>
                <w:vertAlign w:val="baseline"/>
                <w:lang w:val="en-US" w:eastAsia="zh-CN"/>
              </w:rPr>
              <w:t xml:space="preserve">超标和达标情况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115" w:type="dxa"/>
            <w:vMerge w:val="continue"/>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lang w:eastAsia="zh-CN"/>
              </w:rPr>
            </w:pPr>
          </w:p>
        </w:tc>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eastAsia="zh-CN"/>
              </w:rPr>
            </w:pPr>
            <w:r>
              <w:rPr>
                <w:rFonts w:hint="default" w:ascii="Times New Roman" w:hAnsi="Times New Roman" w:eastAsia="宋体" w:cs="Times New Roman"/>
                <w:sz w:val="21"/>
                <w:szCs w:val="21"/>
                <w:u w:val="single"/>
                <w:vertAlign w:val="baseline"/>
                <w:lang w:eastAsia="zh-CN"/>
              </w:rPr>
              <w:t>昼间</w:t>
            </w:r>
          </w:p>
        </w:tc>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eastAsia="zh-CN"/>
              </w:rPr>
            </w:pPr>
            <w:r>
              <w:rPr>
                <w:rFonts w:hint="default" w:ascii="Times New Roman" w:hAnsi="Times New Roman" w:eastAsia="宋体" w:cs="Times New Roman"/>
                <w:sz w:val="21"/>
                <w:szCs w:val="21"/>
                <w:u w:val="single"/>
                <w:vertAlign w:val="baseline"/>
                <w:lang w:eastAsia="zh-CN"/>
              </w:rPr>
              <w:t>夜间</w:t>
            </w:r>
          </w:p>
        </w:tc>
        <w:tc>
          <w:tcPr>
            <w:tcW w:w="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昼间</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夜间</w:t>
            </w:r>
          </w:p>
        </w:tc>
        <w:tc>
          <w:tcPr>
            <w:tcW w:w="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昼间</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夜间</w:t>
            </w:r>
          </w:p>
        </w:tc>
        <w:tc>
          <w:tcPr>
            <w:tcW w:w="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昼间</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夜间</w:t>
            </w:r>
          </w:p>
        </w:tc>
        <w:tc>
          <w:tcPr>
            <w:tcW w:w="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昼间</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夜间</w:t>
            </w:r>
          </w:p>
        </w:tc>
        <w:tc>
          <w:tcPr>
            <w:tcW w:w="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昼间</w:t>
            </w:r>
          </w:p>
        </w:tc>
        <w:tc>
          <w:tcPr>
            <w:tcW w:w="5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夜间</w:t>
            </w:r>
          </w:p>
        </w:tc>
        <w:tc>
          <w:tcPr>
            <w:tcW w:w="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昼间</w:t>
            </w:r>
          </w:p>
        </w:tc>
        <w:tc>
          <w:tcPr>
            <w:tcW w:w="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1"/>
                <w:u w:val="single"/>
                <w:vertAlign w:val="baseline"/>
                <w:lang w:val="en-US" w:eastAsia="zh-CN" w:bidi="ar-SA"/>
              </w:rPr>
            </w:pPr>
            <w:r>
              <w:rPr>
                <w:rFonts w:hint="default" w:ascii="Times New Roman" w:hAnsi="Times New Roman" w:eastAsia="宋体" w:cs="Times New Roman"/>
                <w:sz w:val="21"/>
                <w:szCs w:val="21"/>
                <w:u w:val="single"/>
                <w:vertAlign w:val="baseline"/>
                <w:lang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5" w:type="dxa"/>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lang w:eastAsia="zh-CN"/>
              </w:rPr>
            </w:pPr>
            <w:r>
              <w:rPr>
                <w:rFonts w:hint="default" w:ascii="Times New Roman" w:hAnsi="Times New Roman" w:eastAsia="宋体" w:cs="Times New Roman"/>
                <w:sz w:val="21"/>
                <w:szCs w:val="21"/>
                <w:u w:val="single"/>
                <w:vertAlign w:val="baseline"/>
                <w:lang w:eastAsia="zh-CN"/>
              </w:rPr>
              <w:t>马庄村散户</w:t>
            </w:r>
          </w:p>
        </w:tc>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53</w:t>
            </w:r>
          </w:p>
        </w:tc>
        <w:tc>
          <w:tcPr>
            <w:tcW w:w="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44</w:t>
            </w:r>
          </w:p>
        </w:tc>
        <w:tc>
          <w:tcPr>
            <w:tcW w:w="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53</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44</w:t>
            </w:r>
          </w:p>
        </w:tc>
        <w:tc>
          <w:tcPr>
            <w:tcW w:w="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60</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50</w:t>
            </w:r>
          </w:p>
        </w:tc>
        <w:tc>
          <w:tcPr>
            <w:tcW w:w="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48.8</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w:t>
            </w:r>
          </w:p>
        </w:tc>
        <w:tc>
          <w:tcPr>
            <w:tcW w:w="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54.8</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w:t>
            </w:r>
          </w:p>
        </w:tc>
        <w:tc>
          <w:tcPr>
            <w:tcW w:w="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1.8</w:t>
            </w:r>
          </w:p>
        </w:tc>
        <w:tc>
          <w:tcPr>
            <w:tcW w:w="5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w:t>
            </w:r>
          </w:p>
        </w:tc>
        <w:tc>
          <w:tcPr>
            <w:tcW w:w="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达标</w:t>
            </w:r>
          </w:p>
        </w:tc>
        <w:tc>
          <w:tcPr>
            <w:tcW w:w="5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1115" w:type="dxa"/>
            <w:tcBorders>
              <w:tl2br w:val="nil"/>
              <w:tr2bl w:val="nil"/>
            </w:tcBorders>
            <w:vAlign w:val="center"/>
          </w:tcPr>
          <w:p>
            <w:pPr>
              <w:widowControl w:val="0"/>
              <w:jc w:val="center"/>
              <w:rPr>
                <w:rFonts w:hint="default" w:ascii="Times New Roman" w:hAnsi="Times New Roman" w:eastAsia="宋体" w:cs="Times New Roman"/>
                <w:sz w:val="21"/>
                <w:szCs w:val="21"/>
                <w:u w:val="single"/>
                <w:vertAlign w:val="baseline"/>
                <w:lang w:eastAsia="zh-CN"/>
              </w:rPr>
            </w:pPr>
            <w:r>
              <w:rPr>
                <w:rFonts w:hint="default" w:ascii="Times New Roman" w:hAnsi="Times New Roman" w:eastAsia="宋体" w:cs="Times New Roman"/>
                <w:sz w:val="21"/>
                <w:szCs w:val="21"/>
                <w:u w:val="single"/>
                <w:vertAlign w:val="baseline"/>
                <w:lang w:eastAsia="zh-CN"/>
              </w:rPr>
              <w:t>官庄村</w:t>
            </w:r>
          </w:p>
        </w:tc>
        <w:tc>
          <w:tcPr>
            <w:tcW w:w="57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54</w:t>
            </w:r>
          </w:p>
        </w:tc>
        <w:tc>
          <w:tcPr>
            <w:tcW w:w="57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41</w:t>
            </w:r>
          </w:p>
        </w:tc>
        <w:tc>
          <w:tcPr>
            <w:tcW w:w="57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54</w:t>
            </w:r>
          </w:p>
        </w:tc>
        <w:tc>
          <w:tcPr>
            <w:tcW w:w="5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41</w:t>
            </w:r>
          </w:p>
        </w:tc>
        <w:tc>
          <w:tcPr>
            <w:tcW w:w="57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50</w:t>
            </w:r>
          </w:p>
        </w:tc>
        <w:tc>
          <w:tcPr>
            <w:tcW w:w="5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50</w:t>
            </w:r>
          </w:p>
        </w:tc>
        <w:tc>
          <w:tcPr>
            <w:tcW w:w="57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45.1</w:t>
            </w:r>
          </w:p>
        </w:tc>
        <w:tc>
          <w:tcPr>
            <w:tcW w:w="5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w:t>
            </w:r>
          </w:p>
        </w:tc>
        <w:tc>
          <w:tcPr>
            <w:tcW w:w="57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55.0</w:t>
            </w:r>
          </w:p>
        </w:tc>
        <w:tc>
          <w:tcPr>
            <w:tcW w:w="5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w:t>
            </w:r>
          </w:p>
        </w:tc>
        <w:tc>
          <w:tcPr>
            <w:tcW w:w="57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z w:val="21"/>
                <w:szCs w:val="21"/>
                <w:u w:val="single"/>
                <w:vertAlign w:val="baseline"/>
                <w:lang w:val="en-US" w:eastAsia="zh-CN"/>
              </w:rPr>
            </w:pPr>
            <w:r>
              <w:rPr>
                <w:rFonts w:hint="eastAsia" w:ascii="Times New Roman" w:hAnsi="Times New Roman" w:eastAsia="宋体" w:cs="Times New Roman"/>
                <w:sz w:val="21"/>
                <w:szCs w:val="21"/>
                <w:u w:val="single"/>
                <w:vertAlign w:val="baseline"/>
                <w:lang w:val="en-US" w:eastAsia="zh-CN"/>
              </w:rPr>
              <w:t>1.0</w:t>
            </w:r>
          </w:p>
        </w:tc>
        <w:tc>
          <w:tcPr>
            <w:tcW w:w="57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w:t>
            </w:r>
          </w:p>
        </w:tc>
        <w:tc>
          <w:tcPr>
            <w:tcW w:w="56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z w:val="21"/>
                <w:szCs w:val="21"/>
                <w:u w:val="single"/>
                <w:vertAlign w:val="baseline"/>
              </w:rPr>
            </w:pPr>
            <w:r>
              <w:rPr>
                <w:rFonts w:hint="eastAsia" w:ascii="Times New Roman" w:hAnsi="Times New Roman" w:eastAsia="宋体" w:cs="Times New Roman"/>
                <w:sz w:val="21"/>
                <w:szCs w:val="21"/>
                <w:u w:val="single"/>
                <w:vertAlign w:val="baseline"/>
                <w:lang w:val="en-US" w:eastAsia="zh-CN"/>
              </w:rPr>
              <w:t>达标</w:t>
            </w:r>
          </w:p>
        </w:tc>
        <w:tc>
          <w:tcPr>
            <w:tcW w:w="56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105" w:leftChars="-50" w:right="-105" w:rightChars="-50"/>
              <w:jc w:val="center"/>
              <w:textAlignment w:val="baseline"/>
              <w:rPr>
                <w:rFonts w:hint="default" w:ascii="Times New Roman" w:hAnsi="Times New Roman" w:eastAsia="宋体" w:cs="Times New Roman"/>
                <w:snapToGrid w:val="0"/>
                <w:color w:val="000000"/>
                <w:kern w:val="0"/>
                <w:sz w:val="21"/>
                <w:szCs w:val="21"/>
                <w:u w:val="single"/>
                <w:vertAlign w:val="baseline"/>
                <w:lang w:val="en-US" w:eastAsia="zh-CN" w:bidi="ar-SA"/>
              </w:rPr>
            </w:pPr>
            <w:r>
              <w:rPr>
                <w:rFonts w:hint="eastAsia" w:ascii="Times New Roman" w:hAnsi="Times New Roman" w:eastAsia="宋体" w:cs="Times New Roman"/>
                <w:sz w:val="21"/>
                <w:szCs w:val="21"/>
                <w:u w:val="single"/>
                <w:vertAlign w:val="baseline"/>
                <w:lang w:val="en-US" w:eastAsia="zh-CN"/>
              </w:rPr>
              <w:t>/</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24"/>
        </w:rPr>
      </w:pPr>
      <w:r>
        <w:rPr>
          <w:rFonts w:hint="default" w:ascii="Times New Roman" w:hAnsi="Times New Roman" w:cs="Times New Roman"/>
          <w:sz w:val="24"/>
          <w:szCs w:val="24"/>
        </w:rPr>
        <w:t>根据</w:t>
      </w:r>
      <w:r>
        <w:rPr>
          <w:rFonts w:hint="eastAsia" w:ascii="Times New Roman" w:hAnsi="Times New Roman" w:eastAsia="宋体" w:cs="Times New Roman"/>
          <w:sz w:val="24"/>
          <w:szCs w:val="24"/>
          <w:lang w:val="en-US" w:eastAsia="zh-CN"/>
        </w:rPr>
        <w:t>上表</w:t>
      </w:r>
      <w:r>
        <w:rPr>
          <w:rFonts w:hint="eastAsia" w:ascii="Times New Roman" w:hAnsi="Times New Roman" w:eastAsia="宋体" w:cs="Times New Roman"/>
          <w:sz w:val="24"/>
          <w:szCs w:val="24"/>
          <w:lang w:eastAsia="zh-CN"/>
        </w:rPr>
        <w:t>预测结果可知</w:t>
      </w:r>
      <w:r>
        <w:rPr>
          <w:rFonts w:hint="default" w:ascii="Times New Roman" w:hAnsi="Times New Roman" w:cs="Times New Roman"/>
          <w:sz w:val="24"/>
          <w:szCs w:val="24"/>
        </w:rPr>
        <w:t>，</w:t>
      </w:r>
      <w:r>
        <w:rPr>
          <w:rFonts w:hint="eastAsia" w:eastAsia="宋体"/>
          <w:sz w:val="24"/>
          <w:szCs w:val="24"/>
          <w:lang w:eastAsia="zh-CN"/>
        </w:rPr>
        <w:t>厂区</w:t>
      </w:r>
      <w:r>
        <w:rPr>
          <w:sz w:val="24"/>
          <w:szCs w:val="24"/>
        </w:rPr>
        <w:t>噪声对周边</w:t>
      </w:r>
      <w:r>
        <w:rPr>
          <w:rFonts w:hint="eastAsia" w:eastAsia="宋体"/>
          <w:sz w:val="24"/>
          <w:szCs w:val="24"/>
          <w:lang w:eastAsia="zh-CN"/>
        </w:rPr>
        <w:t>最近的声环境保护目标</w:t>
      </w:r>
      <w:r>
        <w:rPr>
          <w:rFonts w:hint="eastAsia"/>
          <w:sz w:val="24"/>
          <w:szCs w:val="24"/>
          <w:lang w:eastAsia="zh-CN"/>
        </w:rPr>
        <w:t>马庄村散户和官庄村</w:t>
      </w:r>
      <w:r>
        <w:rPr>
          <w:sz w:val="24"/>
          <w:szCs w:val="24"/>
        </w:rPr>
        <w:t>声环境影响</w:t>
      </w:r>
      <w:r>
        <w:rPr>
          <w:rFonts w:hint="eastAsia" w:eastAsia="宋体"/>
          <w:sz w:val="24"/>
          <w:szCs w:val="24"/>
          <w:lang w:eastAsia="zh-CN"/>
        </w:rPr>
        <w:t>较小</w:t>
      </w:r>
      <w:r>
        <w:rPr>
          <w:sz w:val="24"/>
          <w:szCs w:val="24"/>
        </w:rPr>
        <w:t>，</w:t>
      </w:r>
      <w:r>
        <w:rPr>
          <w:rFonts w:hint="eastAsia" w:eastAsia="宋体"/>
          <w:sz w:val="24"/>
          <w:szCs w:val="24"/>
          <w:lang w:eastAsia="zh-CN"/>
        </w:rPr>
        <w:t>项目声</w:t>
      </w:r>
      <w:r>
        <w:rPr>
          <w:sz w:val="24"/>
          <w:szCs w:val="24"/>
        </w:rPr>
        <w:t>环境影响可接受。</w:t>
      </w:r>
    </w:p>
    <w:p>
      <w:pPr>
        <w:spacing w:before="92" w:line="224" w:lineRule="auto"/>
        <w:outlineLvl w:val="3"/>
        <w:rPr>
          <w:rFonts w:ascii="楷体" w:hAnsi="楷体" w:eastAsia="楷体" w:cs="楷体"/>
          <w:b/>
          <w:bCs/>
          <w:sz w:val="28"/>
          <w:szCs w:val="28"/>
        </w:rPr>
      </w:pPr>
      <w:bookmarkStart w:id="350" w:name="bookmark97"/>
      <w:bookmarkEnd w:id="350"/>
      <w:r>
        <w:rPr>
          <w:rFonts w:ascii="Times New Roman" w:hAnsi="Times New Roman" w:eastAsia="Times New Roman" w:cs="Times New Roman"/>
          <w:b/>
          <w:bCs/>
          <w:spacing w:val="-4"/>
          <w:sz w:val="28"/>
          <w:szCs w:val="28"/>
        </w:rPr>
        <w:t>5.2.5</w:t>
      </w:r>
      <w:r>
        <w:rPr>
          <w:rFonts w:ascii="楷体" w:hAnsi="楷体" w:eastAsia="楷体" w:cs="楷体"/>
          <w:b/>
          <w:bCs/>
          <w:spacing w:val="-4"/>
          <w:sz w:val="28"/>
          <w:szCs w:val="28"/>
        </w:rPr>
        <w:t>固体废物影响分析与评价</w:t>
      </w:r>
    </w:p>
    <w:p>
      <w:pPr>
        <w:keepNext w:val="0"/>
        <w:keepLines w:val="0"/>
        <w:pageBreakBefore w:val="0"/>
        <w:widowControl/>
        <w:kinsoku/>
        <w:wordWrap/>
        <w:overflowPunct/>
        <w:topLinePunct w:val="0"/>
        <w:autoSpaceDE w:val="0"/>
        <w:autoSpaceDN w:val="0"/>
        <w:bidi w:val="0"/>
        <w:adjustRightInd w:val="0"/>
        <w:snapToGrid w:val="0"/>
        <w:spacing w:before="197" w:line="384" w:lineRule="auto"/>
        <w:ind w:left="153" w:right="108" w:firstLine="454"/>
        <w:jc w:val="both"/>
        <w:textAlignment w:val="baseline"/>
        <w:rPr>
          <w:rFonts w:ascii="宋体" w:hAnsi="宋体" w:eastAsia="宋体" w:cs="宋体"/>
          <w:sz w:val="24"/>
          <w:szCs w:val="24"/>
        </w:rPr>
      </w:pPr>
      <w:r>
        <w:rPr>
          <w:rFonts w:ascii="宋体" w:hAnsi="宋体" w:eastAsia="宋体" w:cs="宋体"/>
          <w:spacing w:val="1"/>
          <w:sz w:val="24"/>
          <w:szCs w:val="24"/>
        </w:rPr>
        <w:t>本工程营运期产生的一般固体废物主要有病死</w:t>
      </w:r>
      <w:r>
        <w:rPr>
          <w:rFonts w:hint="eastAsia" w:ascii="宋体" w:hAnsi="宋体" w:eastAsia="宋体" w:cs="宋体"/>
          <w:spacing w:val="1"/>
          <w:sz w:val="24"/>
          <w:szCs w:val="24"/>
          <w:lang w:eastAsia="zh-CN"/>
        </w:rPr>
        <w:t>牛</w:t>
      </w:r>
      <w:r>
        <w:rPr>
          <w:rFonts w:ascii="宋体" w:hAnsi="宋体" w:eastAsia="宋体" w:cs="宋体"/>
          <w:spacing w:val="1"/>
          <w:sz w:val="24"/>
          <w:szCs w:val="24"/>
        </w:rPr>
        <w:t>羊及不合格肉品、</w:t>
      </w:r>
      <w:r>
        <w:rPr>
          <w:rFonts w:hint="eastAsia" w:ascii="宋体" w:hAnsi="宋体" w:eastAsia="宋体" w:cs="宋体"/>
          <w:spacing w:val="1"/>
          <w:sz w:val="24"/>
          <w:szCs w:val="24"/>
          <w:lang w:eastAsia="zh-CN"/>
        </w:rPr>
        <w:t>牛</w:t>
      </w:r>
      <w:r>
        <w:rPr>
          <w:rFonts w:ascii="宋体" w:hAnsi="宋体" w:eastAsia="宋体" w:cs="宋体"/>
          <w:spacing w:val="1"/>
          <w:sz w:val="24"/>
          <w:szCs w:val="24"/>
        </w:rPr>
        <w:t>羊粪便</w:t>
      </w:r>
      <w:r>
        <w:rPr>
          <w:rFonts w:ascii="宋体" w:hAnsi="宋体" w:eastAsia="宋体" w:cs="宋体"/>
          <w:sz w:val="24"/>
          <w:szCs w:val="24"/>
        </w:rPr>
        <w:t>、肠胃</w:t>
      </w:r>
      <w:r>
        <w:rPr>
          <w:rFonts w:ascii="宋体" w:hAnsi="宋体" w:eastAsia="宋体" w:cs="宋体"/>
          <w:spacing w:val="1"/>
          <w:sz w:val="24"/>
          <w:szCs w:val="24"/>
        </w:rPr>
        <w:t>内容物、污水站污泥、栅渣及职工生活垃圾，危险废物包括废油脂、检</w:t>
      </w:r>
      <w:r>
        <w:rPr>
          <w:rFonts w:ascii="宋体" w:hAnsi="宋体" w:eastAsia="宋体" w:cs="宋体"/>
          <w:spacing w:val="-3"/>
          <w:sz w:val="24"/>
          <w:szCs w:val="24"/>
        </w:rPr>
        <w:t>疫废物。</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4"/>
          <w:szCs w:val="24"/>
          <w:lang w:eastAsia="zh-CN"/>
        </w:rPr>
      </w:pPr>
      <w:r>
        <w:rPr>
          <w:rFonts w:hint="eastAsia" w:ascii="Times New Roman" w:hAnsi="Times New Roman" w:eastAsia="宋体" w:cs="Times New Roman"/>
          <w:b/>
          <w:bCs/>
          <w:spacing w:val="-6"/>
          <w:sz w:val="24"/>
          <w:szCs w:val="24"/>
          <w:lang w:val="en-US" w:eastAsia="zh-CN"/>
        </w:rPr>
        <w:t>5.2.5.1</w:t>
      </w:r>
      <w:r>
        <w:rPr>
          <w:rFonts w:ascii="宋体" w:hAnsi="宋体" w:eastAsia="宋体" w:cs="宋体"/>
          <w:b/>
          <w:bCs/>
          <w:spacing w:val="-6"/>
          <w:sz w:val="24"/>
          <w:szCs w:val="24"/>
        </w:rPr>
        <w:t>一般</w:t>
      </w:r>
      <w:r>
        <w:rPr>
          <w:rFonts w:hint="eastAsia" w:ascii="宋体" w:hAnsi="宋体" w:eastAsia="宋体" w:cs="宋体"/>
          <w:b/>
          <w:bCs/>
          <w:spacing w:val="-6"/>
          <w:sz w:val="24"/>
          <w:szCs w:val="24"/>
          <w:lang w:eastAsia="zh-CN"/>
        </w:rPr>
        <w:t>工业固废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07"/>
        <w:textAlignment w:val="baseline"/>
        <w:rPr>
          <w:rFonts w:hint="default" w:ascii="Times New Roman" w:hAnsi="Times New Roman" w:eastAsia="宋体" w:cs="Times New Roman"/>
          <w:spacing w:val="-1"/>
          <w:sz w:val="24"/>
          <w:szCs w:val="24"/>
          <w:lang w:eastAsia="zh-CN"/>
        </w:rPr>
      </w:pP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lang w:val="en-US" w:eastAsia="zh-CN"/>
        </w:rPr>
        <w:t>1</w:t>
      </w:r>
      <w:r>
        <w:rPr>
          <w:rFonts w:hint="default" w:ascii="Times New Roman" w:hAnsi="Times New Roman" w:eastAsia="宋体" w:cs="Times New Roman"/>
          <w:spacing w:val="-1"/>
          <w:sz w:val="24"/>
          <w:szCs w:val="24"/>
          <w:lang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07"/>
        <w:textAlignment w:val="baseline"/>
        <w:rPr>
          <w:rFonts w:ascii="宋体" w:hAnsi="宋体" w:eastAsia="宋体" w:cs="宋体"/>
          <w:sz w:val="24"/>
          <w:szCs w:val="24"/>
        </w:rPr>
      </w:pPr>
      <w:r>
        <w:rPr>
          <w:rFonts w:ascii="宋体" w:hAnsi="宋体" w:eastAsia="宋体" w:cs="宋体"/>
          <w:spacing w:val="-1"/>
          <w:sz w:val="24"/>
          <w:szCs w:val="24"/>
        </w:rPr>
        <w:t>项目产生的一般工业固废产生及处置情况如下所示。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395"/>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5-3</w:t>
      </w:r>
      <w:r>
        <w:rPr>
          <w:rFonts w:hint="eastAsia" w:ascii="Times New Roman" w:hAnsi="Times New Roman" w:eastAsia="宋体" w:cs="Times New Roman"/>
          <w:b/>
          <w:bCs/>
          <w:sz w:val="24"/>
          <w:szCs w:val="24"/>
          <w:lang w:val="en-US" w:eastAsia="zh-CN"/>
        </w:rPr>
        <w:t>7</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项目一般工业固废产生及处置情况</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rPr>
        <w:t>t</w:t>
      </w:r>
      <w:r>
        <w:rPr>
          <w:rFonts w:ascii="Times New Roman" w:hAnsi="Times New Roman" w:eastAsia="Times New Roman" w:cs="Times New Roman"/>
          <w:b/>
          <w:bCs/>
          <w:spacing w:val="-1"/>
          <w:sz w:val="24"/>
          <w:szCs w:val="24"/>
        </w:rPr>
        <w:t>/a</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870"/>
        <w:gridCol w:w="1163"/>
        <w:gridCol w:w="1372"/>
        <w:gridCol w:w="300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5" w:hRule="atLeast"/>
        </w:trPr>
        <w:tc>
          <w:tcPr>
            <w:tcW w:w="154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污染源</w:t>
            </w:r>
          </w:p>
        </w:tc>
        <w:tc>
          <w:tcPr>
            <w:tcW w:w="1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污染物</w:t>
            </w:r>
          </w:p>
        </w:tc>
        <w:tc>
          <w:tcPr>
            <w:tcW w:w="116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highlight w:val="none"/>
              </w:rPr>
              <w:t>产生量</w:t>
            </w:r>
          </w:p>
        </w:tc>
        <w:tc>
          <w:tcPr>
            <w:tcW w:w="137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3"/>
                <w:sz w:val="20"/>
                <w:szCs w:val="20"/>
              </w:rPr>
              <w:t>性质</w:t>
            </w:r>
          </w:p>
        </w:tc>
        <w:tc>
          <w:tcPr>
            <w:tcW w:w="300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处理措施</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0" w:hRule="atLeast"/>
        </w:trPr>
        <w:tc>
          <w:tcPr>
            <w:tcW w:w="154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待宰区</w:t>
            </w:r>
          </w:p>
        </w:tc>
        <w:tc>
          <w:tcPr>
            <w:tcW w:w="1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rFonts w:hint="eastAsia"/>
                <w:spacing w:val="4"/>
                <w:sz w:val="20"/>
                <w:szCs w:val="20"/>
                <w:lang w:eastAsia="zh-CN"/>
              </w:rPr>
              <w:t>牛</w:t>
            </w:r>
            <w:r>
              <w:rPr>
                <w:spacing w:val="4"/>
                <w:sz w:val="20"/>
                <w:szCs w:val="20"/>
              </w:rPr>
              <w:t>羊粪便</w:t>
            </w:r>
          </w:p>
        </w:tc>
        <w:tc>
          <w:tcPr>
            <w:tcW w:w="11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2"/>
                <w:sz w:val="20"/>
                <w:szCs w:val="20"/>
                <w:lang w:val="en-US" w:eastAsia="zh-CN"/>
              </w:rPr>
              <w:t>172.8</w:t>
            </w:r>
          </w:p>
        </w:tc>
        <w:tc>
          <w:tcPr>
            <w:tcW w:w="137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一般固废</w:t>
            </w:r>
          </w:p>
        </w:tc>
        <w:tc>
          <w:tcPr>
            <w:tcW w:w="3003"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8"/>
                <w:sz w:val="20"/>
                <w:szCs w:val="20"/>
              </w:rPr>
              <w:t>外售用于肥田综合利用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0" w:hRule="atLeast"/>
        </w:trPr>
        <w:tc>
          <w:tcPr>
            <w:tcW w:w="154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7"/>
                <w:sz w:val="20"/>
                <w:szCs w:val="20"/>
              </w:rPr>
              <w:t>屠宰车间</w:t>
            </w:r>
          </w:p>
        </w:tc>
        <w:tc>
          <w:tcPr>
            <w:tcW w:w="1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8"/>
                <w:sz w:val="20"/>
                <w:szCs w:val="20"/>
              </w:rPr>
              <w:t>肠胃内容物</w:t>
            </w:r>
          </w:p>
        </w:tc>
        <w:tc>
          <w:tcPr>
            <w:tcW w:w="11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sz w:val="20"/>
                <w:szCs w:val="20"/>
                <w:lang w:val="en-US"/>
              </w:rPr>
            </w:pPr>
            <w:r>
              <w:rPr>
                <w:rFonts w:hint="eastAsia" w:ascii="Times New Roman" w:hAnsi="Times New Roman" w:eastAsia="宋体" w:cs="Times New Roman"/>
                <w:spacing w:val="4"/>
                <w:sz w:val="20"/>
                <w:szCs w:val="20"/>
                <w:lang w:val="en-US" w:eastAsia="zh-CN"/>
              </w:rPr>
              <w:t>325</w:t>
            </w:r>
          </w:p>
        </w:tc>
        <w:tc>
          <w:tcPr>
            <w:tcW w:w="137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一般固废</w:t>
            </w:r>
          </w:p>
        </w:tc>
        <w:tc>
          <w:tcPr>
            <w:tcW w:w="300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9" w:hRule="atLeast"/>
        </w:trPr>
        <w:tc>
          <w:tcPr>
            <w:tcW w:w="1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污水处理</w:t>
            </w:r>
          </w:p>
        </w:tc>
        <w:tc>
          <w:tcPr>
            <w:tcW w:w="1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8"/>
                <w:sz w:val="20"/>
                <w:szCs w:val="20"/>
              </w:rPr>
              <w:t>污水处理站污泥</w:t>
            </w:r>
          </w:p>
        </w:tc>
        <w:tc>
          <w:tcPr>
            <w:tcW w:w="11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1"/>
                <w:sz w:val="20"/>
                <w:szCs w:val="20"/>
                <w:lang w:val="en-US" w:eastAsia="zh-CN"/>
              </w:rPr>
              <w:t>125</w:t>
            </w:r>
          </w:p>
        </w:tc>
        <w:tc>
          <w:tcPr>
            <w:tcW w:w="137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一般固废</w:t>
            </w:r>
          </w:p>
        </w:tc>
        <w:tc>
          <w:tcPr>
            <w:tcW w:w="300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sz w:val="20"/>
                <w:szCs w:val="20"/>
                <w:lang w:eastAsia="zh-CN"/>
              </w:rPr>
            </w:pPr>
            <w:r>
              <w:rPr>
                <w:spacing w:val="8"/>
                <w:sz w:val="20"/>
                <w:szCs w:val="20"/>
              </w:rPr>
              <w:t>经脱水</w:t>
            </w:r>
            <w:r>
              <w:rPr>
                <w:rFonts w:hint="eastAsia"/>
                <w:spacing w:val="8"/>
                <w:sz w:val="20"/>
                <w:szCs w:val="20"/>
                <w:lang w:eastAsia="zh-CN"/>
              </w:rPr>
              <w:t>收集</w:t>
            </w:r>
            <w:r>
              <w:rPr>
                <w:spacing w:val="8"/>
                <w:sz w:val="20"/>
                <w:szCs w:val="20"/>
              </w:rPr>
              <w:t>后</w:t>
            </w:r>
            <w:r>
              <w:rPr>
                <w:rFonts w:hint="eastAsia"/>
                <w:spacing w:val="8"/>
                <w:sz w:val="20"/>
                <w:szCs w:val="20"/>
                <w:lang w:eastAsia="zh-CN"/>
              </w:rPr>
              <w:t>，</w:t>
            </w:r>
            <w:r>
              <w:rPr>
                <w:spacing w:val="8"/>
                <w:sz w:val="20"/>
                <w:szCs w:val="20"/>
              </w:rPr>
              <w:t>外售</w:t>
            </w:r>
            <w:r>
              <w:rPr>
                <w:rFonts w:hint="eastAsia"/>
                <w:spacing w:val="8"/>
                <w:sz w:val="20"/>
                <w:szCs w:val="20"/>
                <w:lang w:eastAsia="zh-CN"/>
              </w:rPr>
              <w:t>制作有机肥</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0"/>
                <w:szCs w:val="20"/>
              </w:rPr>
            </w:pPr>
          </w:p>
        </w:tc>
        <w:tc>
          <w:tcPr>
            <w:tcW w:w="1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4"/>
                <w:sz w:val="20"/>
                <w:szCs w:val="20"/>
              </w:rPr>
              <w:t>栅渣</w:t>
            </w:r>
          </w:p>
        </w:tc>
        <w:tc>
          <w:tcPr>
            <w:tcW w:w="11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1"/>
                <w:sz w:val="20"/>
                <w:szCs w:val="20"/>
                <w:lang w:val="en-US" w:eastAsia="zh-CN"/>
              </w:rPr>
              <w:t>4</w:t>
            </w:r>
            <w:r>
              <w:rPr>
                <w:rFonts w:ascii="Times New Roman" w:hAnsi="Times New Roman" w:eastAsia="Times New Roman" w:cs="Times New Roman"/>
                <w:spacing w:val="1"/>
                <w:sz w:val="20"/>
                <w:szCs w:val="20"/>
              </w:rPr>
              <w:t>.</w:t>
            </w:r>
            <w:r>
              <w:rPr>
                <w:rFonts w:hint="eastAsia" w:ascii="Times New Roman" w:hAnsi="Times New Roman" w:eastAsia="宋体" w:cs="Times New Roman"/>
                <w:spacing w:val="1"/>
                <w:sz w:val="20"/>
                <w:szCs w:val="20"/>
                <w:lang w:val="en-US" w:eastAsia="zh-CN"/>
              </w:rPr>
              <w:t>4</w:t>
            </w:r>
          </w:p>
        </w:tc>
        <w:tc>
          <w:tcPr>
            <w:tcW w:w="137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一般固废</w:t>
            </w:r>
          </w:p>
        </w:tc>
        <w:tc>
          <w:tcPr>
            <w:tcW w:w="300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7"/>
                <w:sz w:val="20"/>
                <w:szCs w:val="20"/>
              </w:rPr>
              <w:t>外售用于肥田</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0" w:hRule="atLeast"/>
        </w:trPr>
        <w:tc>
          <w:tcPr>
            <w:tcW w:w="154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待宰区</w:t>
            </w:r>
          </w:p>
        </w:tc>
        <w:tc>
          <w:tcPr>
            <w:tcW w:w="18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z w:val="20"/>
                <w:szCs w:val="20"/>
                <w:lang w:eastAsia="zh-CN"/>
              </w:rPr>
            </w:pPr>
            <w:r>
              <w:rPr>
                <w:rFonts w:hint="default" w:ascii="Times New Roman" w:hAnsi="Times New Roman" w:cs="Times New Roman"/>
                <w:sz w:val="20"/>
                <w:szCs w:val="20"/>
              </w:rPr>
              <w:t>病死</w:t>
            </w:r>
            <w:r>
              <w:rPr>
                <w:rFonts w:hint="eastAsia" w:ascii="Times New Roman" w:hAnsi="Times New Roman" w:eastAsia="宋体" w:cs="Times New Roman"/>
                <w:sz w:val="20"/>
                <w:szCs w:val="20"/>
                <w:lang w:eastAsia="zh-CN"/>
              </w:rPr>
              <w:t>牛羊</w:t>
            </w:r>
          </w:p>
        </w:tc>
        <w:tc>
          <w:tcPr>
            <w:tcW w:w="11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1.25</w:t>
            </w:r>
          </w:p>
        </w:tc>
        <w:tc>
          <w:tcPr>
            <w:tcW w:w="1372"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highlight w:val="none"/>
              </w:rPr>
              <w:t>一般固废</w:t>
            </w:r>
          </w:p>
        </w:tc>
        <w:tc>
          <w:tcPr>
            <w:tcW w:w="300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eastAsia" w:ascii="Times New Roman" w:hAnsi="Times New Roman" w:eastAsia="宋体" w:cs="Times New Roman"/>
                <w:sz w:val="20"/>
                <w:szCs w:val="20"/>
                <w:lang w:eastAsia="zh-CN"/>
              </w:rPr>
              <w:t>厂区暂存后，</w:t>
            </w:r>
            <w:r>
              <w:rPr>
                <w:rFonts w:hint="default" w:ascii="Times New Roman" w:hAnsi="Times New Roman" w:cs="Times New Roman"/>
                <w:sz w:val="20"/>
                <w:szCs w:val="20"/>
              </w:rPr>
              <w:t>送往叶县益康动物无害化处理有限公司进行处置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1" w:hRule="atLeast"/>
        </w:trPr>
        <w:tc>
          <w:tcPr>
            <w:tcW w:w="154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屠宰车间</w:t>
            </w:r>
          </w:p>
        </w:tc>
        <w:tc>
          <w:tcPr>
            <w:tcW w:w="187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z w:val="20"/>
                <w:szCs w:val="20"/>
                <w:lang w:eastAsia="zh-CN"/>
              </w:rPr>
            </w:pPr>
            <w:r>
              <w:rPr>
                <w:rFonts w:hint="default" w:ascii="Times New Roman" w:hAnsi="Times New Roman" w:cs="Times New Roman"/>
                <w:sz w:val="20"/>
                <w:szCs w:val="20"/>
              </w:rPr>
              <w:t>不合格肉品</w:t>
            </w:r>
            <w:r>
              <w:rPr>
                <w:rFonts w:hint="eastAsia" w:ascii="Times New Roman" w:hAnsi="Times New Roman" w:eastAsia="宋体" w:cs="Times New Roman"/>
                <w:sz w:val="20"/>
                <w:szCs w:val="20"/>
                <w:lang w:eastAsia="zh-CN"/>
              </w:rPr>
              <w:t>（含牛羊三腺）</w:t>
            </w:r>
          </w:p>
        </w:tc>
        <w:tc>
          <w:tcPr>
            <w:tcW w:w="11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25</w:t>
            </w:r>
          </w:p>
        </w:tc>
        <w:tc>
          <w:tcPr>
            <w:tcW w:w="137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p>
        </w:tc>
        <w:tc>
          <w:tcPr>
            <w:tcW w:w="300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3" w:hRule="atLeast"/>
        </w:trPr>
        <w:tc>
          <w:tcPr>
            <w:tcW w:w="154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员工日常生活</w:t>
            </w:r>
            <w:r>
              <w:rPr>
                <w:spacing w:val="2"/>
                <w:sz w:val="20"/>
                <w:szCs w:val="20"/>
              </w:rPr>
              <w:t>办公</w:t>
            </w:r>
          </w:p>
        </w:tc>
        <w:tc>
          <w:tcPr>
            <w:tcW w:w="1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生活垃圾</w:t>
            </w:r>
          </w:p>
        </w:tc>
        <w:tc>
          <w:tcPr>
            <w:tcW w:w="11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3"/>
                <w:sz w:val="20"/>
                <w:szCs w:val="20"/>
                <w:lang w:val="en-US" w:eastAsia="zh-CN"/>
              </w:rPr>
              <w:t>8</w:t>
            </w:r>
          </w:p>
        </w:tc>
        <w:tc>
          <w:tcPr>
            <w:tcW w:w="137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6"/>
                <w:sz w:val="20"/>
                <w:szCs w:val="20"/>
              </w:rPr>
              <w:t>一般固废</w:t>
            </w:r>
          </w:p>
        </w:tc>
        <w:tc>
          <w:tcPr>
            <w:tcW w:w="300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8"/>
                <w:sz w:val="20"/>
                <w:szCs w:val="20"/>
              </w:rPr>
              <w:t>收集后交环卫部门统一处置</w:t>
            </w:r>
          </w:p>
        </w:tc>
      </w:tr>
    </w:tbl>
    <w:p>
      <w:pPr>
        <w:keepNext w:val="0"/>
        <w:keepLines w:val="0"/>
        <w:pageBreakBefore w:val="0"/>
        <w:widowControl/>
        <w:kinsoku w:val="0"/>
        <w:wordWrap/>
        <w:overflowPunct/>
        <w:topLinePunct w:val="0"/>
        <w:autoSpaceDE w:val="0"/>
        <w:autoSpaceDN w:val="0"/>
        <w:bidi w:val="0"/>
        <w:adjustRightInd w:val="0"/>
        <w:snapToGrid w:val="0"/>
        <w:spacing w:before="156" w:line="219" w:lineRule="auto"/>
        <w:ind w:left="612"/>
        <w:textAlignment w:val="baseline"/>
        <w:rPr>
          <w:rFonts w:ascii="宋体" w:hAnsi="宋体" w:eastAsia="宋体" w:cs="宋体"/>
          <w:sz w:val="24"/>
          <w:szCs w:val="24"/>
          <w:u w:val="single"/>
        </w:rPr>
      </w:pPr>
      <w:r>
        <w:rPr>
          <w:rFonts w:ascii="宋体" w:hAnsi="宋体" w:eastAsia="宋体" w:cs="宋体"/>
          <w:spacing w:val="-3"/>
          <w:sz w:val="24"/>
          <w:szCs w:val="24"/>
          <w:u w:val="single"/>
        </w:rPr>
        <w:t>（</w:t>
      </w:r>
      <w:r>
        <w:rPr>
          <w:rFonts w:ascii="Times New Roman" w:hAnsi="Times New Roman" w:eastAsia="Times New Roman" w:cs="Times New Roman"/>
          <w:spacing w:val="-3"/>
          <w:sz w:val="24"/>
          <w:szCs w:val="24"/>
          <w:u w:val="single"/>
        </w:rPr>
        <w:t>2</w:t>
      </w:r>
      <w:r>
        <w:rPr>
          <w:rFonts w:ascii="宋体" w:hAnsi="宋体" w:eastAsia="宋体" w:cs="宋体"/>
          <w:spacing w:val="-3"/>
          <w:sz w:val="24"/>
          <w:szCs w:val="24"/>
          <w:u w:val="single"/>
        </w:rPr>
        <w:t>）</w:t>
      </w:r>
      <w:r>
        <w:rPr>
          <w:rFonts w:hint="eastAsia" w:ascii="宋体" w:hAnsi="宋体" w:eastAsia="宋体" w:cs="宋体"/>
          <w:spacing w:val="-3"/>
          <w:sz w:val="24"/>
          <w:szCs w:val="24"/>
          <w:u w:val="single"/>
          <w:lang w:eastAsia="zh-CN"/>
        </w:rPr>
        <w:t>牛羊粪、肠胃内容物及栅渣</w:t>
      </w:r>
    </w:p>
    <w:p>
      <w:pPr>
        <w:keepNext w:val="0"/>
        <w:keepLines w:val="0"/>
        <w:pageBreakBefore w:val="0"/>
        <w:widowControl w:val="0"/>
        <w:kinsoku/>
        <w:wordWrap/>
        <w:overflowPunct/>
        <w:topLinePunct w:val="0"/>
        <w:autoSpaceDE w:val="0"/>
        <w:autoSpaceDN w:val="0"/>
        <w:bidi w:val="0"/>
        <w:adjustRightInd w:val="0"/>
        <w:snapToGrid w:val="0"/>
        <w:spacing w:before="211" w:line="384" w:lineRule="auto"/>
        <w:ind w:left="125" w:right="51" w:firstLine="482"/>
        <w:textAlignment w:val="baseline"/>
        <w:rPr>
          <w:rFonts w:ascii="宋体" w:hAnsi="宋体" w:eastAsia="宋体" w:cs="宋体"/>
          <w:spacing w:val="0"/>
          <w:position w:val="0"/>
          <w:sz w:val="24"/>
          <w:szCs w:val="24"/>
          <w:u w:val="single"/>
        </w:rPr>
      </w:pPr>
      <w:r>
        <w:rPr>
          <w:rFonts w:ascii="宋体" w:hAnsi="宋体" w:eastAsia="宋体" w:cs="宋体"/>
          <w:spacing w:val="0"/>
          <w:position w:val="0"/>
          <w:sz w:val="24"/>
          <w:szCs w:val="24"/>
          <w:u w:val="single"/>
        </w:rPr>
        <w:t>按照《一般工业固体废物贮存和填埋污染控制标准》（</w:t>
      </w:r>
      <w:r>
        <w:rPr>
          <w:rFonts w:ascii="Times New Roman" w:hAnsi="Times New Roman" w:eastAsia="Times New Roman" w:cs="Times New Roman"/>
          <w:spacing w:val="0"/>
          <w:position w:val="0"/>
          <w:sz w:val="24"/>
          <w:szCs w:val="24"/>
          <w:u w:val="single"/>
        </w:rPr>
        <w:t>GB18599-2020</w:t>
      </w:r>
      <w:r>
        <w:rPr>
          <w:rFonts w:ascii="宋体" w:hAnsi="宋体" w:eastAsia="宋体" w:cs="宋体"/>
          <w:spacing w:val="0"/>
          <w:position w:val="0"/>
          <w:sz w:val="24"/>
          <w:szCs w:val="24"/>
          <w:u w:val="single"/>
        </w:rPr>
        <w:t>）中的要求，本</w:t>
      </w:r>
      <w:r>
        <w:rPr>
          <w:rFonts w:hint="eastAsia" w:ascii="宋体" w:hAnsi="宋体" w:eastAsia="宋体" w:cs="宋体"/>
          <w:spacing w:val="0"/>
          <w:position w:val="0"/>
          <w:sz w:val="24"/>
          <w:szCs w:val="24"/>
          <w:u w:val="single"/>
          <w:lang w:eastAsia="zh-CN"/>
        </w:rPr>
        <w:t>项目</w:t>
      </w:r>
      <w:r>
        <w:rPr>
          <w:rFonts w:ascii="宋体" w:hAnsi="宋体" w:eastAsia="宋体" w:cs="宋体"/>
          <w:spacing w:val="0"/>
          <w:position w:val="0"/>
          <w:sz w:val="24"/>
          <w:szCs w:val="24"/>
          <w:u w:val="single"/>
        </w:rPr>
        <w:t>拟在</w:t>
      </w:r>
      <w:r>
        <w:rPr>
          <w:rFonts w:hint="eastAsia" w:ascii="宋体" w:hAnsi="宋体" w:eastAsia="宋体" w:cs="宋体"/>
          <w:spacing w:val="0"/>
          <w:position w:val="0"/>
          <w:sz w:val="24"/>
          <w:szCs w:val="24"/>
          <w:u w:val="single"/>
          <w:lang w:eastAsia="zh-CN"/>
        </w:rPr>
        <w:t>厂区污水处理站周围</w:t>
      </w:r>
      <w:r>
        <w:rPr>
          <w:rFonts w:hint="eastAsia" w:ascii="宋体" w:hAnsi="宋体" w:eastAsia="宋体" w:cs="宋体"/>
          <w:spacing w:val="0"/>
          <w:position w:val="0"/>
          <w:sz w:val="24"/>
          <w:szCs w:val="24"/>
          <w:highlight w:val="none"/>
          <w:u w:val="single"/>
          <w:lang w:eastAsia="zh-CN"/>
        </w:rPr>
        <w:t>（渗滤液可以进入污水处理站）</w:t>
      </w:r>
      <w:r>
        <w:rPr>
          <w:rFonts w:ascii="宋体" w:hAnsi="宋体" w:eastAsia="宋体" w:cs="宋体"/>
          <w:spacing w:val="0"/>
          <w:position w:val="0"/>
          <w:sz w:val="24"/>
          <w:szCs w:val="24"/>
          <w:u w:val="single"/>
        </w:rPr>
        <w:t>设置</w:t>
      </w:r>
      <w:r>
        <w:rPr>
          <w:rFonts w:ascii="Times New Roman" w:hAnsi="Times New Roman" w:eastAsia="Times New Roman" w:cs="Times New Roman"/>
          <w:spacing w:val="0"/>
          <w:position w:val="0"/>
          <w:sz w:val="24"/>
          <w:szCs w:val="24"/>
          <w:highlight w:val="none"/>
          <w:u w:val="single"/>
        </w:rPr>
        <w:t>10m</w:t>
      </w:r>
      <w:r>
        <w:rPr>
          <w:rFonts w:ascii="Times New Roman" w:hAnsi="Times New Roman" w:eastAsia="Times New Roman" w:cs="Times New Roman"/>
          <w:spacing w:val="0"/>
          <w:position w:val="0"/>
          <w:sz w:val="24"/>
          <w:szCs w:val="24"/>
          <w:highlight w:val="none"/>
          <w:u w:val="single"/>
          <w:vertAlign w:val="superscript"/>
        </w:rPr>
        <w:t>2</w:t>
      </w:r>
      <w:r>
        <w:rPr>
          <w:rFonts w:ascii="宋体" w:hAnsi="宋体" w:eastAsia="宋体" w:cs="宋体"/>
          <w:spacing w:val="0"/>
          <w:position w:val="0"/>
          <w:sz w:val="24"/>
          <w:szCs w:val="24"/>
          <w:highlight w:val="none"/>
          <w:u w:val="single"/>
        </w:rPr>
        <w:t>的一般固废暂存间</w:t>
      </w:r>
      <w:r>
        <w:rPr>
          <w:rFonts w:hint="eastAsia" w:ascii="宋体" w:hAnsi="宋体" w:eastAsia="宋体" w:cs="宋体"/>
          <w:spacing w:val="0"/>
          <w:position w:val="0"/>
          <w:sz w:val="24"/>
          <w:szCs w:val="24"/>
          <w:highlight w:val="none"/>
          <w:u w:val="single"/>
          <w:lang w:eastAsia="zh-CN"/>
        </w:rPr>
        <w:t>，</w:t>
      </w:r>
      <w:r>
        <w:rPr>
          <w:rFonts w:ascii="宋体" w:hAnsi="宋体" w:eastAsia="宋体" w:cs="宋体"/>
          <w:spacing w:val="0"/>
          <w:position w:val="0"/>
          <w:sz w:val="24"/>
          <w:szCs w:val="24"/>
          <w:u w:val="single"/>
        </w:rPr>
        <w:t>其按照要求规范化建设，</w:t>
      </w:r>
      <w:r>
        <w:rPr>
          <w:rFonts w:hint="eastAsia" w:ascii="宋体" w:hAnsi="宋体" w:eastAsia="宋体" w:cs="宋体"/>
          <w:spacing w:val="0"/>
          <w:position w:val="0"/>
          <w:sz w:val="24"/>
          <w:szCs w:val="24"/>
          <w:highlight w:val="none"/>
          <w:u w:val="single"/>
          <w:lang w:eastAsia="zh-CN"/>
        </w:rPr>
        <w:t>并日产日清及时清运。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lang w:eastAsia="zh-CN"/>
        </w:rPr>
        <w:t>牛</w:t>
      </w:r>
      <w:r>
        <w:rPr>
          <w:rFonts w:hint="default" w:ascii="Times New Roman" w:hAnsi="Times New Roman" w:cs="Times New Roman"/>
          <w:sz w:val="24"/>
          <w:szCs w:val="24"/>
          <w:u w:val="single"/>
        </w:rPr>
        <w:t>羊粪便、肠胃内容物和栅渣</w:t>
      </w:r>
      <w:r>
        <w:rPr>
          <w:rFonts w:hint="default" w:ascii="Times New Roman" w:hAnsi="Times New Roman" w:cs="Times New Roman"/>
          <w:sz w:val="24"/>
          <w:szCs w:val="24"/>
          <w:u w:val="single"/>
          <w:lang w:val="en-US" w:eastAsia="zh-CN"/>
        </w:rPr>
        <w:t>共502.2t/a</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u w:val="single"/>
          <w:lang w:val="en-US" w:eastAsia="zh-CN"/>
        </w:rPr>
        <w:t>1.57t/d；该部分固废</w:t>
      </w:r>
      <w:r>
        <w:rPr>
          <w:rFonts w:hint="default" w:ascii="Times New Roman" w:hAnsi="Times New Roman" w:cs="Times New Roman"/>
          <w:sz w:val="24"/>
          <w:szCs w:val="24"/>
          <w:u w:val="single"/>
        </w:rPr>
        <w:t>在堆粪场当天临时暂存后，当日使用密闭运输车拉走，做到日产日清，不在厂区长期堆存</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highlight w:val="none"/>
          <w:u w:val="single"/>
          <w:lang w:val="en-US" w:eastAsia="zh-CN"/>
        </w:rPr>
        <w:t>本单位与</w:t>
      </w:r>
      <w:r>
        <w:rPr>
          <w:rFonts w:hint="eastAsia" w:ascii="Times New Roman" w:hAnsi="Times New Roman" w:cs="Times New Roman"/>
          <w:sz w:val="24"/>
          <w:szCs w:val="24"/>
          <w:highlight w:val="none"/>
          <w:u w:val="single"/>
          <w:lang w:val="en-US" w:eastAsia="zh-CN"/>
        </w:rPr>
        <w:t>叶县迎桂农业种植有限公司，</w:t>
      </w:r>
      <w:r>
        <w:rPr>
          <w:rFonts w:hint="default" w:ascii="Times New Roman" w:hAnsi="Times New Roman" w:cs="Times New Roman"/>
          <w:sz w:val="24"/>
          <w:szCs w:val="24"/>
          <w:highlight w:val="none"/>
          <w:u w:val="single"/>
          <w:lang w:val="en-US" w:eastAsia="zh-CN"/>
        </w:rPr>
        <w:t>签订有收购协议，见附件7</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lang w:val="en-US"/>
        </w:rPr>
      </w:pPr>
      <w:r>
        <w:rPr>
          <w:rFonts w:hint="eastAsia" w:ascii="Times New Roman" w:hAnsi="Times New Roman" w:eastAsia="宋体" w:cs="Times New Roman"/>
          <w:sz w:val="24"/>
          <w:szCs w:val="24"/>
          <w:highlight w:val="none"/>
          <w:u w:val="single"/>
          <w:lang w:val="en-US" w:eastAsia="zh-CN"/>
        </w:rPr>
        <w:t>叶县迎桂农业种植有限公司位于叶县马庄乡雷庄村（营业执照见附件七），公司下辖管理农田、蔬菜、水果、林木、花卉以及中草药的种植，其中农田管理面积约1000亩，蔬菜管理面积约800亩，水果、林木、花卉以及中草药的管理总面积不低于600亩。此外，马庄乡内个人种植和管理农田不低于</w:t>
      </w:r>
      <w:r>
        <w:rPr>
          <w:rFonts w:hint="eastAsia" w:ascii="Times New Roman" w:hAnsi="Times New Roman" w:eastAsia="宋体" w:cs="Times New Roman"/>
          <w:sz w:val="24"/>
          <w:szCs w:val="24"/>
          <w:u w:val="single"/>
          <w:lang w:val="en-US" w:eastAsia="zh-CN"/>
        </w:rPr>
        <w:t>2000亩，因此，本项目粪污由该公司收购后，用于周边农田、蔬菜、果园等的施肥，具有较好的可行性。</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3</w:t>
      </w:r>
      <w:r>
        <w:rPr>
          <w:rFonts w:hint="eastAsia" w:ascii="Times New Roman" w:hAnsi="Times New Roman" w:eastAsia="宋体" w:cs="Times New Roman"/>
          <w:sz w:val="24"/>
          <w:szCs w:val="24"/>
          <w:u w:val="single"/>
          <w:lang w:eastAsia="zh-CN"/>
        </w:rPr>
        <w:t>）污水处理站</w:t>
      </w:r>
      <w:r>
        <w:rPr>
          <w:rFonts w:hint="default" w:ascii="Times New Roman" w:hAnsi="Times New Roman" w:cs="Times New Roman"/>
          <w:sz w:val="24"/>
          <w:szCs w:val="24"/>
          <w:u w:val="single"/>
        </w:rPr>
        <w:t>污泥</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污水处理站</w:t>
      </w:r>
      <w:r>
        <w:rPr>
          <w:rFonts w:hint="default" w:ascii="Times New Roman" w:hAnsi="Times New Roman" w:cs="Times New Roman"/>
          <w:sz w:val="24"/>
          <w:szCs w:val="24"/>
          <w:u w:val="single"/>
        </w:rPr>
        <w:t>污泥</w:t>
      </w:r>
      <w:r>
        <w:rPr>
          <w:rFonts w:hint="eastAsia" w:ascii="Times New Roman" w:hAnsi="Times New Roman" w:cs="Times New Roman"/>
          <w:sz w:val="24"/>
          <w:szCs w:val="24"/>
          <w:u w:val="single"/>
          <w:lang w:val="en-US" w:eastAsia="zh-CN"/>
        </w:rPr>
        <w:t>125</w:t>
      </w:r>
      <w:r>
        <w:rPr>
          <w:rFonts w:hint="default" w:ascii="Times New Roman" w:hAnsi="Times New Roman" w:cs="Times New Roman"/>
          <w:sz w:val="24"/>
          <w:szCs w:val="24"/>
          <w:u w:val="single"/>
          <w:lang w:val="en-US" w:eastAsia="zh-CN"/>
        </w:rPr>
        <w:t>t/a</w:t>
      </w:r>
      <w:r>
        <w:rPr>
          <w:rFonts w:hint="default"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0.39</w:t>
      </w:r>
      <w:r>
        <w:rPr>
          <w:rFonts w:hint="default" w:ascii="Times New Roman" w:hAnsi="Times New Roman" w:cs="Times New Roman"/>
          <w:sz w:val="24"/>
          <w:szCs w:val="24"/>
          <w:u w:val="single"/>
          <w:lang w:val="en-US" w:eastAsia="zh-CN"/>
        </w:rPr>
        <w:t>t/d</w:t>
      </w:r>
      <w:r>
        <w:rPr>
          <w:rFonts w:hint="eastAsia" w:ascii="Times New Roman" w:hAnsi="Times New Roman" w:cs="Times New Roman"/>
          <w:sz w:val="24"/>
          <w:szCs w:val="24"/>
          <w:u w:val="single"/>
          <w:lang w:val="en-US" w:eastAsia="zh-CN"/>
        </w:rPr>
        <w:t>，</w:t>
      </w:r>
      <w:r>
        <w:rPr>
          <w:rFonts w:hint="default" w:ascii="Times New Roman" w:hAnsi="Times New Roman" w:cs="Times New Roman"/>
          <w:sz w:val="24"/>
          <w:szCs w:val="24"/>
          <w:u w:val="single"/>
          <w:lang w:val="en-US" w:eastAsia="zh-CN"/>
        </w:rPr>
        <w:t>由板框压滤机进行污泥脱水处理</w:t>
      </w:r>
      <w:r>
        <w:rPr>
          <w:rFonts w:hint="eastAsia" w:ascii="Times New Roman" w:hAnsi="Times New Roman" w:cs="Times New Roman"/>
          <w:sz w:val="24"/>
          <w:szCs w:val="24"/>
          <w:u w:val="single"/>
          <w:lang w:val="en-US" w:eastAsia="zh-CN"/>
        </w:rPr>
        <w:t>制成泥饼</w:t>
      </w:r>
      <w:r>
        <w:rPr>
          <w:rFonts w:hint="default" w:ascii="Times New Roman" w:hAnsi="Times New Roman" w:cs="Times New Roman"/>
          <w:sz w:val="24"/>
          <w:szCs w:val="24"/>
          <w:u w:val="single"/>
        </w:rPr>
        <w:t>后</w:t>
      </w:r>
      <w:r>
        <w:rPr>
          <w:rFonts w:hint="eastAsia" w:ascii="Times New Roman" w:hAnsi="Times New Roman" w:eastAsia="宋体" w:cs="Times New Roman"/>
          <w:sz w:val="24"/>
          <w:szCs w:val="24"/>
          <w:u w:val="single"/>
          <w:lang w:eastAsia="zh-CN"/>
        </w:rPr>
        <w:t>，暂存于</w:t>
      </w:r>
      <w:r>
        <w:rPr>
          <w:rFonts w:hint="default" w:ascii="Times New Roman" w:hAnsi="Times New Roman" w:cs="Times New Roman"/>
          <w:sz w:val="24"/>
          <w:szCs w:val="24"/>
          <w:u w:val="single"/>
        </w:rPr>
        <w:t>污泥间</w:t>
      </w:r>
      <w:r>
        <w:rPr>
          <w:rFonts w:hint="eastAsia" w:ascii="Times New Roman" w:hAnsi="Times New Roman" w:eastAsia="宋体" w:cs="Times New Roman"/>
          <w:sz w:val="24"/>
          <w:szCs w:val="24"/>
          <w:u w:val="single"/>
          <w:lang w:eastAsia="zh-CN"/>
        </w:rPr>
        <w:t>内</w:t>
      </w:r>
      <w:r>
        <w:rPr>
          <w:rFonts w:hint="default" w:ascii="Times New Roman" w:hAnsi="Times New Roman" w:cs="Times New Roman"/>
          <w:sz w:val="24"/>
          <w:szCs w:val="24"/>
          <w:u w:val="single"/>
        </w:rPr>
        <w:t>，定期外售</w:t>
      </w:r>
      <w:r>
        <w:rPr>
          <w:rFonts w:hint="default" w:ascii="Times New Roman" w:hAnsi="Times New Roman" w:cs="Times New Roman"/>
          <w:sz w:val="24"/>
          <w:szCs w:val="24"/>
          <w:u w:val="single"/>
          <w:lang w:val="en-US" w:eastAsia="zh-CN"/>
        </w:rPr>
        <w:t>制有机肥</w:t>
      </w:r>
      <w:r>
        <w:rPr>
          <w:rFonts w:hint="default" w:ascii="Times New Roman" w:hAnsi="Times New Roman" w:cs="Times New Roman"/>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rPr>
        <w:t>（</w:t>
      </w:r>
      <w:r>
        <w:rPr>
          <w:rFonts w:hint="eastAsia" w:ascii="Times New Roman" w:hAnsi="Times New Roman" w:eastAsia="宋体" w:cs="Times New Roman"/>
          <w:sz w:val="24"/>
          <w:szCs w:val="24"/>
          <w:u w:val="single"/>
          <w:lang w:val="en-US" w:eastAsia="zh-CN"/>
        </w:rPr>
        <w:t>4</w:t>
      </w:r>
      <w:r>
        <w:rPr>
          <w:rFonts w:hint="default" w:ascii="Times New Roman" w:hAnsi="Times New Roman" w:cs="Times New Roman"/>
          <w:sz w:val="24"/>
          <w:szCs w:val="24"/>
          <w:u w:val="single"/>
        </w:rPr>
        <w:t>）病死</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羊、不合格肉品</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含牛羊三腺</w:t>
      </w:r>
      <w:r>
        <w:rPr>
          <w:rFonts w:hint="eastAsia" w:ascii="Times New Roman" w:hAnsi="Times New Roman" w:eastAsia="宋体" w:cs="Times New Roman"/>
          <w:sz w:val="24"/>
          <w:szCs w:val="24"/>
          <w:u w:val="singl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u w:val="single"/>
          <w:lang w:val="en-US"/>
        </w:rPr>
      </w:pPr>
      <w:r>
        <w:rPr>
          <w:rFonts w:hint="eastAsia" w:ascii="Times New Roman" w:hAnsi="Times New Roman" w:eastAsia="宋体" w:cs="Times New Roman"/>
          <w:sz w:val="24"/>
          <w:szCs w:val="24"/>
          <w:u w:val="single"/>
          <w:lang w:eastAsia="zh-CN"/>
        </w:rPr>
        <w:t>根据《关于病害动物无害化处理有关意见的复函》（环保部办公厅环办函[2014]789 号，2014.6.26）中规定病害动物的无害化处理应执行《中华人民共和国动物防疫法》和农村部门规定的《病死及病害动物无害化处理技术规范》（农医发[2017]25号2017年7月3日）要求</w:t>
      </w:r>
      <w:r>
        <w:rPr>
          <w:rFonts w:hint="eastAsia" w:ascii="Times New Roman" w:hAnsi="Times New Roman" w:eastAsia="宋体" w:cs="Times New Roman"/>
          <w:sz w:val="24"/>
          <w:szCs w:val="24"/>
          <w:u w:val="single"/>
          <w:lang w:val="en-US" w:eastAsia="zh-CN"/>
        </w:rPr>
        <w:t>进行无害化处理和处置，不纳入危险废物管理。但该部分固废有一定的感染性，需要严格按照《病死及病害动物无害化处理技术规范》（农医发[2017]25号2017年7月3日）进行管理。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u w:val="single"/>
        </w:rPr>
      </w:pPr>
      <w:r>
        <w:rPr>
          <w:rFonts w:hint="eastAsia" w:ascii="Times New Roman" w:hAnsi="Times New Roman" w:eastAsia="宋体" w:cs="Times New Roman"/>
          <w:sz w:val="24"/>
          <w:szCs w:val="24"/>
          <w:u w:val="single"/>
          <w:lang w:eastAsia="zh-CN"/>
        </w:rPr>
        <w:t>本单位产生的</w:t>
      </w:r>
      <w:r>
        <w:rPr>
          <w:rFonts w:hint="default" w:ascii="Times New Roman" w:hAnsi="Times New Roman" w:cs="Times New Roman"/>
          <w:sz w:val="24"/>
          <w:szCs w:val="24"/>
          <w:u w:val="single"/>
        </w:rPr>
        <w:t>病死</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羊、不合格肉品</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含牛羊三腺</w:t>
      </w:r>
      <w:r>
        <w:rPr>
          <w:rFonts w:hint="eastAsia" w:ascii="Times New Roman" w:hAnsi="Times New Roman" w:eastAsia="宋体" w:cs="Times New Roman"/>
          <w:sz w:val="24"/>
          <w:szCs w:val="24"/>
          <w:u w:val="single"/>
          <w:lang w:eastAsia="zh-CN"/>
        </w:rPr>
        <w:t>），经厂区包装、暂存后，全部转运至</w:t>
      </w:r>
      <w:r>
        <w:rPr>
          <w:rFonts w:hint="eastAsia" w:ascii="Times New Roman" w:hAnsi="Times New Roman" w:eastAsia="宋体" w:cs="Times New Roman"/>
          <w:sz w:val="24"/>
          <w:szCs w:val="24"/>
          <w:u w:val="single"/>
          <w:lang w:val="en-US" w:eastAsia="zh-CN"/>
        </w:rPr>
        <w:t>叶县益康动物无害化处理有限公司进行处理。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default" w:ascii="Times New Roman" w:hAnsi="Times New Roman" w:cs="Times New Roman"/>
          <w:sz w:val="24"/>
          <w:szCs w:val="24"/>
          <w:highlight w:val="none"/>
          <w:u w:val="single"/>
        </w:rPr>
        <w:t>①</w:t>
      </w:r>
      <w:r>
        <w:rPr>
          <w:rFonts w:hint="eastAsia" w:ascii="Times New Roman" w:hAnsi="Times New Roman" w:eastAsia="宋体" w:cs="Times New Roman"/>
          <w:sz w:val="24"/>
          <w:szCs w:val="24"/>
          <w:highlight w:val="none"/>
          <w:u w:val="single"/>
          <w:lang w:val="en-US" w:eastAsia="zh-CN"/>
        </w:rPr>
        <w:t>包装、暂存及转运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a、包装</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highlight w:val="none"/>
          <w:u w:val="single"/>
          <w:lang w:val="en-US" w:eastAsia="zh-CN"/>
        </w:rPr>
        <w:t>厂区</w:t>
      </w:r>
      <w:r>
        <w:rPr>
          <w:rFonts w:hint="default" w:ascii="Times New Roman" w:hAnsi="Times New Roman" w:cs="Times New Roman"/>
          <w:sz w:val="24"/>
          <w:szCs w:val="24"/>
          <w:u w:val="single"/>
        </w:rPr>
        <w:t>病死</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羊、不合格肉品</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含牛羊三腺</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，配套有专门的一次性包装材料（瓦楞纸+塑料薄膜），确保包装后防水、防渗、防破损以及耐腐蚀；</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u w:val="single"/>
          <w:lang w:val="en-US" w:eastAsia="zh-CN"/>
        </w:rPr>
        <w:t>包装材料的容积、尺寸和数量与需包装产品的体积、数量、相匹配；包装完毕后，应进行胶带密封。</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b</w:t>
      </w:r>
      <w:r>
        <w:rPr>
          <w:rFonts w:hint="eastAsia" w:ascii="Times New Roman" w:hAnsi="Times New Roman" w:eastAsia="宋体" w:cs="Times New Roman"/>
          <w:sz w:val="24"/>
          <w:szCs w:val="24"/>
          <w:highlight w:val="none"/>
          <w:u w:val="single"/>
          <w:lang w:eastAsia="zh-CN"/>
        </w:rPr>
        <w:t>、</w:t>
      </w:r>
      <w:r>
        <w:rPr>
          <w:rFonts w:hint="eastAsia" w:ascii="Times New Roman" w:hAnsi="Times New Roman" w:eastAsia="宋体" w:cs="Times New Roman"/>
          <w:sz w:val="24"/>
          <w:szCs w:val="24"/>
          <w:highlight w:val="none"/>
          <w:u w:val="single"/>
          <w:lang w:val="en-US" w:eastAsia="zh-CN"/>
        </w:rPr>
        <w:t>暂存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包装完毕后的</w:t>
      </w:r>
      <w:r>
        <w:rPr>
          <w:rFonts w:hint="default" w:ascii="Times New Roman" w:hAnsi="Times New Roman" w:cs="Times New Roman"/>
          <w:sz w:val="24"/>
          <w:szCs w:val="24"/>
          <w:u w:val="single"/>
        </w:rPr>
        <w:t>病死</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羊、不合格肉品</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含牛羊三腺</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highlight w:val="none"/>
          <w:u w:val="single"/>
          <w:lang w:val="en-US" w:eastAsia="zh-CN"/>
        </w:rPr>
        <w:t>，采用冷冻方式进行暂存，防止无害化处理前，发生产品腐败；</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highlight w:val="yellow"/>
          <w:u w:val="single"/>
          <w:lang w:eastAsia="zh-CN"/>
        </w:rPr>
      </w:pPr>
      <w:r>
        <w:rPr>
          <w:rFonts w:hint="eastAsia" w:ascii="Times New Roman" w:hAnsi="Times New Roman" w:eastAsia="宋体" w:cs="Times New Roman"/>
          <w:sz w:val="24"/>
          <w:szCs w:val="24"/>
          <w:highlight w:val="none"/>
          <w:u w:val="single"/>
          <w:lang w:val="en-US" w:eastAsia="zh-CN"/>
        </w:rPr>
        <w:t>该暂存场所与正常肉制品暂存区域相隔离，为冷库内独立的区域；有明显的警示标识，且能定期进行清洗和消毒</w:t>
      </w:r>
      <w:r>
        <w:rPr>
          <w:rFonts w:hint="default" w:ascii="Times New Roman" w:hAnsi="Times New Roman" w:cs="Times New Roman"/>
          <w:sz w:val="24"/>
          <w:szCs w:val="24"/>
          <w:highlight w:val="none"/>
          <w:u w:val="singl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c、转运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u w:val="single"/>
          <w:lang w:val="en-US"/>
        </w:rPr>
      </w:pPr>
      <w:r>
        <w:rPr>
          <w:rFonts w:hint="eastAsia" w:ascii="Times New Roman" w:hAnsi="Times New Roman" w:eastAsia="宋体" w:cs="Times New Roman"/>
          <w:sz w:val="24"/>
          <w:szCs w:val="24"/>
          <w:highlight w:val="none"/>
          <w:u w:val="single"/>
          <w:lang w:val="en-US" w:eastAsia="zh-CN"/>
        </w:rPr>
        <w:t>由叶县益康动物无害化处理有限公司提供符合GB19217条件的运输车辆，负责该部分固废的转运。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该转运转移车辆应有明显标识，并加装车载定位系统，记录转运时间和路径等信息；在驶离暂存场所前，对车轮及车厢外部进行消毒；在行驶过程中应尽量避免进入人口密集区。</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5.2.5.2</w:t>
      </w:r>
      <w:r>
        <w:rPr>
          <w:rFonts w:hint="default" w:ascii="Times New Roman" w:hAnsi="Times New Roman" w:cs="Times New Roman"/>
          <w:b/>
          <w:bCs/>
          <w:sz w:val="24"/>
          <w:szCs w:val="24"/>
        </w:rPr>
        <w:t>危险废物</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本项目危险固废贮存位置及贮存要求详见下表。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276"/>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38</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本项目危险废物分类贮存与处置情况</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rPr>
        <w:t>t</w:t>
      </w:r>
      <w:r>
        <w:rPr>
          <w:rFonts w:ascii="Times New Roman" w:hAnsi="Times New Roman" w:eastAsia="Times New Roman" w:cs="Times New Roman"/>
          <w:b/>
          <w:bCs/>
          <w:spacing w:val="-1"/>
          <w:sz w:val="24"/>
          <w:szCs w:val="24"/>
        </w:rPr>
        <w:t>/a</w:t>
      </w:r>
    </w:p>
    <w:tbl>
      <w:tblPr>
        <w:tblStyle w:val="24"/>
        <w:tblW w:w="8595" w:type="dxa"/>
        <w:tblInd w:w="125"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1259"/>
        <w:gridCol w:w="1030"/>
        <w:gridCol w:w="1222"/>
        <w:gridCol w:w="867"/>
        <w:gridCol w:w="741"/>
        <w:gridCol w:w="756"/>
        <w:gridCol w:w="798"/>
        <w:gridCol w:w="81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21" w:hRule="atLeast"/>
        </w:trPr>
        <w:tc>
          <w:tcPr>
            <w:tcW w:w="110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7"/>
              </w:rPr>
            </w:pPr>
            <w:r>
              <w:rPr>
                <w:spacing w:val="7"/>
              </w:rPr>
              <w:t>贮存场所</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2"/>
              </w:rPr>
              <w:t>（设施）</w:t>
            </w:r>
          </w:p>
        </w:tc>
        <w:tc>
          <w:tcPr>
            <w:tcW w:w="125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危险废物</w:t>
            </w:r>
            <w:r>
              <w:rPr>
                <w:spacing w:val="3"/>
              </w:rPr>
              <w:t>名称</w:t>
            </w:r>
          </w:p>
        </w:tc>
        <w:tc>
          <w:tcPr>
            <w:tcW w:w="10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类别</w:t>
            </w:r>
          </w:p>
        </w:tc>
        <w:tc>
          <w:tcPr>
            <w:tcW w:w="122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废物代码</w:t>
            </w:r>
          </w:p>
        </w:tc>
        <w:tc>
          <w:tcPr>
            <w:tcW w:w="86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位置</w:t>
            </w:r>
          </w:p>
        </w:tc>
        <w:tc>
          <w:tcPr>
            <w:tcW w:w="74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3"/>
                <w:position w:val="7"/>
              </w:rPr>
              <w:t>占地</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面积</w:t>
            </w:r>
          </w:p>
        </w:tc>
        <w:tc>
          <w:tcPr>
            <w:tcW w:w="75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position w:val="7"/>
              </w:rPr>
              <w:t>贮存</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方式</w:t>
            </w:r>
          </w:p>
        </w:tc>
        <w:tc>
          <w:tcPr>
            <w:tcW w:w="79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position w:val="7"/>
              </w:rPr>
              <w:t>贮存</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t>能力</w:t>
            </w:r>
          </w:p>
        </w:tc>
        <w:tc>
          <w:tcPr>
            <w:tcW w:w="81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position w:val="7"/>
              </w:rPr>
              <w:t>贮存</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周期</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110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危废暂存</w:t>
            </w:r>
            <w:r>
              <w:t>间</w:t>
            </w:r>
          </w:p>
        </w:tc>
        <w:tc>
          <w:tcPr>
            <w:tcW w:w="125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检疫废物</w:t>
            </w:r>
          </w:p>
        </w:tc>
        <w:tc>
          <w:tcPr>
            <w:tcW w:w="103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49</w:t>
            </w:r>
          </w:p>
        </w:tc>
        <w:tc>
          <w:tcPr>
            <w:tcW w:w="122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900-047-49</w:t>
            </w:r>
          </w:p>
        </w:tc>
        <w:tc>
          <w:tcPr>
            <w:tcW w:w="867"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rPr>
            </w:pPr>
            <w:r>
              <w:rPr>
                <w:spacing w:val="6"/>
                <w:highlight w:val="none"/>
              </w:rPr>
              <w:t>厂区东</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highlight w:val="none"/>
              </w:rPr>
              <w:t>北侧</w:t>
            </w:r>
          </w:p>
        </w:tc>
        <w:tc>
          <w:tcPr>
            <w:tcW w:w="741"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5m</w:t>
            </w:r>
            <w:r>
              <w:rPr>
                <w:rFonts w:ascii="Times New Roman" w:hAnsi="Times New Roman" w:eastAsia="Times New Roman" w:cs="Times New Roman"/>
                <w:spacing w:val="2"/>
                <w:position w:val="5"/>
                <w:sz w:val="13"/>
                <w:szCs w:val="13"/>
              </w:rPr>
              <w:t>2</w:t>
            </w:r>
          </w:p>
        </w:tc>
        <w:tc>
          <w:tcPr>
            <w:tcW w:w="756"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rPr>
              <w:t>桶装</w:t>
            </w:r>
          </w:p>
        </w:tc>
        <w:tc>
          <w:tcPr>
            <w:tcW w:w="79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81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ascii="Times New Roman" w:hAnsi="Times New Roman" w:eastAsia="宋体" w:cs="Times New Roman"/>
                <w:spacing w:val="-2"/>
                <w:lang w:val="en-US" w:eastAsia="zh-CN"/>
              </w:rPr>
              <w:t>15</w:t>
            </w:r>
            <w:r>
              <w:rPr>
                <w:spacing w:val="-2"/>
              </w:rPr>
              <w:t>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74" w:hRule="atLeast"/>
        </w:trPr>
        <w:tc>
          <w:tcPr>
            <w:tcW w:w="110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25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废油脂</w:t>
            </w:r>
          </w:p>
        </w:tc>
        <w:tc>
          <w:tcPr>
            <w:tcW w:w="103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2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900-210-08</w:t>
            </w:r>
          </w:p>
        </w:tc>
        <w:tc>
          <w:tcPr>
            <w:tcW w:w="86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41"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5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79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2"/>
                <w:sz w:val="20"/>
                <w:szCs w:val="20"/>
                <w:lang w:val="en-US" w:eastAsia="zh-CN"/>
              </w:rPr>
              <w:t>1</w:t>
            </w:r>
            <w:r>
              <w:rPr>
                <w:rFonts w:ascii="Times New Roman" w:hAnsi="Times New Roman" w:eastAsia="Times New Roman" w:cs="Times New Roman"/>
                <w:spacing w:val="2"/>
                <w:sz w:val="20"/>
                <w:szCs w:val="20"/>
              </w:rPr>
              <w:t>t</w:t>
            </w:r>
          </w:p>
        </w:tc>
        <w:tc>
          <w:tcPr>
            <w:tcW w:w="81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ascii="Times New Roman" w:hAnsi="Times New Roman" w:eastAsia="宋体" w:cs="Times New Roman"/>
                <w:spacing w:val="1"/>
                <w:lang w:val="en-US" w:eastAsia="zh-CN"/>
              </w:rPr>
              <w:t>1</w:t>
            </w:r>
            <w:r>
              <w:rPr>
                <w:spacing w:val="1"/>
              </w:rPr>
              <w:t>个月</w:t>
            </w:r>
          </w:p>
        </w:tc>
      </w:tr>
    </w:tbl>
    <w:p>
      <w:pPr>
        <w:spacing w:before="130" w:line="384" w:lineRule="auto"/>
        <w:ind w:left="122" w:right="113" w:firstLine="480"/>
        <w:jc w:val="both"/>
        <w:rPr>
          <w:rFonts w:ascii="宋体" w:hAnsi="宋体" w:eastAsia="宋体" w:cs="宋体"/>
          <w:sz w:val="24"/>
          <w:szCs w:val="24"/>
        </w:rPr>
      </w:pPr>
      <w:r>
        <w:rPr>
          <w:rFonts w:ascii="宋体" w:hAnsi="宋体" w:eastAsia="宋体" w:cs="宋体"/>
          <w:spacing w:val="2"/>
          <w:sz w:val="24"/>
          <w:szCs w:val="24"/>
        </w:rPr>
        <w:t>本项目营运后产生的危险废物主要包括检疫废物和废油脂，危险废物统一收集，分类贮存在符合危险废物贮存标准的容器储存，加上标签，并有专人管理。作好危险废物情况的记录，记录上须注明危险废物的名称、来源、数量、特</w:t>
      </w:r>
      <w:r>
        <w:rPr>
          <w:rFonts w:ascii="宋体" w:hAnsi="宋体" w:eastAsia="宋体" w:cs="宋体"/>
          <w:sz w:val="24"/>
          <w:szCs w:val="24"/>
        </w:rPr>
        <w:t>性和包装容器的类别、入库日期、存放库位、</w:t>
      </w:r>
      <w:r>
        <w:rPr>
          <w:rFonts w:ascii="宋体" w:hAnsi="宋体" w:eastAsia="宋体" w:cs="宋体"/>
          <w:spacing w:val="-1"/>
          <w:sz w:val="24"/>
          <w:szCs w:val="24"/>
        </w:rPr>
        <w:t>废物出库日期及接收单位名称。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本项目在厂区设置1处5m</w:t>
      </w:r>
      <w:r>
        <w:rPr>
          <w:rFonts w:hint="default" w:ascii="Times New Roman" w:hAnsi="Times New Roman" w:eastAsia="宋体" w:cs="Times New Roman"/>
          <w:sz w:val="24"/>
          <w:szCs w:val="24"/>
          <w:u w:val="single"/>
          <w:vertAlign w:val="superscript"/>
        </w:rPr>
        <w:t>2</w:t>
      </w:r>
      <w:r>
        <w:rPr>
          <w:rFonts w:hint="default" w:ascii="Times New Roman" w:hAnsi="Times New Roman" w:eastAsia="宋体" w:cs="Times New Roman"/>
          <w:sz w:val="24"/>
          <w:szCs w:val="24"/>
          <w:u w:val="single"/>
        </w:rPr>
        <w:t>的危废暂存间，其贮存场地应按照环境保护部公告2017年第43号《建设项目危险废物环境影响评价指南》、《危险废物贮存污染控制标准》（GB18597-2023）中相关规定，做到以下防护措施：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1</w:t>
      </w:r>
      <w:r>
        <w:rPr>
          <w:rFonts w:hint="eastAsia"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危废暂存间要做到“防风、防晒、防雨、防漏、防渗、防腐以及其他环境污染防治措施 ”的要求。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2</w:t>
      </w:r>
      <w:r>
        <w:rPr>
          <w:rFonts w:hint="eastAsia"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危险废物暂存间地面、墙面裙脚、堵截泄漏的围堰、接触危险废物的隔板和墙体等应采用坚固的材料建造，表面无裂缝；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3</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危险废物暂存间应具有固定的区域边界，并应采取与其他进行隔离的措施；采取防风、防雨、防晒和防止危险废物流失、扬散等措施；危险废物应置于容器或 包装物中，不应直接散堆。贮存设施地面与裙脚应采取表面防渗措施；表面防渗材料应与所接触的物料或污染物相容，可采用抗渗混凝土、高密度聚乙烯膜、钠基膨润土</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防水毯或其他防渗；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4</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危险废物贮存设施或贮存分区内地面、墙面裙脚、堵截泄漏的围堰、接触 危险废物的隔板和墙体等应采用坚固的材料建造，表面无裂缝。贮存的危险废物直 接接触地面的，还应进行基础防渗，防渗层为至少1m厚黏土层（渗透系数≤10</w:t>
      </w:r>
      <w:r>
        <w:rPr>
          <w:rFonts w:hint="default" w:ascii="Times New Roman" w:hAnsi="Times New Roman" w:cs="Times New Roman"/>
          <w:sz w:val="24"/>
          <w:szCs w:val="24"/>
          <w:u w:val="single"/>
          <w:vertAlign w:val="superscript"/>
        </w:rPr>
        <w:t>-7</w:t>
      </w:r>
      <w:r>
        <w:rPr>
          <w:rFonts w:hint="default" w:ascii="Times New Roman" w:hAnsi="Times New Roman" w:cs="Times New Roman"/>
          <w:sz w:val="24"/>
          <w:szCs w:val="24"/>
          <w:u w:val="single"/>
        </w:rPr>
        <w:t>cm/s），或至少2mm厚高密度聚乙烯膜等人工防渗材料（渗透系数≤10</w:t>
      </w:r>
      <w:r>
        <w:rPr>
          <w:rFonts w:hint="default" w:ascii="Times New Roman" w:hAnsi="Times New Roman" w:cs="Times New Roman"/>
          <w:sz w:val="24"/>
          <w:szCs w:val="24"/>
          <w:u w:val="single"/>
          <w:vertAlign w:val="superscript"/>
        </w:rPr>
        <w:t>-10</w:t>
      </w:r>
      <w:r>
        <w:rPr>
          <w:rFonts w:hint="default" w:ascii="Times New Roman" w:hAnsi="Times New Roman" w:cs="Times New Roman"/>
          <w:sz w:val="24"/>
          <w:szCs w:val="24"/>
          <w:u w:val="single"/>
        </w:rPr>
        <w:t>cm/s），或其他防渗性能等效的材料。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5</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应定期检查危险废物的贮存状况，及时清理贮存设施地面，更换破损泄漏 的危险废物贮存容器和包装物，保证堆存危险废物的防雨、防风、防扬尘等设施功能完好。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6</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应按国家有关标准和规定建立危险废物管理台账并保存；贮存设施所有者 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7</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危险废物贮存点及时清理贮存的危险废物。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8</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危险废物的处置应委托有危险废物处理资质的单位进行安全处置。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所在地块地址结构稳定，设施底部高于地下水位，不在生态保护红线区域、永久基本农田和其他需要特别保护的区域内，不在溶洞区或易遭受洪水、滑坡、泥石流、潮汐等严重自然灾害影响的地区，同时也不在江河、湖泊、运河、渠道、水库及其最高水位线以下的滩地和岸坡，厂区内的危废间建设符合《危险废物贮存污染控制标准》（GB18597-2023）中规定的贮存设施选址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企业应在投入运行前与相应资质单位签订委托处置协议，并对危险废物妥善暂存，禁止随意排放污染环境。</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eastAsia="宋体" w:cs="Times New Roman"/>
          <w:b/>
          <w:bCs/>
          <w:sz w:val="24"/>
          <w:szCs w:val="24"/>
          <w:lang w:val="en-US" w:eastAsia="zh-CN"/>
        </w:rPr>
        <w:t>5.2.5.</w:t>
      </w:r>
      <w:r>
        <w:rPr>
          <w:rFonts w:hint="default" w:ascii="Times New Roman" w:hAnsi="Times New Roman" w:cs="Times New Roman"/>
          <w:b/>
          <w:bCs/>
          <w:sz w:val="24"/>
          <w:szCs w:val="24"/>
        </w:rPr>
        <w:t>3生活垃圾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本项目生活垃圾厂区收集后，交由环卫部门统一处置。</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eastAsia="宋体" w:cs="Times New Roman"/>
          <w:b/>
          <w:bCs/>
          <w:sz w:val="24"/>
          <w:szCs w:val="24"/>
          <w:lang w:val="en-US" w:eastAsia="zh-CN"/>
        </w:rPr>
        <w:t>5.2.5.4</w:t>
      </w:r>
      <w:r>
        <w:rPr>
          <w:rFonts w:hint="default" w:ascii="Times New Roman" w:hAnsi="Times New Roman" w:cs="Times New Roman"/>
          <w:b/>
          <w:bCs/>
          <w:sz w:val="24"/>
          <w:szCs w:val="24"/>
        </w:rPr>
        <w:t>固体废物的影响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对环境空气的影响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固体废物在产生、运输过程中，严格按固废管理、贮运要求管理，同时采用封闭措施，可消除对当地环境空气的影响。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对土壤环境的影响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本项目需处理固体废物主要是粪便、污水处理站产生的固废和生活垃圾等，均采取有效的防渗措施，不会对周围土壤产生影响。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对地表水的影响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固体废物一旦与水和地表径流相遇，其中的有害成份就会渗漏出来，污染物中有害成份随浸出液体进入地面水体，使地面水体受到污染，随渗水进入土壤则污染地下水，可能对地面水体和地下水体造成二次污染。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对地下水的影响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废弃物收集处应在地面进行防渗处理的基础上采用半封闭贮存，做好围护、棚遮，在消除风起扬尘的同时，避免产生淋溶水的机会，防止因渗漏、淋溶造成地下水污染。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5</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固体废物储存及清运</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鉴于本项目产生的固体废物有各种不同的形态，因此本项目固体废物不同性质、形态分别临时存放，如粪便、屠宰废弃物等用容器收集后可暂存在专用的存放间，集中清运处理；本项目工业固体废物临时暂存间所将严格按照《一般工业固体废物贮存和填埋污染控制标准》（GB18599-2020）的要求规范建设和维护使用；检疫废 物属于危险废物，应按《危险废物贮存污染控制标准》（GB 18597-2023）的规定建设危废暂存间。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固体废物对水体和土壤环境的影响主要是通过大气降水产生淋滤液，含污染成分的淋滤液进入水体和土壤造成环境污染，对大气环境的影响主要是通过释放出有害气体等对大气造成污染本项目遵循“减量化、资源化和无害化”的原则，对固体废物分类管理，按不同性质分别以专用固废容器储存，可以利用部分全部回收综合利用，将废物资源化。</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临时贮存场所均设置了防风、防雨、防渗漏措施，及时清运固体废物，从产生、收集、储存、运输、利用直到最终处置的全部过程进行污染控制，有效避免了雨水淋滤而造成对地表水和地下水的影响，采用密闭容器储存垃圾，及时清运，并做好环境管理台账记录。</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在各类固体废物的清运过程中，务必做到以下几点：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①运输车辆应按规定配置防洒落装备，装载不宜过满，保证运输过程中不散 落；并规划好运输车辆的运行路线与时间，尽量避免在繁华区和居民住宅前等敏感区行驶。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②运输车辆加蓬盖，且离开装、卸场地前应先清洁车身，减少车轮、底盘等携带物散落路面。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③对运输过程中散落在路面上的垃圾要及时清扫，以减少运行过程中的固废污染。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此外，固体废物堆放点应定期清洁，同时场区应配备固体废弃物清扫、收集和管理队伍，对固体废弃物进行统一管理，保持场区环境清洁。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综上所述，本项目产生的各种固体废物均能够得到安全处置，加之采取必要的管理措施，对环境影响很小。</w:t>
      </w:r>
    </w:p>
    <w:p>
      <w:pPr>
        <w:spacing w:before="92" w:line="224" w:lineRule="auto"/>
        <w:outlineLvl w:val="3"/>
        <w:rPr>
          <w:rFonts w:ascii="楷体" w:hAnsi="楷体" w:eastAsia="楷体" w:cs="楷体"/>
          <w:b/>
          <w:bCs/>
          <w:sz w:val="28"/>
          <w:szCs w:val="28"/>
        </w:rPr>
      </w:pPr>
      <w:bookmarkStart w:id="351" w:name="bookmark98"/>
      <w:bookmarkEnd w:id="351"/>
      <w:r>
        <w:rPr>
          <w:rFonts w:ascii="Times New Roman" w:hAnsi="Times New Roman" w:eastAsia="Times New Roman" w:cs="Times New Roman"/>
          <w:b/>
          <w:bCs/>
          <w:spacing w:val="-1"/>
          <w:sz w:val="28"/>
          <w:szCs w:val="28"/>
        </w:rPr>
        <w:t xml:space="preserve">5.2.6  </w:t>
      </w:r>
      <w:r>
        <w:rPr>
          <w:rFonts w:ascii="楷体" w:hAnsi="楷体" w:eastAsia="楷体" w:cs="楷体"/>
          <w:b/>
          <w:bCs/>
          <w:spacing w:val="-1"/>
          <w:sz w:val="28"/>
          <w:szCs w:val="28"/>
        </w:rPr>
        <w:t>环境风险评价</w:t>
      </w:r>
    </w:p>
    <w:p>
      <w:pPr>
        <w:spacing w:before="228" w:line="218" w:lineRule="auto"/>
        <w:ind w:left="49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（一）风险评价目的</w:t>
      </w:r>
    </w:p>
    <w:p>
      <w:pPr>
        <w:spacing w:before="216" w:line="384" w:lineRule="auto"/>
        <w:ind w:left="1" w:right="80" w:firstLine="479"/>
        <w:rPr>
          <w:rFonts w:ascii="宋体" w:hAnsi="宋体" w:eastAsia="宋体" w:cs="宋体"/>
          <w:spacing w:val="-1"/>
          <w:sz w:val="24"/>
          <w:szCs w:val="24"/>
        </w:rPr>
      </w:pPr>
      <w:r>
        <w:rPr>
          <w:rFonts w:ascii="宋体" w:hAnsi="宋体" w:eastAsia="宋体" w:cs="宋体"/>
          <w:spacing w:val="2"/>
          <w:sz w:val="24"/>
          <w:szCs w:val="24"/>
        </w:rPr>
        <w:t>根据国家环保部环发</w:t>
      </w:r>
      <w:r>
        <w:rPr>
          <w:rFonts w:ascii="Times New Roman" w:hAnsi="Times New Roman" w:eastAsia="Times New Roman" w:cs="Times New Roman"/>
          <w:spacing w:val="2"/>
          <w:sz w:val="24"/>
          <w:szCs w:val="24"/>
        </w:rPr>
        <w:t>[2012]77</w:t>
      </w:r>
      <w:r>
        <w:rPr>
          <w:rFonts w:ascii="宋体" w:hAnsi="宋体" w:eastAsia="宋体" w:cs="宋体"/>
          <w:spacing w:val="2"/>
          <w:sz w:val="24"/>
          <w:szCs w:val="24"/>
        </w:rPr>
        <w:t>号文《关于进一步加强环境影响评价管理防范环境风险的通知》的要求，按照《建设项目环境风险评价技术导则》（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169-2018</w:t>
      </w:r>
      <w:r>
        <w:rPr>
          <w:rFonts w:ascii="宋体" w:hAnsi="宋体" w:eastAsia="宋体" w:cs="宋体"/>
          <w:spacing w:val="2"/>
          <w:sz w:val="24"/>
          <w:szCs w:val="24"/>
        </w:rPr>
        <w:t>）</w:t>
      </w:r>
      <w:r>
        <w:rPr>
          <w:rFonts w:ascii="宋体" w:hAnsi="宋体" w:eastAsia="宋体" w:cs="宋体"/>
          <w:spacing w:val="-1"/>
          <w:sz w:val="24"/>
          <w:szCs w:val="24"/>
        </w:rPr>
        <w:t>的要求开展环境风险评价工作，为工程设计和环境管理提供资料和依据。</w:t>
      </w:r>
    </w:p>
    <w:p>
      <w:pPr>
        <w:pStyle w:val="8"/>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88" w:firstLineChars="200"/>
        <w:textAlignment w:val="baseline"/>
        <w:rPr>
          <w:rFonts w:ascii="宋体" w:hAnsi="宋体" w:eastAsia="宋体" w:cs="宋体"/>
          <w:sz w:val="24"/>
          <w:szCs w:val="24"/>
        </w:rPr>
      </w:pPr>
      <w:r>
        <w:rPr>
          <w:rFonts w:ascii="宋体" w:hAnsi="宋体" w:eastAsia="宋体" w:cs="宋体"/>
          <w:spacing w:val="2"/>
          <w:sz w:val="24"/>
          <w:szCs w:val="24"/>
        </w:rPr>
        <w:t>环境风险评价的目的是分析和预测建设项目存在的潜在危险、有害因素，建设</w:t>
      </w:r>
      <w:r>
        <w:rPr>
          <w:rFonts w:ascii="宋体" w:hAnsi="宋体" w:eastAsia="宋体" w:cs="宋体"/>
          <w:spacing w:val="1"/>
          <w:sz w:val="24"/>
          <w:szCs w:val="24"/>
        </w:rPr>
        <w:t>项目建设和运行期间可能发生的突发性事故（一般</w:t>
      </w:r>
      <w:r>
        <w:rPr>
          <w:rFonts w:ascii="宋体" w:hAnsi="宋体" w:eastAsia="宋体" w:cs="宋体"/>
          <w:sz w:val="24"/>
          <w:szCs w:val="24"/>
        </w:rPr>
        <w:t>不包括人为破坏及自然灾害</w:t>
      </w:r>
      <w:r>
        <w:rPr>
          <w:rFonts w:ascii="宋体" w:hAnsi="宋体" w:eastAsia="宋体" w:cs="宋体"/>
          <w:spacing w:val="2"/>
          <w:sz w:val="24"/>
          <w:szCs w:val="24"/>
        </w:rPr>
        <w:t>），引起有毒有害和易燃易爆等物质泄漏，所造成的人身安全与环境影响和损害程度，提出合理可行的防范、应急与减缓措施，以使建设项目事故率、损失和环境影响达</w:t>
      </w:r>
      <w:r>
        <w:rPr>
          <w:rFonts w:ascii="宋体" w:hAnsi="宋体" w:eastAsia="宋体" w:cs="宋体"/>
          <w:spacing w:val="-3"/>
          <w:sz w:val="24"/>
          <w:szCs w:val="24"/>
        </w:rPr>
        <w:t>到可接受水平。</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61"/>
        <w:textAlignment w:val="baseline"/>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（二）风险潜势值判定</w:t>
      </w:r>
    </w:p>
    <w:p>
      <w:pPr>
        <w:spacing w:before="214" w:line="219" w:lineRule="auto"/>
        <w:ind w:left="570"/>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风险潜势值判定</w:t>
      </w:r>
    </w:p>
    <w:p>
      <w:pPr>
        <w:spacing w:before="214" w:line="499" w:lineRule="exact"/>
        <w:jc w:val="right"/>
        <w:rPr>
          <w:rFonts w:ascii="宋体" w:hAnsi="宋体" w:eastAsia="宋体" w:cs="宋体"/>
          <w:sz w:val="24"/>
          <w:szCs w:val="24"/>
        </w:rPr>
      </w:pPr>
      <w:r>
        <w:rPr>
          <w:rFonts w:ascii="宋体" w:hAnsi="宋体" w:eastAsia="宋体" w:cs="宋体"/>
          <w:spacing w:val="-1"/>
          <w:position w:val="20"/>
          <w:sz w:val="24"/>
          <w:szCs w:val="24"/>
        </w:rPr>
        <w:t>根据《建设项目环境风险评价技术导则》（</w:t>
      </w:r>
      <w:r>
        <w:rPr>
          <w:rFonts w:ascii="Times New Roman" w:hAnsi="Times New Roman" w:eastAsia="Times New Roman" w:cs="Times New Roman"/>
          <w:spacing w:val="-1"/>
          <w:position w:val="20"/>
          <w:sz w:val="24"/>
          <w:szCs w:val="24"/>
        </w:rPr>
        <w:t>HJ169-2</w:t>
      </w:r>
      <w:r>
        <w:rPr>
          <w:rFonts w:ascii="Times New Roman" w:hAnsi="Times New Roman" w:eastAsia="Times New Roman" w:cs="Times New Roman"/>
          <w:spacing w:val="-2"/>
          <w:position w:val="20"/>
          <w:sz w:val="24"/>
          <w:szCs w:val="24"/>
        </w:rPr>
        <w:t>018</w:t>
      </w:r>
      <w:r>
        <w:rPr>
          <w:rFonts w:ascii="宋体" w:hAnsi="宋体" w:eastAsia="宋体" w:cs="宋体"/>
          <w:spacing w:val="-2"/>
          <w:position w:val="20"/>
          <w:sz w:val="24"/>
          <w:szCs w:val="24"/>
        </w:rPr>
        <w:t>）附录</w:t>
      </w:r>
      <w:r>
        <w:rPr>
          <w:rFonts w:ascii="宋体" w:hAnsi="宋体" w:eastAsia="宋体" w:cs="宋体"/>
          <w:spacing w:val="-52"/>
          <w:position w:val="20"/>
          <w:sz w:val="24"/>
          <w:szCs w:val="24"/>
        </w:rPr>
        <w:t xml:space="preserve"> </w:t>
      </w:r>
      <w:r>
        <w:rPr>
          <w:rFonts w:ascii="Times New Roman" w:hAnsi="Times New Roman" w:eastAsia="Times New Roman" w:cs="Times New Roman"/>
          <w:spacing w:val="-2"/>
          <w:position w:val="20"/>
          <w:sz w:val="24"/>
          <w:szCs w:val="24"/>
        </w:rPr>
        <w:t>C</w:t>
      </w:r>
      <w:r>
        <w:rPr>
          <w:rFonts w:ascii="Times New Roman" w:hAnsi="Times New Roman" w:eastAsia="Times New Roman" w:cs="Times New Roman"/>
          <w:spacing w:val="33"/>
          <w:position w:val="20"/>
          <w:sz w:val="24"/>
          <w:szCs w:val="24"/>
        </w:rPr>
        <w:t xml:space="preserve"> </w:t>
      </w:r>
      <w:r>
        <w:rPr>
          <w:rFonts w:ascii="宋体" w:hAnsi="宋体" w:eastAsia="宋体" w:cs="宋体"/>
          <w:spacing w:val="-2"/>
          <w:position w:val="20"/>
          <w:sz w:val="24"/>
          <w:szCs w:val="24"/>
        </w:rPr>
        <w:t>中提出的</w:t>
      </w:r>
      <w:r>
        <w:rPr>
          <w:rFonts w:ascii="宋体" w:hAnsi="宋体" w:eastAsia="宋体" w:cs="宋体"/>
          <w:spacing w:val="-49"/>
          <w:position w:val="20"/>
          <w:sz w:val="24"/>
          <w:szCs w:val="24"/>
        </w:rPr>
        <w:t xml:space="preserve"> </w:t>
      </w:r>
      <w:r>
        <w:rPr>
          <w:rFonts w:ascii="Times New Roman" w:hAnsi="Times New Roman" w:eastAsia="Times New Roman" w:cs="Times New Roman"/>
          <w:spacing w:val="-2"/>
          <w:position w:val="20"/>
          <w:sz w:val="24"/>
          <w:szCs w:val="24"/>
        </w:rPr>
        <w:t xml:space="preserve">Q </w:t>
      </w:r>
      <w:r>
        <w:rPr>
          <w:rFonts w:ascii="宋体" w:hAnsi="宋体" w:eastAsia="宋体" w:cs="宋体"/>
          <w:spacing w:val="-2"/>
          <w:position w:val="20"/>
          <w:sz w:val="24"/>
          <w:szCs w:val="24"/>
        </w:rPr>
        <w:t>值</w:t>
      </w:r>
    </w:p>
    <w:p>
      <w:pPr>
        <w:spacing w:line="212" w:lineRule="auto"/>
        <w:ind w:left="71"/>
        <w:rPr>
          <w:rFonts w:ascii="宋体" w:hAnsi="宋体" w:eastAsia="宋体" w:cs="宋体"/>
          <w:sz w:val="24"/>
          <w:szCs w:val="24"/>
        </w:rPr>
      </w:pPr>
      <w:r>
        <w:rPr>
          <w:rFonts w:ascii="宋体" w:hAnsi="宋体" w:eastAsia="宋体" w:cs="宋体"/>
          <w:spacing w:val="-1"/>
          <w:sz w:val="24"/>
          <w:szCs w:val="24"/>
        </w:rPr>
        <w:t>计算公式对本项目所涉及风险物质</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Q </w:t>
      </w:r>
      <w:r>
        <w:rPr>
          <w:rFonts w:ascii="宋体" w:hAnsi="宋体" w:eastAsia="宋体" w:cs="宋体"/>
          <w:spacing w:val="-1"/>
          <w:sz w:val="24"/>
          <w:szCs w:val="24"/>
        </w:rPr>
        <w:t>值进行计算，计算公式如下：</w:t>
      </w:r>
    </w:p>
    <w:p>
      <w:pPr>
        <w:spacing w:before="224" w:line="499" w:lineRule="exact"/>
        <w:jc w:val="right"/>
        <w:rPr>
          <w:rFonts w:ascii="宋体" w:hAnsi="宋体" w:eastAsia="宋体" w:cs="宋体"/>
          <w:sz w:val="24"/>
          <w:szCs w:val="24"/>
        </w:rPr>
      </w:pPr>
      <w:r>
        <w:rPr>
          <w:rFonts w:ascii="宋体" w:hAnsi="宋体" w:eastAsia="宋体" w:cs="宋体"/>
          <w:spacing w:val="-1"/>
          <w:position w:val="20"/>
          <w:sz w:val="24"/>
          <w:szCs w:val="24"/>
        </w:rPr>
        <w:t>根据《建设项目环境风险评价技术导则》（</w:t>
      </w:r>
      <w:r>
        <w:rPr>
          <w:rFonts w:ascii="Times New Roman" w:hAnsi="Times New Roman" w:eastAsia="Times New Roman" w:cs="Times New Roman"/>
          <w:spacing w:val="-1"/>
          <w:position w:val="20"/>
          <w:sz w:val="24"/>
          <w:szCs w:val="24"/>
        </w:rPr>
        <w:t>HJ169-2</w:t>
      </w:r>
      <w:r>
        <w:rPr>
          <w:rFonts w:ascii="Times New Roman" w:hAnsi="Times New Roman" w:eastAsia="Times New Roman" w:cs="Times New Roman"/>
          <w:spacing w:val="-2"/>
          <w:position w:val="20"/>
          <w:sz w:val="24"/>
          <w:szCs w:val="24"/>
        </w:rPr>
        <w:t>018</w:t>
      </w:r>
      <w:r>
        <w:rPr>
          <w:rFonts w:ascii="宋体" w:hAnsi="宋体" w:eastAsia="宋体" w:cs="宋体"/>
          <w:spacing w:val="-2"/>
          <w:position w:val="20"/>
          <w:sz w:val="24"/>
          <w:szCs w:val="24"/>
        </w:rPr>
        <w:t>）附录</w:t>
      </w:r>
      <w:r>
        <w:rPr>
          <w:rFonts w:ascii="宋体" w:hAnsi="宋体" w:eastAsia="宋体" w:cs="宋体"/>
          <w:spacing w:val="-52"/>
          <w:position w:val="20"/>
          <w:sz w:val="24"/>
          <w:szCs w:val="24"/>
        </w:rPr>
        <w:t xml:space="preserve"> </w:t>
      </w:r>
      <w:r>
        <w:rPr>
          <w:rFonts w:ascii="Times New Roman" w:hAnsi="Times New Roman" w:eastAsia="Times New Roman" w:cs="Times New Roman"/>
          <w:spacing w:val="-2"/>
          <w:position w:val="20"/>
          <w:sz w:val="24"/>
          <w:szCs w:val="24"/>
        </w:rPr>
        <w:t>C</w:t>
      </w:r>
      <w:r>
        <w:rPr>
          <w:rFonts w:ascii="Times New Roman" w:hAnsi="Times New Roman" w:eastAsia="Times New Roman" w:cs="Times New Roman"/>
          <w:spacing w:val="33"/>
          <w:position w:val="20"/>
          <w:sz w:val="24"/>
          <w:szCs w:val="24"/>
        </w:rPr>
        <w:t xml:space="preserve"> </w:t>
      </w:r>
      <w:r>
        <w:rPr>
          <w:rFonts w:ascii="宋体" w:hAnsi="宋体" w:eastAsia="宋体" w:cs="宋体"/>
          <w:spacing w:val="-2"/>
          <w:position w:val="20"/>
          <w:sz w:val="24"/>
          <w:szCs w:val="24"/>
        </w:rPr>
        <w:t>中提出的</w:t>
      </w:r>
      <w:r>
        <w:rPr>
          <w:rFonts w:ascii="宋体" w:hAnsi="宋体" w:eastAsia="宋体" w:cs="宋体"/>
          <w:spacing w:val="-49"/>
          <w:position w:val="20"/>
          <w:sz w:val="24"/>
          <w:szCs w:val="24"/>
        </w:rPr>
        <w:t xml:space="preserve"> </w:t>
      </w:r>
      <w:r>
        <w:rPr>
          <w:rFonts w:ascii="Times New Roman" w:hAnsi="Times New Roman" w:eastAsia="Times New Roman" w:cs="Times New Roman"/>
          <w:spacing w:val="-2"/>
          <w:position w:val="20"/>
          <w:sz w:val="24"/>
          <w:szCs w:val="24"/>
        </w:rPr>
        <w:t xml:space="preserve">Q </w:t>
      </w:r>
      <w:r>
        <w:rPr>
          <w:rFonts w:ascii="宋体" w:hAnsi="宋体" w:eastAsia="宋体" w:cs="宋体"/>
          <w:spacing w:val="-2"/>
          <w:position w:val="20"/>
          <w:sz w:val="24"/>
          <w:szCs w:val="24"/>
        </w:rPr>
        <w:t>值</w:t>
      </w:r>
    </w:p>
    <w:p>
      <w:pPr>
        <w:spacing w:line="212" w:lineRule="auto"/>
        <w:ind w:left="71"/>
        <w:rPr>
          <w:rFonts w:ascii="宋体" w:hAnsi="宋体" w:eastAsia="宋体" w:cs="宋体"/>
          <w:sz w:val="24"/>
          <w:szCs w:val="24"/>
        </w:rPr>
      </w:pPr>
      <w:r>
        <w:rPr>
          <w:rFonts w:ascii="宋体" w:hAnsi="宋体" w:eastAsia="宋体" w:cs="宋体"/>
          <w:spacing w:val="-1"/>
          <w:sz w:val="24"/>
          <w:szCs w:val="24"/>
        </w:rPr>
        <w:t>计算公式对本项目所涉及风险物质</w:t>
      </w:r>
      <w:r>
        <w:rPr>
          <w:rFonts w:ascii="Times New Roman" w:hAnsi="Times New Roman" w:eastAsia="Times New Roman" w:cs="Times New Roman"/>
          <w:spacing w:val="-1"/>
          <w:sz w:val="24"/>
          <w:szCs w:val="24"/>
        </w:rPr>
        <w:t>Q</w:t>
      </w:r>
      <w:r>
        <w:rPr>
          <w:rFonts w:ascii="宋体" w:hAnsi="宋体" w:eastAsia="宋体" w:cs="宋体"/>
          <w:spacing w:val="-1"/>
          <w:sz w:val="24"/>
          <w:szCs w:val="24"/>
        </w:rPr>
        <w:t>值进行计算，计算公式如下：</w:t>
      </w:r>
    </w:p>
    <w:p>
      <w:pPr>
        <w:spacing w:before="141" w:line="842" w:lineRule="exact"/>
        <w:ind w:firstLine="2865"/>
      </w:pPr>
      <w:r>
        <w:rPr>
          <w:position w:val="-16"/>
        </w:rPr>
        <w:drawing>
          <wp:inline distT="0" distB="0" distL="0" distR="0">
            <wp:extent cx="1982470" cy="53467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72"/>
                    <a:stretch>
                      <a:fillRect/>
                    </a:stretch>
                  </pic:blipFill>
                  <pic:spPr>
                    <a:xfrm>
                      <a:off x="0" y="0"/>
                      <a:ext cx="1982724" cy="534923"/>
                    </a:xfrm>
                    <a:prstGeom prst="rect">
                      <a:avLst/>
                    </a:prstGeom>
                  </pic:spPr>
                </pic:pic>
              </a:graphicData>
            </a:graphic>
          </wp:inline>
        </w:drawing>
      </w:r>
    </w:p>
    <w:p>
      <w:pPr>
        <w:spacing w:before="176" w:line="206" w:lineRule="auto"/>
        <w:ind w:left="556"/>
        <w:rPr>
          <w:rFonts w:ascii="宋体" w:hAnsi="宋体" w:eastAsia="宋体" w:cs="宋体"/>
          <w:sz w:val="24"/>
          <w:szCs w:val="24"/>
        </w:rPr>
      </w:pPr>
      <w:r>
        <w:rPr>
          <w:rFonts w:ascii="宋体" w:hAnsi="宋体" w:eastAsia="宋体" w:cs="宋体"/>
          <w:spacing w:val="-3"/>
          <w:sz w:val="24"/>
          <w:szCs w:val="24"/>
        </w:rPr>
        <w:t>式中：</w:t>
      </w:r>
      <w:r>
        <w:rPr>
          <w:rFonts w:ascii="Times New Roman" w:hAnsi="Times New Roman" w:eastAsia="Times New Roman" w:cs="Times New Roman"/>
          <w:i/>
          <w:iCs/>
          <w:spacing w:val="-3"/>
          <w:sz w:val="24"/>
          <w:szCs w:val="24"/>
        </w:rPr>
        <w:t>q</w:t>
      </w:r>
      <w:r>
        <w:rPr>
          <w:rFonts w:ascii="Times New Roman" w:hAnsi="Times New Roman" w:eastAsia="Times New Roman" w:cs="Times New Roman"/>
          <w:i/>
          <w:iCs/>
          <w:spacing w:val="-3"/>
          <w:position w:val="-1"/>
          <w:sz w:val="15"/>
          <w:szCs w:val="15"/>
        </w:rPr>
        <w:t xml:space="preserve">1 </w:t>
      </w:r>
      <w:r>
        <w:rPr>
          <w:rFonts w:ascii="宋体" w:hAnsi="宋体" w:eastAsia="宋体" w:cs="宋体"/>
          <w:i/>
          <w:iCs/>
          <w:spacing w:val="-3"/>
          <w:sz w:val="25"/>
          <w:szCs w:val="25"/>
        </w:rPr>
        <w:t>，</w:t>
      </w:r>
      <w:r>
        <w:rPr>
          <w:rFonts w:ascii="Times New Roman" w:hAnsi="Times New Roman" w:eastAsia="Times New Roman" w:cs="Times New Roman"/>
          <w:i/>
          <w:iCs/>
          <w:spacing w:val="-3"/>
          <w:sz w:val="24"/>
          <w:szCs w:val="24"/>
        </w:rPr>
        <w:t>q</w:t>
      </w:r>
      <w:r>
        <w:rPr>
          <w:rFonts w:ascii="Times New Roman" w:hAnsi="Times New Roman" w:eastAsia="Times New Roman" w:cs="Times New Roman"/>
          <w:i/>
          <w:iCs/>
          <w:spacing w:val="-3"/>
          <w:position w:val="-1"/>
          <w:sz w:val="15"/>
          <w:szCs w:val="15"/>
        </w:rPr>
        <w:t>2</w:t>
      </w:r>
      <w:r>
        <w:rPr>
          <w:rFonts w:ascii="Times New Roman" w:hAnsi="Times New Roman" w:eastAsia="Times New Roman" w:cs="Times New Roman"/>
          <w:i/>
          <w:iCs/>
          <w:spacing w:val="-8"/>
          <w:position w:val="-1"/>
          <w:sz w:val="15"/>
          <w:szCs w:val="15"/>
        </w:rPr>
        <w:t xml:space="preserve"> </w:t>
      </w:r>
      <w:r>
        <w:rPr>
          <w:rFonts w:ascii="Times New Roman" w:hAnsi="Times New Roman" w:eastAsia="Times New Roman" w:cs="Times New Roman"/>
          <w:i/>
          <w:iCs/>
          <w:spacing w:val="-3"/>
          <w:sz w:val="24"/>
          <w:szCs w:val="24"/>
        </w:rPr>
        <w:t>…q</w:t>
      </w:r>
      <w:r>
        <w:rPr>
          <w:rFonts w:ascii="Times New Roman" w:hAnsi="Times New Roman" w:eastAsia="Times New Roman" w:cs="Times New Roman"/>
          <w:i/>
          <w:iCs/>
          <w:spacing w:val="-3"/>
          <w:position w:val="-1"/>
          <w:sz w:val="15"/>
          <w:szCs w:val="15"/>
        </w:rPr>
        <w:t>n</w:t>
      </w:r>
      <w:r>
        <w:rPr>
          <w:rFonts w:ascii="Times New Roman" w:hAnsi="Times New Roman" w:eastAsia="Times New Roman" w:cs="Times New Roman"/>
          <w:spacing w:val="-3"/>
          <w:sz w:val="24"/>
          <w:szCs w:val="24"/>
        </w:rPr>
        <w:t>—</w:t>
      </w:r>
      <w:r>
        <w:rPr>
          <w:rFonts w:ascii="宋体" w:hAnsi="宋体" w:eastAsia="宋体" w:cs="宋体"/>
          <w:spacing w:val="-3"/>
          <w:sz w:val="24"/>
          <w:szCs w:val="24"/>
        </w:rPr>
        <w:t>每种危险物质的最大存在总量，</w:t>
      </w:r>
      <w:r>
        <w:rPr>
          <w:rFonts w:ascii="Times New Roman" w:hAnsi="Times New Roman" w:eastAsia="Times New Roman" w:cs="Times New Roman"/>
          <w:spacing w:val="-3"/>
          <w:sz w:val="24"/>
          <w:szCs w:val="24"/>
        </w:rPr>
        <w:t>t</w:t>
      </w:r>
      <w:r>
        <w:rPr>
          <w:rFonts w:ascii="宋体" w:hAnsi="宋体" w:eastAsia="宋体" w:cs="宋体"/>
          <w:spacing w:val="-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0" w:line="360" w:lineRule="auto"/>
        <w:ind w:left="1276"/>
        <w:textAlignment w:val="baseline"/>
        <w:rPr>
          <w:rFonts w:ascii="宋体" w:hAnsi="宋体" w:eastAsia="宋体" w:cs="宋体"/>
          <w:sz w:val="24"/>
          <w:szCs w:val="24"/>
        </w:rPr>
      </w:pPr>
      <w:r>
        <w:rPr>
          <w:rFonts w:ascii="Times New Roman" w:hAnsi="Times New Roman" w:eastAsia="Times New Roman" w:cs="Times New Roman"/>
          <w:i/>
          <w:iCs/>
          <w:spacing w:val="-16"/>
          <w:sz w:val="24"/>
          <w:szCs w:val="24"/>
        </w:rPr>
        <w:t>Q</w:t>
      </w:r>
      <w:r>
        <w:rPr>
          <w:rFonts w:ascii="Times New Roman" w:hAnsi="Times New Roman" w:eastAsia="Times New Roman" w:cs="Times New Roman"/>
          <w:i/>
          <w:iCs/>
          <w:spacing w:val="-30"/>
          <w:sz w:val="24"/>
          <w:szCs w:val="24"/>
        </w:rPr>
        <w:t xml:space="preserve"> </w:t>
      </w:r>
      <w:r>
        <w:rPr>
          <w:rFonts w:ascii="宋体" w:hAnsi="宋体" w:eastAsia="宋体" w:cs="宋体"/>
          <w:i/>
          <w:iCs/>
          <w:spacing w:val="-16"/>
          <w:sz w:val="25"/>
          <w:szCs w:val="25"/>
        </w:rPr>
        <w:t>，</w:t>
      </w:r>
      <w:r>
        <w:rPr>
          <w:rFonts w:ascii="Times New Roman" w:hAnsi="Times New Roman" w:eastAsia="Times New Roman" w:cs="Times New Roman"/>
          <w:i/>
          <w:iCs/>
          <w:spacing w:val="-16"/>
          <w:sz w:val="24"/>
          <w:szCs w:val="24"/>
        </w:rPr>
        <w:t>Q</w:t>
      </w:r>
      <w:r>
        <w:rPr>
          <w:rFonts w:ascii="Times New Roman" w:hAnsi="Times New Roman" w:eastAsia="Times New Roman" w:cs="Times New Roman"/>
          <w:i/>
          <w:iCs/>
          <w:spacing w:val="2"/>
          <w:position w:val="-1"/>
          <w:sz w:val="15"/>
          <w:szCs w:val="15"/>
        </w:rPr>
        <w:t>2</w:t>
      </w:r>
      <w:r>
        <w:rPr>
          <w:rFonts w:ascii="Times New Roman" w:hAnsi="Times New Roman" w:eastAsia="Times New Roman" w:cs="Times New Roman"/>
          <w:i/>
          <w:iCs/>
          <w:spacing w:val="-7"/>
          <w:position w:val="-1"/>
          <w:sz w:val="15"/>
          <w:szCs w:val="15"/>
        </w:rPr>
        <w:t xml:space="preserve"> </w:t>
      </w:r>
      <w:r>
        <w:rPr>
          <w:rFonts w:ascii="Times New Roman" w:hAnsi="Times New Roman" w:eastAsia="Times New Roman" w:cs="Times New Roman"/>
          <w:i/>
          <w:iCs/>
          <w:spacing w:val="-16"/>
          <w:sz w:val="24"/>
          <w:szCs w:val="24"/>
        </w:rPr>
        <w:t>…Q</w:t>
      </w:r>
      <w:r>
        <w:rPr>
          <w:rFonts w:ascii="Times New Roman" w:hAnsi="Times New Roman" w:eastAsia="Times New Roman" w:cs="Times New Roman"/>
          <w:i/>
          <w:iCs/>
          <w:position w:val="-1"/>
          <w:sz w:val="15"/>
          <w:szCs w:val="15"/>
        </w:rPr>
        <w:t>n</w:t>
      </w:r>
      <w:r>
        <w:rPr>
          <w:rFonts w:ascii="Times New Roman" w:hAnsi="Times New Roman" w:eastAsia="Times New Roman" w:cs="Times New Roman"/>
          <w:sz w:val="24"/>
          <w:szCs w:val="24"/>
        </w:rPr>
        <w:t>—</w:t>
      </w:r>
      <w:r>
        <w:rPr>
          <w:rFonts w:ascii="宋体" w:hAnsi="宋体" w:eastAsia="宋体" w:cs="宋体"/>
          <w:sz w:val="24"/>
          <w:szCs w:val="24"/>
        </w:rPr>
        <w:t>每种危险物质的临界量，</w:t>
      </w:r>
      <w:r>
        <w:rPr>
          <w:rFonts w:ascii="Times New Roman" w:hAnsi="Times New Roman" w:eastAsia="Times New Roman" w:cs="Times New Roman"/>
          <w:sz w:val="24"/>
          <w:szCs w:val="24"/>
        </w:rPr>
        <w:t>t</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依据《建设项目环境风险评价技术导则》（HJ169-2018）附录B.1，本项目涉及的风险物质储存量与临界量详见表5-</w:t>
      </w:r>
      <w:r>
        <w:rPr>
          <w:rFonts w:hint="eastAsia" w:ascii="Times New Roman" w:hAnsi="Times New Roman" w:eastAsia="宋体" w:cs="Times New Roman"/>
          <w:sz w:val="24"/>
          <w:szCs w:val="24"/>
          <w:u w:val="single"/>
          <w:lang w:val="en-US" w:eastAsia="zh-CN"/>
        </w:rPr>
        <w:t>39</w:t>
      </w:r>
      <w:r>
        <w:rPr>
          <w:rFonts w:hint="default" w:ascii="Times New Roman" w:hAnsi="Times New Roman" w:cs="Times New Roman"/>
          <w:sz w:val="24"/>
          <w:szCs w:val="24"/>
          <w:u w:val="singl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lang w:val="en-US" w:eastAsia="zh-CN"/>
        </w:rPr>
        <w:t>本项目所涉及的主要化学品包括消毒剂、除臭剂、制冷剂，其中消毒剂以次氯酸钠为主，除臭剂以微生物除臭剂为主，制冷剂为R507，为混合制冷剂，主要成分为R125五氟乙烷和R143三氟乙烷。经查阅《建设项目环境风险评价技术导则》（HJ169-2018），除次氯酸钠外，本项目使用的其它化学品均不在导则附录B所列危险物质之中</w:t>
      </w:r>
      <w:r>
        <w:rPr>
          <w:rFonts w:hint="eastAsia" w:ascii="Times New Roman" w:hAnsi="Times New Roman" w:eastAsia="宋体" w:cs="Times New Roman"/>
          <w:sz w:val="24"/>
          <w:szCs w:val="24"/>
          <w:u w:val="singl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500"/>
        <w:textAlignment w:val="baseline"/>
      </w:pP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u w:val="none" w:color="auto"/>
        </w:rPr>
        <w:t>5-</w:t>
      </w:r>
      <w:r>
        <w:rPr>
          <w:rFonts w:hint="eastAsia" w:ascii="Times New Roman" w:hAnsi="Times New Roman" w:eastAsia="宋体" w:cs="Times New Roman"/>
          <w:b/>
          <w:bCs/>
          <w:spacing w:val="-1"/>
          <w:sz w:val="24"/>
          <w:szCs w:val="24"/>
          <w:u w:val="none" w:color="auto"/>
          <w:lang w:val="en-US" w:eastAsia="zh-CN"/>
        </w:rPr>
        <w:t>39</w:t>
      </w:r>
      <w:r>
        <w:rPr>
          <w:rFonts w:ascii="Times New Roman" w:hAnsi="Times New Roman" w:eastAsia="Times New Roman" w:cs="Times New Roman"/>
          <w:b/>
          <w:bCs/>
          <w:spacing w:val="-1"/>
          <w:sz w:val="24"/>
          <w:szCs w:val="24"/>
          <w:u w:val="none" w:color="auto"/>
        </w:rPr>
        <w:t xml:space="preserve">        </w:t>
      </w: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风险物质储存量与临界量</w:t>
      </w:r>
    </w:p>
    <w:tbl>
      <w:tblPr>
        <w:tblStyle w:val="24"/>
        <w:tblW w:w="8532"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845"/>
        <w:gridCol w:w="2841"/>
        <w:gridCol w:w="284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2845"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风险物质</w:t>
            </w:r>
          </w:p>
        </w:tc>
        <w:tc>
          <w:tcPr>
            <w:tcW w:w="2841"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最大储存量（t）</w:t>
            </w:r>
          </w:p>
        </w:tc>
        <w:tc>
          <w:tcPr>
            <w:tcW w:w="284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临界值（t）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2845" w:type="dxa"/>
            <w:tcBorders>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次氯酸钠</w:t>
            </w:r>
          </w:p>
        </w:tc>
        <w:tc>
          <w:tcPr>
            <w:tcW w:w="2841" w:type="dxa"/>
            <w:tcBorders>
              <w:tl2br w:val="nil"/>
              <w:tr2bl w:val="nil"/>
            </w:tcBorders>
            <w:vAlign w:val="center"/>
          </w:tcPr>
          <w:p>
            <w:pPr>
              <w:jc w:val="center"/>
              <w:rPr>
                <w:rFonts w:hint="eastAsia" w:ascii="Times New Roman" w:hAnsi="Times New Roman" w:eastAsia="宋体" w:cs="Times New Roman"/>
                <w:lang w:eastAsia="zh-CN"/>
              </w:rPr>
            </w:pPr>
            <w:r>
              <w:rPr>
                <w:rFonts w:hint="default" w:ascii="Times New Roman" w:hAnsi="Times New Roman" w:cs="Times New Roman"/>
              </w:rPr>
              <w:t>0.0</w:t>
            </w:r>
            <w:r>
              <w:rPr>
                <w:rFonts w:hint="eastAsia" w:ascii="Times New Roman" w:hAnsi="Times New Roman" w:eastAsia="宋体" w:cs="Times New Roman"/>
                <w:lang w:val="en-US" w:eastAsia="zh-CN"/>
              </w:rPr>
              <w:t>8</w:t>
            </w:r>
          </w:p>
        </w:tc>
        <w:tc>
          <w:tcPr>
            <w:tcW w:w="284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5</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建设项目环境风险评价技术导则》（HJ169-2018）附录C.1：计算所涉及的每种危险物质在厂界内的最大存在总量与其在附录B中对应临界量的比值Q，在不同厂区的同一种物质，按其在厂界内的最大存在总量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当存在多种危险物质时，则按式（C.1）计算物质总量与其临界量比值（Q）；</w:t>
      </w:r>
    </w:p>
    <w:p>
      <w:pPr>
        <w:spacing w:line="511" w:lineRule="exact"/>
        <w:ind w:firstLine="3268"/>
      </w:pPr>
      <w:r>
        <w:rPr>
          <w:position w:val="-10"/>
        </w:rPr>
        <w:drawing>
          <wp:inline distT="0" distB="0" distL="0" distR="0">
            <wp:extent cx="1468755" cy="323850"/>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73"/>
                    <a:stretch>
                      <a:fillRect/>
                    </a:stretch>
                  </pic:blipFill>
                  <pic:spPr>
                    <a:xfrm>
                      <a:off x="0" y="0"/>
                      <a:ext cx="1469136" cy="324196"/>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式中：q</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、q</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…q</w:t>
      </w:r>
      <w:r>
        <w:rPr>
          <w:rFonts w:hint="default" w:ascii="Times New Roman" w:hAnsi="Times New Roman" w:cs="Times New Roman"/>
          <w:sz w:val="24"/>
          <w:szCs w:val="24"/>
          <w:vertAlign w:val="subscript"/>
        </w:rPr>
        <w:t>n</w:t>
      </w:r>
      <w:r>
        <w:rPr>
          <w:rFonts w:hint="default" w:ascii="Times New Roman" w:hAnsi="Times New Roman" w:cs="Times New Roman"/>
          <w:sz w:val="24"/>
          <w:szCs w:val="24"/>
        </w:rPr>
        <w:t>为每种物质最大存在总量，t；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Q</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、Q</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…Qn为每种物质的存在量，t；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经计算，本项目Q=</w:t>
      </w:r>
      <w:r>
        <w:rPr>
          <w:rFonts w:hint="eastAsia" w:ascii="Times New Roman" w:hAnsi="Times New Roman" w:eastAsia="宋体" w:cs="Times New Roman"/>
          <w:sz w:val="24"/>
          <w:szCs w:val="24"/>
          <w:highlight w:val="none"/>
          <w:lang w:val="en-US" w:eastAsia="zh-CN"/>
        </w:rPr>
        <w:t>0.016</w:t>
      </w:r>
      <w:r>
        <w:rPr>
          <w:rFonts w:hint="default" w:ascii="Times New Roman" w:hAnsi="Times New Roman" w:cs="Times New Roman"/>
          <w:sz w:val="24"/>
          <w:szCs w:val="24"/>
        </w:rPr>
        <w:t>＜1。根据《建设项目环境风险评价技术导则》（HJ169-2018）附录C，本项目环境风险潜势为Ⅰ。</w:t>
      </w:r>
    </w:p>
    <w:p>
      <w:pPr>
        <w:keepNext w:val="0"/>
        <w:keepLines w:val="0"/>
        <w:pageBreakBefore w:val="0"/>
        <w:widowControl/>
        <w:kinsoku w:val="0"/>
        <w:wordWrap/>
        <w:overflowPunct/>
        <w:topLinePunct w:val="0"/>
        <w:autoSpaceDE w:val="0"/>
        <w:autoSpaceDN w:val="0"/>
        <w:bidi w:val="0"/>
        <w:adjustRightInd w:val="0"/>
        <w:snapToGrid w:val="0"/>
        <w:spacing w:before="95" w:line="360" w:lineRule="auto"/>
        <w:ind w:left="595"/>
        <w:textAlignment w:val="baseline"/>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评价等级确定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ascii="宋体" w:hAnsi="宋体" w:eastAsia="宋体" w:cs="宋体"/>
          <w:sz w:val="24"/>
          <w:szCs w:val="24"/>
        </w:rPr>
      </w:pPr>
      <w:r>
        <w:rPr>
          <w:rFonts w:ascii="宋体" w:hAnsi="宋体" w:eastAsia="宋体" w:cs="宋体"/>
          <w:spacing w:val="-1"/>
          <w:sz w:val="24"/>
          <w:szCs w:val="24"/>
        </w:rPr>
        <w:t>本项目环境风险评价工作等级判定依据见表</w:t>
      </w:r>
      <w:r>
        <w:rPr>
          <w:rFonts w:ascii="Times New Roman" w:hAnsi="Times New Roman" w:eastAsia="Times New Roman" w:cs="Times New Roman"/>
          <w:spacing w:val="-1"/>
          <w:sz w:val="24"/>
          <w:szCs w:val="24"/>
        </w:rPr>
        <w:t>5-</w:t>
      </w:r>
      <w:r>
        <w:rPr>
          <w:rFonts w:hint="eastAsia" w:ascii="Times New Roman" w:hAnsi="Times New Roman" w:eastAsia="宋体" w:cs="Times New Roman"/>
          <w:spacing w:val="-1"/>
          <w:sz w:val="24"/>
          <w:szCs w:val="24"/>
          <w:lang w:val="en-US" w:eastAsia="zh-CN"/>
        </w:rPr>
        <w:t>40</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88"/>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40</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环境风</w:t>
      </w:r>
      <w:r>
        <w:rPr>
          <w:rFonts w:ascii="宋体" w:hAnsi="宋体" w:eastAsia="宋体" w:cs="宋体"/>
          <w:spacing w:val="-1"/>
          <w:sz w:val="24"/>
          <w:szCs w:val="24"/>
          <w14:textOutline w14:w="4358" w14:cap="sq" w14:cmpd="sng">
            <w14:solidFill>
              <w14:srgbClr w14:val="000000"/>
            </w14:solidFill>
            <w14:prstDash w14:val="solid"/>
            <w14:bevel/>
          </w14:textOutline>
        </w:rPr>
        <w:t>险评价工作级别划分</w:t>
      </w:r>
    </w:p>
    <w:tbl>
      <w:tblPr>
        <w:tblStyle w:val="24"/>
        <w:tblW w:w="8950"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793"/>
        <w:gridCol w:w="1788"/>
        <w:gridCol w:w="1788"/>
        <w:gridCol w:w="1788"/>
        <w:gridCol w:w="179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793" w:type="dxa"/>
            <w:tcBorders>
              <w:tl2br w:val="nil"/>
              <w:tr2bl w:val="nil"/>
            </w:tcBorders>
            <w:vAlign w:val="top"/>
          </w:tcPr>
          <w:p>
            <w:pPr>
              <w:pStyle w:val="25"/>
              <w:spacing w:before="56" w:line="228" w:lineRule="auto"/>
              <w:ind w:left="272"/>
            </w:pPr>
            <w:r>
              <w:rPr>
                <w:spacing w:val="8"/>
              </w:rPr>
              <w:t>环境风险潜势</w:t>
            </w:r>
          </w:p>
        </w:tc>
        <w:tc>
          <w:tcPr>
            <w:tcW w:w="1788" w:type="dxa"/>
            <w:tcBorders>
              <w:tl2br w:val="nil"/>
              <w:tr2bl w:val="nil"/>
            </w:tcBorders>
            <w:vAlign w:val="top"/>
          </w:tcPr>
          <w:p>
            <w:pPr>
              <w:pStyle w:val="25"/>
              <w:spacing w:before="96" w:line="183" w:lineRule="auto"/>
              <w:ind w:left="509"/>
              <w:rPr>
                <w:rFonts w:ascii="Times New Roman" w:hAnsi="Times New Roman" w:eastAsia="Times New Roman" w:cs="Times New Roman"/>
              </w:rPr>
            </w:pPr>
            <w:r>
              <w:rPr>
                <w:rFonts w:ascii="Times New Roman" w:hAnsi="Times New Roman" w:eastAsia="Times New Roman" w:cs="Times New Roman"/>
                <w:spacing w:val="1"/>
              </w:rPr>
              <w:t>Ⅳ</w:t>
            </w:r>
            <w:r>
              <w:rPr>
                <w:rFonts w:ascii="Times New Roman" w:hAnsi="Times New Roman" w:eastAsia="Times New Roman" w:cs="Times New Roman"/>
                <w:spacing w:val="-26"/>
              </w:rPr>
              <w:t xml:space="preserve"> </w:t>
            </w:r>
            <w:r>
              <w:rPr>
                <w:spacing w:val="1"/>
              </w:rPr>
              <w:t>、</w:t>
            </w:r>
            <w:r>
              <w:rPr>
                <w:rFonts w:ascii="Times New Roman" w:hAnsi="Times New Roman" w:eastAsia="Times New Roman" w:cs="Times New Roman"/>
                <w:spacing w:val="1"/>
              </w:rPr>
              <w:t>Ⅳ+</w:t>
            </w:r>
          </w:p>
        </w:tc>
        <w:tc>
          <w:tcPr>
            <w:tcW w:w="1788" w:type="dxa"/>
            <w:tcBorders>
              <w:tl2br w:val="nil"/>
              <w:tr2bl w:val="nil"/>
            </w:tcBorders>
            <w:vAlign w:val="top"/>
          </w:tcPr>
          <w:p>
            <w:pPr>
              <w:spacing w:before="96" w:line="192"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788" w:type="dxa"/>
            <w:tcBorders>
              <w:tl2br w:val="nil"/>
              <w:tr2bl w:val="nil"/>
            </w:tcBorders>
            <w:vAlign w:val="top"/>
          </w:tcPr>
          <w:p>
            <w:pPr>
              <w:spacing w:before="96" w:line="192" w:lineRule="auto"/>
              <w:ind w:left="826"/>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1793" w:type="dxa"/>
            <w:tcBorders>
              <w:tl2br w:val="nil"/>
              <w:tr2bl w:val="nil"/>
            </w:tcBorders>
            <w:vAlign w:val="top"/>
          </w:tcPr>
          <w:p>
            <w:pPr>
              <w:spacing w:before="96" w:line="192" w:lineRule="auto"/>
              <w:ind w:left="864"/>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793" w:type="dxa"/>
            <w:tcBorders>
              <w:tl2br w:val="nil"/>
              <w:tr2bl w:val="nil"/>
            </w:tcBorders>
            <w:vAlign w:val="top"/>
          </w:tcPr>
          <w:p>
            <w:pPr>
              <w:pStyle w:val="25"/>
              <w:spacing w:before="54" w:line="226" w:lineRule="auto"/>
              <w:ind w:left="271"/>
            </w:pPr>
            <w:r>
              <w:rPr>
                <w:spacing w:val="8"/>
              </w:rPr>
              <w:t>评价工作等级</w:t>
            </w:r>
          </w:p>
        </w:tc>
        <w:tc>
          <w:tcPr>
            <w:tcW w:w="1788" w:type="dxa"/>
            <w:tcBorders>
              <w:tl2br w:val="nil"/>
              <w:tr2bl w:val="nil"/>
            </w:tcBorders>
            <w:vAlign w:val="top"/>
          </w:tcPr>
          <w:p>
            <w:pPr>
              <w:pStyle w:val="25"/>
              <w:spacing w:before="132" w:line="156" w:lineRule="exact"/>
              <w:ind w:left="796"/>
            </w:pPr>
            <w:r>
              <w:rPr>
                <w:position w:val="-4"/>
              </w:rPr>
              <w:t>一</w:t>
            </w:r>
          </w:p>
        </w:tc>
        <w:tc>
          <w:tcPr>
            <w:tcW w:w="1788" w:type="dxa"/>
            <w:tcBorders>
              <w:tl2br w:val="nil"/>
              <w:tr2bl w:val="nil"/>
            </w:tcBorders>
            <w:vAlign w:val="top"/>
          </w:tcPr>
          <w:p>
            <w:pPr>
              <w:pStyle w:val="25"/>
              <w:spacing w:before="93" w:line="183" w:lineRule="auto"/>
              <w:ind w:left="796"/>
            </w:pPr>
            <w:r>
              <w:t>二</w:t>
            </w:r>
          </w:p>
        </w:tc>
        <w:tc>
          <w:tcPr>
            <w:tcW w:w="1788" w:type="dxa"/>
            <w:tcBorders>
              <w:tl2br w:val="nil"/>
              <w:tr2bl w:val="nil"/>
            </w:tcBorders>
            <w:vAlign w:val="top"/>
          </w:tcPr>
          <w:p>
            <w:pPr>
              <w:pStyle w:val="25"/>
              <w:spacing w:before="53" w:line="233" w:lineRule="auto"/>
              <w:ind w:left="795"/>
            </w:pPr>
            <w:r>
              <w:t>三</w:t>
            </w:r>
          </w:p>
        </w:tc>
        <w:tc>
          <w:tcPr>
            <w:tcW w:w="1793" w:type="dxa"/>
            <w:tcBorders>
              <w:tl2br w:val="nil"/>
              <w:tr2bl w:val="nil"/>
            </w:tcBorders>
            <w:shd w:val="clear" w:color="auto" w:fill="CCCCCC"/>
            <w:vAlign w:val="top"/>
          </w:tcPr>
          <w:p>
            <w:pPr>
              <w:pStyle w:val="25"/>
              <w:spacing w:before="53" w:line="227" w:lineRule="auto"/>
              <w:ind w:left="413"/>
              <w:rPr>
                <w:rFonts w:ascii="Times New Roman" w:hAnsi="Times New Roman" w:eastAsia="Times New Roman" w:cs="Times New Roman"/>
              </w:rPr>
            </w:pPr>
            <w:r>
              <w:rPr>
                <w:spacing w:val="5"/>
              </w:rPr>
              <w:t>简单分析</w:t>
            </w:r>
            <w:r>
              <w:rPr>
                <w:spacing w:val="-40"/>
              </w:rPr>
              <w:t xml:space="preserve"> </w:t>
            </w:r>
            <w:r>
              <w:rPr>
                <w:rFonts w:ascii="Times New Roman" w:hAnsi="Times New Roman" w:eastAsia="Times New Roman" w:cs="Times New Roman"/>
                <w:spacing w:val="5"/>
              </w:rPr>
              <w: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950" w:type="dxa"/>
            <w:gridSpan w:val="5"/>
            <w:tcBorders>
              <w:tl2br w:val="nil"/>
              <w:tr2bl w:val="nil"/>
            </w:tcBorders>
            <w:vAlign w:val="top"/>
          </w:tcPr>
          <w:p>
            <w:pPr>
              <w:pStyle w:val="25"/>
              <w:spacing w:before="55" w:line="257" w:lineRule="auto"/>
              <w:ind w:left="2593" w:right="109" w:hanging="2477"/>
              <w:rPr>
                <w:spacing w:val="8"/>
              </w:rPr>
            </w:pPr>
            <w:r>
              <w:rPr>
                <w:rFonts w:ascii="Times New Roman" w:hAnsi="Times New Roman" w:eastAsia="Times New Roman" w:cs="Times New Roman"/>
                <w:spacing w:val="9"/>
              </w:rPr>
              <w:t>a</w:t>
            </w:r>
            <w:r>
              <w:rPr>
                <w:spacing w:val="9"/>
              </w:rPr>
              <w:t>是相对于详细评价工作内容而言，在描述危险物质、环境影响途径、环境危</w:t>
            </w:r>
            <w:r>
              <w:rPr>
                <w:spacing w:val="8"/>
              </w:rPr>
              <w:t>害后果、风险防范</w:t>
            </w:r>
          </w:p>
          <w:p>
            <w:pPr>
              <w:pStyle w:val="25"/>
              <w:spacing w:before="55" w:line="257" w:lineRule="auto"/>
              <w:ind w:left="2593" w:right="109" w:hanging="2477"/>
            </w:pPr>
            <w:r>
              <w:rPr>
                <w:spacing w:val="8"/>
              </w:rPr>
              <w:t>措施等方面给出定性的说明。见附录</w:t>
            </w:r>
            <w:r>
              <w:rPr>
                <w:rFonts w:ascii="Times New Roman" w:hAnsi="Times New Roman" w:eastAsia="Times New Roman" w:cs="Times New Roman"/>
                <w:spacing w:val="8"/>
              </w:rPr>
              <w:t>A</w:t>
            </w:r>
            <w:r>
              <w:rPr>
                <w:spacing w:val="8"/>
              </w:rPr>
              <w:t>。</w:t>
            </w:r>
          </w:p>
        </w:tc>
      </w:tr>
    </w:tbl>
    <w:p>
      <w:pPr>
        <w:spacing w:before="130" w:line="218" w:lineRule="auto"/>
        <w:ind w:left="632"/>
        <w:rPr>
          <w:rFonts w:ascii="宋体" w:hAnsi="宋体" w:eastAsia="宋体" w:cs="宋体"/>
          <w:sz w:val="24"/>
          <w:szCs w:val="24"/>
        </w:rPr>
      </w:pPr>
      <w:r>
        <w:rPr>
          <w:rFonts w:ascii="宋体" w:hAnsi="宋体" w:eastAsia="宋体" w:cs="宋体"/>
          <w:spacing w:val="0"/>
          <w:sz w:val="24"/>
          <w:szCs w:val="24"/>
        </w:rPr>
        <w:t>由</w:t>
      </w:r>
      <w:r>
        <w:rPr>
          <w:rFonts w:hint="eastAsia" w:ascii="宋体" w:hAnsi="宋体" w:eastAsia="宋体" w:cs="宋体"/>
          <w:spacing w:val="0"/>
          <w:sz w:val="24"/>
          <w:szCs w:val="24"/>
          <w:lang w:val="en-US" w:eastAsia="zh-CN"/>
        </w:rPr>
        <w:t>上表</w:t>
      </w:r>
      <w:r>
        <w:rPr>
          <w:rFonts w:ascii="宋体" w:hAnsi="宋体" w:eastAsia="宋体" w:cs="宋体"/>
          <w:spacing w:val="0"/>
          <w:sz w:val="24"/>
          <w:szCs w:val="24"/>
        </w:rPr>
        <w:t>可知，本项目环境风险评价只需进行简单分析。</w:t>
      </w:r>
    </w:p>
    <w:p>
      <w:pPr>
        <w:spacing w:before="217" w:line="219" w:lineRule="auto"/>
        <w:ind w:left="61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（三）环境敏感目标概况</w:t>
      </w:r>
    </w:p>
    <w:p>
      <w:pPr>
        <w:spacing w:before="213" w:line="219" w:lineRule="auto"/>
        <w:ind w:left="602"/>
        <w:rPr>
          <w:rFonts w:ascii="宋体" w:hAnsi="宋体" w:eastAsia="宋体" w:cs="宋体"/>
          <w:sz w:val="24"/>
          <w:szCs w:val="24"/>
        </w:rPr>
      </w:pPr>
      <w:r>
        <w:rPr>
          <w:rFonts w:ascii="宋体" w:hAnsi="宋体" w:eastAsia="宋体" w:cs="宋体"/>
          <w:sz w:val="24"/>
          <w:szCs w:val="24"/>
        </w:rPr>
        <w:t>根据现场调查及建设单位提供资料，本项目</w:t>
      </w:r>
      <w:r>
        <w:rPr>
          <w:rFonts w:ascii="宋体" w:hAnsi="宋体" w:eastAsia="宋体" w:cs="宋体"/>
          <w:spacing w:val="-1"/>
          <w:sz w:val="24"/>
          <w:szCs w:val="24"/>
        </w:rPr>
        <w:t>环境风险敏感目标如下：</w:t>
      </w:r>
    </w:p>
    <w:p>
      <w:pPr>
        <w:spacing w:before="216" w:line="219" w:lineRule="auto"/>
        <w:ind w:left="273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5-</w:t>
      </w:r>
      <w:r>
        <w:rPr>
          <w:rFonts w:hint="eastAsia" w:ascii="Times New Roman" w:hAnsi="Times New Roman" w:eastAsia="宋体" w:cs="Times New Roman"/>
          <w:b/>
          <w:bCs/>
          <w:spacing w:val="-1"/>
          <w:sz w:val="24"/>
          <w:szCs w:val="24"/>
          <w:lang w:val="en-US" w:eastAsia="zh-CN"/>
        </w:rPr>
        <w:t>41</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pacing w:val="-1"/>
          <w:sz w:val="24"/>
          <w:szCs w:val="24"/>
          <w:highlight w:val="none"/>
        </w:rPr>
        <w:t xml:space="preserve"> </w:t>
      </w:r>
      <w:r>
        <w:rPr>
          <w:rFonts w:ascii="宋体" w:hAnsi="宋体" w:eastAsia="宋体" w:cs="宋体"/>
          <w:spacing w:val="-1"/>
          <w:sz w:val="24"/>
          <w:szCs w:val="24"/>
          <w:highlight w:val="none"/>
          <w14:textOutline w14:w="4358" w14:cap="sq" w14:cmpd="sng">
            <w14:solidFill>
              <w14:srgbClr w14:val="000000"/>
            </w14:solidFill>
            <w14:prstDash w14:val="solid"/>
            <w14:bevel/>
          </w14:textOutline>
        </w:rPr>
        <w:t>环境敏感目标调查表</w:t>
      </w:r>
    </w:p>
    <w:tbl>
      <w:tblPr>
        <w:tblStyle w:val="24"/>
        <w:tblW w:w="8823"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41"/>
        <w:gridCol w:w="1480"/>
        <w:gridCol w:w="1516"/>
        <w:gridCol w:w="1714"/>
        <w:gridCol w:w="1534"/>
        <w:gridCol w:w="153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环境要 素</w:t>
            </w:r>
          </w:p>
        </w:tc>
        <w:tc>
          <w:tcPr>
            <w:tcW w:w="1480"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环境保护对象</w:t>
            </w:r>
          </w:p>
        </w:tc>
        <w:tc>
          <w:tcPr>
            <w:tcW w:w="1516"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相对厂址方位</w:t>
            </w:r>
          </w:p>
        </w:tc>
        <w:tc>
          <w:tcPr>
            <w:tcW w:w="171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相对最近距离</w:t>
            </w:r>
          </w:p>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(m)</w:t>
            </w:r>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规模/人数</w:t>
            </w:r>
          </w:p>
        </w:tc>
        <w:tc>
          <w:tcPr>
            <w:tcW w:w="1538"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功能类别</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restart"/>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环境风险</w:t>
            </w: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52" w:name="_Toc18907"/>
            <w:r>
              <w:rPr>
                <w:rFonts w:hint="eastAsia" w:cs="Times New Roman"/>
                <w:color w:val="auto"/>
                <w:sz w:val="18"/>
                <w:szCs w:val="18"/>
                <w:u w:val="none"/>
                <w:lang w:val="en-US" w:eastAsia="zh-CN"/>
              </w:rPr>
              <w:t>官庄村</w:t>
            </w:r>
            <w:bookmarkEnd w:id="352"/>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53" w:name="_Toc846"/>
            <w:r>
              <w:rPr>
                <w:rFonts w:hint="eastAsia" w:ascii="Times New Roman" w:hAnsi="Times New Roman" w:eastAsia="宋体" w:cs="宋体"/>
                <w:b w:val="0"/>
                <w:bCs w:val="0"/>
                <w:kern w:val="2"/>
                <w:sz w:val="18"/>
                <w:szCs w:val="18"/>
                <w:vertAlign w:val="baseline"/>
                <w:lang w:val="en-US" w:eastAsia="zh-CN" w:bidi="zh-CN"/>
              </w:rPr>
              <w:t>西北</w:t>
            </w:r>
            <w:bookmarkEnd w:id="353"/>
          </w:p>
        </w:tc>
        <w:tc>
          <w:tcPr>
            <w:tcW w:w="1714" w:type="dxa"/>
            <w:tcBorders>
              <w:tl2br w:val="nil"/>
              <w:tr2bl w:val="nil"/>
            </w:tcBorders>
            <w:vAlign w:val="center"/>
          </w:tcPr>
          <w:p>
            <w:pPr>
              <w:keepNext w:val="0"/>
              <w:keepLines w:val="0"/>
              <w:pageBreakBefore w:val="0"/>
              <w:widowControl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color w:val="auto"/>
                <w:kern w:val="0"/>
                <w:sz w:val="18"/>
                <w:szCs w:val="18"/>
                <w:u w:val="none"/>
                <w:lang w:val="en-US" w:eastAsia="zh-CN"/>
              </w:rPr>
              <w:t>1</w:t>
            </w:r>
            <w:r>
              <w:rPr>
                <w:rFonts w:hint="eastAsia" w:ascii="Times New Roman" w:hAnsi="Times New Roman" w:cs="Times New Roman"/>
                <w:color w:val="auto"/>
                <w:kern w:val="0"/>
                <w:sz w:val="18"/>
                <w:szCs w:val="18"/>
                <w:u w:val="none"/>
                <w:lang w:val="en-US" w:eastAsia="zh-CN"/>
              </w:rPr>
              <w:t>4</w:t>
            </w:r>
            <w:r>
              <w:rPr>
                <w:rFonts w:hint="default" w:ascii="Times New Roman" w:hAnsi="Times New Roman" w:cs="Times New Roman"/>
                <w:color w:val="auto"/>
                <w:kern w:val="0"/>
                <w:sz w:val="18"/>
                <w:szCs w:val="18"/>
                <w:u w:val="none"/>
                <w:lang w:val="en-US" w:eastAsia="zh-CN"/>
              </w:rPr>
              <w:t>8m</w:t>
            </w:r>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520</w:t>
            </w:r>
          </w:p>
        </w:tc>
        <w:tc>
          <w:tcPr>
            <w:tcW w:w="1538" w:type="dxa"/>
            <w:vMerge w:val="restart"/>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人群健康</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54" w:name="_Toc7819"/>
            <w:r>
              <w:rPr>
                <w:rFonts w:hint="eastAsia" w:cs="Times New Roman"/>
                <w:color w:val="auto"/>
                <w:sz w:val="18"/>
                <w:szCs w:val="18"/>
                <w:u w:val="none"/>
                <w:lang w:val="en-US" w:eastAsia="zh-CN"/>
              </w:rPr>
              <w:t>马庄村（散户）</w:t>
            </w:r>
            <w:bookmarkEnd w:id="354"/>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55" w:name="_Toc28676"/>
            <w:r>
              <w:rPr>
                <w:rFonts w:hint="eastAsia" w:ascii="Times New Roman" w:hAnsi="Times New Roman" w:eastAsia="宋体" w:cs="宋体"/>
                <w:b w:val="0"/>
                <w:bCs w:val="0"/>
                <w:kern w:val="2"/>
                <w:sz w:val="18"/>
                <w:szCs w:val="18"/>
                <w:vertAlign w:val="baseline"/>
                <w:lang w:val="en-US" w:eastAsia="zh-CN" w:bidi="zh-CN"/>
              </w:rPr>
              <w:t>东南</w:t>
            </w:r>
            <w:bookmarkEnd w:id="355"/>
          </w:p>
        </w:tc>
        <w:tc>
          <w:tcPr>
            <w:tcW w:w="1714" w:type="dxa"/>
            <w:tcBorders>
              <w:tl2br w:val="nil"/>
              <w:tr2bl w:val="nil"/>
            </w:tcBorders>
            <w:vAlign w:val="center"/>
          </w:tcPr>
          <w:p>
            <w:pPr>
              <w:keepNext w:val="0"/>
              <w:keepLines w:val="0"/>
              <w:pageBreakBefore w:val="0"/>
              <w:widowControl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color w:val="auto"/>
                <w:kern w:val="0"/>
                <w:sz w:val="18"/>
                <w:szCs w:val="18"/>
                <w:u w:val="none"/>
                <w:lang w:val="en-US" w:eastAsia="zh-CN"/>
              </w:rPr>
              <w:t>1</w:t>
            </w:r>
            <w:r>
              <w:rPr>
                <w:rFonts w:hint="eastAsia" w:ascii="Times New Roman" w:hAnsi="Times New Roman" w:cs="Times New Roman"/>
                <w:color w:val="auto"/>
                <w:kern w:val="0"/>
                <w:sz w:val="18"/>
                <w:szCs w:val="18"/>
                <w:u w:val="none"/>
                <w:lang w:val="en-US" w:eastAsia="zh-CN"/>
              </w:rPr>
              <w:t>21</w:t>
            </w:r>
            <w:r>
              <w:rPr>
                <w:rFonts w:hint="default" w:ascii="Times New Roman" w:hAnsi="Times New Roman" w:cs="Times New Roman"/>
                <w:color w:val="auto"/>
                <w:kern w:val="0"/>
                <w:sz w:val="18"/>
                <w:szCs w:val="18"/>
                <w:u w:val="none"/>
                <w:lang w:val="en-US" w:eastAsia="zh-CN"/>
              </w:rPr>
              <w:t>m</w:t>
            </w:r>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3</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56" w:name="_Toc25660"/>
            <w:r>
              <w:rPr>
                <w:rFonts w:hint="eastAsia" w:cs="Times New Roman"/>
                <w:color w:val="auto"/>
                <w:sz w:val="18"/>
                <w:szCs w:val="18"/>
                <w:u w:val="none"/>
                <w:lang w:eastAsia="zh-CN"/>
              </w:rPr>
              <w:t>马庄</w:t>
            </w:r>
            <w:r>
              <w:rPr>
                <w:rFonts w:hint="default" w:ascii="Times New Roman" w:hAnsi="Times New Roman" w:cs="Times New Roman"/>
                <w:color w:val="auto"/>
                <w:sz w:val="18"/>
                <w:szCs w:val="18"/>
                <w:u w:val="none"/>
                <w:lang w:eastAsia="zh-CN"/>
              </w:rPr>
              <w:t>村</w:t>
            </w:r>
            <w:r>
              <w:rPr>
                <w:rFonts w:hint="eastAsia" w:cs="Times New Roman"/>
                <w:color w:val="auto"/>
                <w:sz w:val="18"/>
                <w:szCs w:val="18"/>
                <w:u w:val="none"/>
                <w:lang w:eastAsia="zh-CN"/>
              </w:rPr>
              <w:t>（主村）</w:t>
            </w:r>
            <w:bookmarkEnd w:id="356"/>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57" w:name="_Toc5914"/>
            <w:r>
              <w:rPr>
                <w:rFonts w:hint="eastAsia" w:ascii="Times New Roman" w:hAnsi="Times New Roman" w:eastAsia="宋体" w:cs="宋体"/>
                <w:b w:val="0"/>
                <w:bCs w:val="0"/>
                <w:kern w:val="2"/>
                <w:sz w:val="18"/>
                <w:szCs w:val="18"/>
                <w:vertAlign w:val="baseline"/>
                <w:lang w:val="en-US" w:eastAsia="zh-CN" w:bidi="zh-CN"/>
              </w:rPr>
              <w:t>南</w:t>
            </w:r>
            <w:bookmarkEnd w:id="357"/>
          </w:p>
        </w:tc>
        <w:tc>
          <w:tcPr>
            <w:tcW w:w="1714" w:type="dxa"/>
            <w:tcBorders>
              <w:tl2br w:val="nil"/>
              <w:tr2bl w:val="nil"/>
            </w:tcBorders>
            <w:vAlign w:val="center"/>
          </w:tcPr>
          <w:p>
            <w:pPr>
              <w:keepNext w:val="0"/>
              <w:keepLines w:val="0"/>
              <w:pageBreakBefore w:val="0"/>
              <w:widowControl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color w:val="auto"/>
                <w:kern w:val="0"/>
                <w:sz w:val="18"/>
                <w:szCs w:val="18"/>
                <w:u w:val="none"/>
                <w:lang w:val="en-US" w:eastAsia="zh-CN"/>
              </w:rPr>
              <w:t>350m</w:t>
            </w:r>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1480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58" w:name="_Toc13218"/>
            <w:r>
              <w:rPr>
                <w:rFonts w:hint="eastAsia" w:cs="Times New Roman"/>
                <w:color w:val="auto"/>
                <w:sz w:val="18"/>
                <w:szCs w:val="18"/>
                <w:u w:val="none"/>
                <w:lang w:val="en-US" w:eastAsia="zh-CN"/>
              </w:rPr>
              <w:t>张庄村</w:t>
            </w:r>
            <w:r>
              <w:rPr>
                <w:rFonts w:hint="eastAsia" w:cs="Times New Roman"/>
                <w:color w:val="auto"/>
                <w:sz w:val="18"/>
                <w:szCs w:val="18"/>
                <w:u w:val="none"/>
                <w:lang w:eastAsia="zh-CN"/>
              </w:rPr>
              <w:t>（主村）</w:t>
            </w:r>
            <w:bookmarkEnd w:id="358"/>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59" w:name="_Toc21400"/>
            <w:r>
              <w:rPr>
                <w:rFonts w:hint="eastAsia" w:ascii="Times New Roman" w:hAnsi="Times New Roman" w:eastAsia="宋体" w:cs="宋体"/>
                <w:b w:val="0"/>
                <w:bCs w:val="0"/>
                <w:kern w:val="2"/>
                <w:sz w:val="18"/>
                <w:szCs w:val="18"/>
                <w:vertAlign w:val="baseline"/>
                <w:lang w:val="en-US" w:eastAsia="zh-CN" w:bidi="zh-CN"/>
              </w:rPr>
              <w:t>东南</w:t>
            </w:r>
            <w:bookmarkEnd w:id="359"/>
          </w:p>
        </w:tc>
        <w:tc>
          <w:tcPr>
            <w:tcW w:w="1714" w:type="dxa"/>
            <w:tcBorders>
              <w:tl2br w:val="nil"/>
              <w:tr2bl w:val="nil"/>
            </w:tcBorders>
            <w:vAlign w:val="center"/>
          </w:tcPr>
          <w:p>
            <w:pPr>
              <w:keepNext w:val="0"/>
              <w:keepLines w:val="0"/>
              <w:pageBreakBefore w:val="0"/>
              <w:widowControl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color w:val="auto"/>
                <w:kern w:val="0"/>
                <w:sz w:val="18"/>
                <w:szCs w:val="18"/>
                <w:u w:val="none"/>
                <w:lang w:val="en-US" w:eastAsia="zh-CN"/>
              </w:rPr>
              <w:t>319m</w:t>
            </w:r>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1435</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0" w:name="_Toc5178"/>
            <w:r>
              <w:rPr>
                <w:rFonts w:hint="eastAsia" w:ascii="Times New Roman" w:hAnsi="Times New Roman" w:eastAsia="宋体" w:cs="宋体"/>
                <w:b w:val="0"/>
                <w:bCs w:val="0"/>
                <w:kern w:val="2"/>
                <w:sz w:val="18"/>
                <w:szCs w:val="18"/>
                <w:vertAlign w:val="baseline"/>
                <w:lang w:val="en-US" w:eastAsia="zh-CN" w:bidi="zh-CN"/>
              </w:rPr>
              <w:t>叶县盐城学校</w:t>
            </w:r>
            <w:bookmarkEnd w:id="360"/>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1" w:name="_Toc11576"/>
            <w:r>
              <w:rPr>
                <w:rFonts w:hint="eastAsia" w:ascii="Times New Roman" w:hAnsi="Times New Roman" w:eastAsia="宋体" w:cs="宋体"/>
                <w:b w:val="0"/>
                <w:bCs w:val="0"/>
                <w:kern w:val="2"/>
                <w:sz w:val="18"/>
                <w:szCs w:val="18"/>
                <w:vertAlign w:val="baseline"/>
                <w:lang w:val="en-US" w:eastAsia="zh-CN" w:bidi="zh-CN"/>
              </w:rPr>
              <w:t>北</w:t>
            </w:r>
            <w:bookmarkEnd w:id="361"/>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2" w:name="_Toc23621"/>
            <w:r>
              <w:rPr>
                <w:rFonts w:hint="eastAsia" w:ascii="Times New Roman" w:hAnsi="Times New Roman" w:eastAsia="宋体" w:cs="宋体"/>
                <w:b w:val="0"/>
                <w:bCs w:val="0"/>
                <w:kern w:val="2"/>
                <w:sz w:val="18"/>
                <w:szCs w:val="18"/>
                <w:vertAlign w:val="baseline"/>
                <w:lang w:val="en-US" w:eastAsia="zh-CN" w:bidi="zh-CN"/>
              </w:rPr>
              <w:t>626m</w:t>
            </w:r>
            <w:bookmarkEnd w:id="362"/>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2410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3" w:name="_Toc247"/>
            <w:r>
              <w:rPr>
                <w:rFonts w:hint="eastAsia" w:ascii="Times New Roman" w:hAnsi="Times New Roman" w:eastAsia="宋体" w:cs="宋体"/>
                <w:b w:val="0"/>
                <w:bCs w:val="0"/>
                <w:kern w:val="2"/>
                <w:sz w:val="18"/>
                <w:szCs w:val="18"/>
                <w:vertAlign w:val="baseline"/>
                <w:lang w:val="en-US" w:eastAsia="zh-CN" w:bidi="zh-CN"/>
              </w:rPr>
              <w:t>叶县中等专业学校（新校区）</w:t>
            </w:r>
            <w:bookmarkEnd w:id="363"/>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4" w:name="_Toc23937"/>
            <w:r>
              <w:rPr>
                <w:rFonts w:hint="eastAsia" w:ascii="Times New Roman" w:hAnsi="Times New Roman" w:eastAsia="宋体" w:cs="宋体"/>
                <w:b w:val="0"/>
                <w:bCs w:val="0"/>
                <w:kern w:val="2"/>
                <w:sz w:val="18"/>
                <w:szCs w:val="18"/>
                <w:vertAlign w:val="baseline"/>
                <w:lang w:val="en-US" w:eastAsia="zh-CN" w:bidi="zh-CN"/>
              </w:rPr>
              <w:t>北</w:t>
            </w:r>
            <w:bookmarkEnd w:id="364"/>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5" w:name="_Toc1905"/>
            <w:r>
              <w:rPr>
                <w:rFonts w:hint="eastAsia" w:ascii="Times New Roman" w:hAnsi="Times New Roman" w:eastAsia="宋体" w:cs="宋体"/>
                <w:b w:val="0"/>
                <w:bCs w:val="0"/>
                <w:kern w:val="2"/>
                <w:sz w:val="18"/>
                <w:szCs w:val="18"/>
                <w:vertAlign w:val="baseline"/>
                <w:lang w:val="en-US" w:eastAsia="zh-CN" w:bidi="zh-CN"/>
              </w:rPr>
              <w:t>644m</w:t>
            </w:r>
            <w:bookmarkEnd w:id="365"/>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10</w:t>
            </w:r>
            <w:r>
              <w:rPr>
                <w:rFonts w:hint="default" w:ascii="Times New Roman" w:hAnsi="Times New Roman" w:cs="Times New Roman"/>
                <w:sz w:val="18"/>
                <w:szCs w:val="18"/>
              </w:rPr>
              <w:t>0</w:t>
            </w:r>
            <w:r>
              <w:rPr>
                <w:rFonts w:hint="eastAsia" w:ascii="Times New Roman" w:hAnsi="Times New Roman" w:eastAsia="宋体" w:cs="Times New Roman"/>
                <w:sz w:val="18"/>
                <w:szCs w:val="18"/>
                <w:lang w:eastAsia="zh-CN"/>
              </w:rPr>
              <w:t>（尚未使用）</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6" w:name="_Toc11433"/>
            <w:r>
              <w:rPr>
                <w:rFonts w:hint="eastAsia" w:ascii="Times New Roman" w:hAnsi="Times New Roman" w:eastAsia="宋体" w:cs="宋体"/>
                <w:b w:val="0"/>
                <w:bCs w:val="0"/>
                <w:kern w:val="2"/>
                <w:sz w:val="18"/>
                <w:szCs w:val="18"/>
                <w:vertAlign w:val="baseline"/>
                <w:lang w:val="en-US" w:eastAsia="zh-CN" w:bidi="zh-CN"/>
              </w:rPr>
              <w:t>叶县盐业管理局</w:t>
            </w:r>
            <w:bookmarkEnd w:id="366"/>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7" w:name="_Toc28373"/>
            <w:r>
              <w:rPr>
                <w:rFonts w:hint="eastAsia" w:ascii="Times New Roman" w:hAnsi="Times New Roman" w:eastAsia="宋体" w:cs="宋体"/>
                <w:b w:val="0"/>
                <w:bCs w:val="0"/>
                <w:kern w:val="2"/>
                <w:sz w:val="18"/>
                <w:szCs w:val="18"/>
                <w:vertAlign w:val="baseline"/>
                <w:lang w:val="en-US" w:eastAsia="zh-CN" w:bidi="zh-CN"/>
              </w:rPr>
              <w:t>北</w:t>
            </w:r>
            <w:bookmarkEnd w:id="367"/>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8" w:name="_Toc523"/>
            <w:r>
              <w:rPr>
                <w:rFonts w:hint="eastAsia" w:ascii="Times New Roman" w:hAnsi="Times New Roman" w:eastAsia="宋体" w:cs="宋体"/>
                <w:b w:val="0"/>
                <w:bCs w:val="0"/>
                <w:kern w:val="2"/>
                <w:sz w:val="18"/>
                <w:szCs w:val="18"/>
                <w:vertAlign w:val="baseline"/>
                <w:lang w:val="en-US" w:eastAsia="zh-CN" w:bidi="zh-CN"/>
              </w:rPr>
              <w:t>727m</w:t>
            </w:r>
            <w:bookmarkEnd w:id="368"/>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140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69" w:name="_Toc11692"/>
            <w:r>
              <w:rPr>
                <w:rFonts w:hint="eastAsia" w:ascii="Times New Roman" w:hAnsi="Times New Roman" w:eastAsia="宋体" w:cs="宋体"/>
                <w:b w:val="0"/>
                <w:bCs w:val="0"/>
                <w:kern w:val="2"/>
                <w:sz w:val="18"/>
                <w:szCs w:val="18"/>
                <w:vertAlign w:val="baseline"/>
                <w:lang w:val="en-US" w:eastAsia="zh-CN" w:bidi="zh-CN"/>
              </w:rPr>
              <w:t>叶县残疾人康复中心</w:t>
            </w:r>
            <w:bookmarkEnd w:id="369"/>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0" w:name="_Toc25521"/>
            <w:r>
              <w:rPr>
                <w:rFonts w:hint="eastAsia" w:ascii="Times New Roman" w:hAnsi="Times New Roman" w:eastAsia="宋体" w:cs="宋体"/>
                <w:b w:val="0"/>
                <w:bCs w:val="0"/>
                <w:kern w:val="2"/>
                <w:sz w:val="18"/>
                <w:szCs w:val="18"/>
                <w:vertAlign w:val="baseline"/>
                <w:lang w:val="en-US" w:eastAsia="zh-CN" w:bidi="zh-CN"/>
              </w:rPr>
              <w:t>北</w:t>
            </w:r>
            <w:bookmarkEnd w:id="370"/>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1" w:name="_Toc7384"/>
            <w:r>
              <w:rPr>
                <w:rFonts w:hint="eastAsia" w:ascii="Times New Roman" w:hAnsi="Times New Roman" w:eastAsia="宋体" w:cs="宋体"/>
                <w:b w:val="0"/>
                <w:bCs w:val="0"/>
                <w:kern w:val="2"/>
                <w:sz w:val="18"/>
                <w:szCs w:val="18"/>
                <w:vertAlign w:val="baseline"/>
                <w:lang w:val="en-US" w:eastAsia="zh-CN" w:bidi="zh-CN"/>
              </w:rPr>
              <w:t>923m</w:t>
            </w:r>
            <w:bookmarkEnd w:id="371"/>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180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2" w:name="_Toc3569"/>
            <w:r>
              <w:rPr>
                <w:rFonts w:hint="eastAsia" w:ascii="Times New Roman" w:hAnsi="Times New Roman" w:eastAsia="宋体" w:cs="宋体"/>
                <w:b w:val="0"/>
                <w:bCs w:val="0"/>
                <w:kern w:val="2"/>
                <w:sz w:val="18"/>
                <w:szCs w:val="18"/>
                <w:vertAlign w:val="baseline"/>
                <w:lang w:val="en-US" w:eastAsia="zh-CN" w:bidi="zh-CN"/>
              </w:rPr>
              <w:t>叶县三和双语学校</w:t>
            </w:r>
            <w:bookmarkEnd w:id="372"/>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3" w:name="_Toc6762"/>
            <w:r>
              <w:rPr>
                <w:rFonts w:hint="eastAsia" w:ascii="Times New Roman" w:hAnsi="Times New Roman" w:eastAsia="宋体" w:cs="宋体"/>
                <w:b w:val="0"/>
                <w:bCs w:val="0"/>
                <w:kern w:val="2"/>
                <w:sz w:val="18"/>
                <w:szCs w:val="18"/>
                <w:vertAlign w:val="baseline"/>
                <w:lang w:val="en-US" w:eastAsia="zh-CN" w:bidi="zh-CN"/>
              </w:rPr>
              <w:t>东北</w:t>
            </w:r>
            <w:bookmarkEnd w:id="373"/>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4" w:name="_Toc30050"/>
            <w:r>
              <w:rPr>
                <w:rFonts w:hint="eastAsia" w:ascii="Times New Roman" w:hAnsi="Times New Roman" w:eastAsia="宋体" w:cs="宋体"/>
                <w:b w:val="0"/>
                <w:bCs w:val="0"/>
                <w:kern w:val="2"/>
                <w:sz w:val="18"/>
                <w:szCs w:val="18"/>
                <w:vertAlign w:val="baseline"/>
                <w:lang w:val="en-US" w:eastAsia="zh-CN" w:bidi="zh-CN"/>
              </w:rPr>
              <w:t>1078m</w:t>
            </w:r>
            <w:bookmarkEnd w:id="374"/>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1430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5" w:name="_Toc17473"/>
            <w:r>
              <w:rPr>
                <w:rFonts w:hint="eastAsia" w:ascii="Times New Roman" w:hAnsi="Times New Roman" w:eastAsia="宋体" w:cs="宋体"/>
                <w:b w:val="0"/>
                <w:bCs w:val="0"/>
                <w:kern w:val="2"/>
                <w:sz w:val="18"/>
                <w:szCs w:val="18"/>
                <w:vertAlign w:val="baseline"/>
                <w:lang w:val="en-US" w:eastAsia="zh-CN" w:bidi="zh-CN"/>
              </w:rPr>
              <w:t>李寨村</w:t>
            </w:r>
            <w:bookmarkEnd w:id="375"/>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6" w:name="_Toc21889"/>
            <w:r>
              <w:rPr>
                <w:rFonts w:hint="eastAsia" w:ascii="Times New Roman" w:hAnsi="Times New Roman" w:eastAsia="宋体" w:cs="宋体"/>
                <w:b w:val="0"/>
                <w:bCs w:val="0"/>
                <w:kern w:val="2"/>
                <w:sz w:val="18"/>
                <w:szCs w:val="18"/>
                <w:vertAlign w:val="baseline"/>
                <w:lang w:val="en-US" w:eastAsia="zh-CN" w:bidi="zh-CN"/>
              </w:rPr>
              <w:t>东北</w:t>
            </w:r>
            <w:bookmarkEnd w:id="376"/>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7" w:name="_Toc4244"/>
            <w:r>
              <w:rPr>
                <w:rFonts w:hint="eastAsia" w:ascii="Times New Roman" w:hAnsi="Times New Roman" w:eastAsia="宋体" w:cs="宋体"/>
                <w:b w:val="0"/>
                <w:bCs w:val="0"/>
                <w:kern w:val="2"/>
                <w:sz w:val="18"/>
                <w:szCs w:val="18"/>
                <w:vertAlign w:val="baseline"/>
                <w:lang w:val="en-US" w:eastAsia="zh-CN" w:bidi="zh-CN"/>
              </w:rPr>
              <w:t>1600m</w:t>
            </w:r>
            <w:bookmarkEnd w:id="377"/>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eastAsia" w:ascii="Times New Roman" w:hAnsi="Times New Roman" w:eastAsia="宋体" w:cs="Times New Roman"/>
                <w:sz w:val="18"/>
                <w:szCs w:val="18"/>
                <w:lang w:val="en-US" w:eastAsia="zh-CN"/>
              </w:rPr>
              <w:t>2</w:t>
            </w:r>
            <w:r>
              <w:rPr>
                <w:rFonts w:hint="default" w:ascii="Times New Roman" w:hAnsi="Times New Roman" w:cs="Times New Roman"/>
                <w:sz w:val="18"/>
                <w:szCs w:val="18"/>
              </w:rPr>
              <w:t>00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8" w:name="_Toc6551"/>
            <w:r>
              <w:rPr>
                <w:rFonts w:hint="eastAsia" w:ascii="Times New Roman" w:hAnsi="Times New Roman" w:eastAsia="宋体" w:cs="宋体"/>
                <w:b w:val="0"/>
                <w:bCs w:val="0"/>
                <w:kern w:val="2"/>
                <w:sz w:val="18"/>
                <w:szCs w:val="18"/>
                <w:vertAlign w:val="baseline"/>
                <w:lang w:val="en-US" w:eastAsia="zh-CN" w:bidi="zh-CN"/>
              </w:rPr>
              <w:t>湾李村</w:t>
            </w:r>
            <w:bookmarkEnd w:id="378"/>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79" w:name="_Toc31695"/>
            <w:r>
              <w:rPr>
                <w:rFonts w:hint="eastAsia" w:ascii="Times New Roman" w:hAnsi="Times New Roman" w:eastAsia="宋体" w:cs="宋体"/>
                <w:b w:val="0"/>
                <w:bCs w:val="0"/>
                <w:kern w:val="2"/>
                <w:sz w:val="18"/>
                <w:szCs w:val="18"/>
                <w:vertAlign w:val="baseline"/>
                <w:lang w:val="en-US" w:eastAsia="zh-CN" w:bidi="zh-CN"/>
              </w:rPr>
              <w:t>东北</w:t>
            </w:r>
            <w:bookmarkEnd w:id="379"/>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0" w:name="_Toc6546"/>
            <w:r>
              <w:rPr>
                <w:rFonts w:hint="eastAsia" w:ascii="Times New Roman" w:hAnsi="Times New Roman" w:eastAsia="宋体" w:cs="宋体"/>
                <w:b w:val="0"/>
                <w:bCs w:val="0"/>
                <w:kern w:val="2"/>
                <w:sz w:val="18"/>
                <w:szCs w:val="18"/>
                <w:vertAlign w:val="baseline"/>
                <w:lang w:val="en-US" w:eastAsia="zh-CN" w:bidi="zh-CN"/>
              </w:rPr>
              <w:t>1924m</w:t>
            </w:r>
            <w:bookmarkEnd w:id="380"/>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eastAsia" w:ascii="Times New Roman" w:hAnsi="Times New Roman" w:eastAsia="宋体" w:cs="Times New Roman"/>
                <w:sz w:val="18"/>
                <w:szCs w:val="18"/>
                <w:lang w:val="en-US" w:eastAsia="zh-CN"/>
              </w:rPr>
              <w:t>3</w:t>
            </w:r>
            <w:r>
              <w:rPr>
                <w:rFonts w:hint="default" w:ascii="Times New Roman" w:hAnsi="Times New Roman" w:cs="Times New Roman"/>
                <w:sz w:val="18"/>
                <w:szCs w:val="18"/>
              </w:rPr>
              <w:t>00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1" w:name="_Toc32374"/>
            <w:r>
              <w:rPr>
                <w:rFonts w:hint="eastAsia" w:ascii="Times New Roman" w:hAnsi="Times New Roman" w:eastAsia="宋体" w:cs="宋体"/>
                <w:b w:val="0"/>
                <w:bCs w:val="0"/>
                <w:kern w:val="2"/>
                <w:sz w:val="18"/>
                <w:szCs w:val="18"/>
                <w:vertAlign w:val="baseline"/>
                <w:lang w:val="en-US" w:eastAsia="zh-CN" w:bidi="zh-CN"/>
              </w:rPr>
              <w:t>恒基国际小区</w:t>
            </w:r>
            <w:bookmarkEnd w:id="381"/>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2" w:name="_Toc13045"/>
            <w:r>
              <w:rPr>
                <w:rFonts w:hint="eastAsia" w:ascii="Times New Roman" w:hAnsi="Times New Roman" w:eastAsia="宋体" w:cs="宋体"/>
                <w:b w:val="0"/>
                <w:bCs w:val="0"/>
                <w:kern w:val="2"/>
                <w:sz w:val="18"/>
                <w:szCs w:val="18"/>
                <w:vertAlign w:val="baseline"/>
                <w:lang w:val="en-US" w:eastAsia="zh-CN" w:bidi="zh-CN"/>
              </w:rPr>
              <w:t>东北</w:t>
            </w:r>
            <w:bookmarkEnd w:id="382"/>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3" w:name="_Toc21216"/>
            <w:r>
              <w:rPr>
                <w:rFonts w:hint="eastAsia" w:ascii="Times New Roman" w:hAnsi="Times New Roman" w:eastAsia="宋体" w:cs="宋体"/>
                <w:b w:val="0"/>
                <w:bCs w:val="0"/>
                <w:kern w:val="2"/>
                <w:sz w:val="18"/>
                <w:szCs w:val="18"/>
                <w:vertAlign w:val="baseline"/>
                <w:lang w:val="en-US" w:eastAsia="zh-CN" w:bidi="zh-CN"/>
              </w:rPr>
              <w:t>2172m</w:t>
            </w:r>
            <w:bookmarkEnd w:id="383"/>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1850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4" w:name="_Toc17940"/>
            <w:r>
              <w:rPr>
                <w:rFonts w:hint="eastAsia" w:ascii="Times New Roman" w:hAnsi="Times New Roman" w:eastAsia="宋体" w:cs="宋体"/>
                <w:b w:val="0"/>
                <w:bCs w:val="0"/>
                <w:kern w:val="2"/>
                <w:sz w:val="18"/>
                <w:szCs w:val="18"/>
                <w:vertAlign w:val="baseline"/>
                <w:lang w:val="en-US" w:eastAsia="zh-CN" w:bidi="zh-CN"/>
              </w:rPr>
              <w:t>南大桥村</w:t>
            </w:r>
            <w:bookmarkEnd w:id="384"/>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5" w:name="_Toc4619"/>
            <w:r>
              <w:rPr>
                <w:rFonts w:hint="eastAsia" w:ascii="Times New Roman" w:hAnsi="Times New Roman" w:eastAsia="宋体" w:cs="宋体"/>
                <w:b w:val="0"/>
                <w:bCs w:val="0"/>
                <w:kern w:val="2"/>
                <w:sz w:val="18"/>
                <w:szCs w:val="18"/>
                <w:vertAlign w:val="baseline"/>
                <w:lang w:val="en-US" w:eastAsia="zh-CN" w:bidi="zh-CN"/>
              </w:rPr>
              <w:t>西北</w:t>
            </w:r>
            <w:bookmarkEnd w:id="385"/>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6" w:name="_Toc8738"/>
            <w:r>
              <w:rPr>
                <w:rFonts w:hint="eastAsia" w:ascii="Times New Roman" w:hAnsi="Times New Roman" w:eastAsia="宋体" w:cs="宋体"/>
                <w:b w:val="0"/>
                <w:bCs w:val="0"/>
                <w:kern w:val="2"/>
                <w:sz w:val="18"/>
                <w:szCs w:val="18"/>
                <w:vertAlign w:val="baseline"/>
                <w:lang w:val="en-US" w:eastAsia="zh-CN" w:bidi="zh-CN"/>
              </w:rPr>
              <w:t>1725m</w:t>
            </w:r>
            <w:bookmarkEnd w:id="386"/>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600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7" w:name="_Toc10202"/>
            <w:r>
              <w:rPr>
                <w:rFonts w:hint="eastAsia" w:ascii="Times New Roman" w:hAnsi="Times New Roman" w:eastAsia="宋体" w:cs="宋体"/>
                <w:b w:val="0"/>
                <w:bCs w:val="0"/>
                <w:kern w:val="2"/>
                <w:sz w:val="18"/>
                <w:szCs w:val="18"/>
                <w:vertAlign w:val="baseline"/>
                <w:lang w:val="en-US" w:eastAsia="zh-CN" w:bidi="zh-CN"/>
              </w:rPr>
              <w:t>潘寨村</w:t>
            </w:r>
            <w:bookmarkEnd w:id="387"/>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8" w:name="_Toc32491"/>
            <w:r>
              <w:rPr>
                <w:rFonts w:hint="eastAsia" w:ascii="Times New Roman" w:hAnsi="Times New Roman" w:eastAsia="宋体" w:cs="宋体"/>
                <w:b w:val="0"/>
                <w:bCs w:val="0"/>
                <w:kern w:val="2"/>
                <w:sz w:val="18"/>
                <w:szCs w:val="18"/>
                <w:vertAlign w:val="baseline"/>
                <w:lang w:val="en-US" w:eastAsia="zh-CN" w:bidi="zh-CN"/>
              </w:rPr>
              <w:t>西北</w:t>
            </w:r>
            <w:bookmarkEnd w:id="388"/>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89" w:name="_Toc25211"/>
            <w:r>
              <w:rPr>
                <w:rFonts w:hint="eastAsia" w:ascii="Times New Roman" w:hAnsi="Times New Roman" w:eastAsia="宋体" w:cs="宋体"/>
                <w:b w:val="0"/>
                <w:bCs w:val="0"/>
                <w:kern w:val="2"/>
                <w:sz w:val="18"/>
                <w:szCs w:val="18"/>
                <w:vertAlign w:val="baseline"/>
                <w:lang w:val="en-US" w:eastAsia="zh-CN" w:bidi="zh-CN"/>
              </w:rPr>
              <w:t>2058m</w:t>
            </w:r>
            <w:bookmarkEnd w:id="389"/>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700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0" w:name="_Toc22834"/>
            <w:r>
              <w:rPr>
                <w:rFonts w:hint="eastAsia" w:ascii="Times New Roman" w:hAnsi="Times New Roman" w:eastAsia="宋体" w:cs="宋体"/>
                <w:b w:val="0"/>
                <w:bCs w:val="0"/>
                <w:kern w:val="2"/>
                <w:sz w:val="18"/>
                <w:szCs w:val="18"/>
                <w:vertAlign w:val="baseline"/>
                <w:lang w:val="en-US" w:eastAsia="zh-CN" w:bidi="zh-CN"/>
              </w:rPr>
              <w:t>三里湾</w:t>
            </w:r>
            <w:bookmarkEnd w:id="390"/>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1" w:name="_Toc15817"/>
            <w:r>
              <w:rPr>
                <w:rFonts w:hint="eastAsia" w:ascii="Times New Roman" w:hAnsi="Times New Roman" w:eastAsia="宋体" w:cs="宋体"/>
                <w:b w:val="0"/>
                <w:bCs w:val="0"/>
                <w:kern w:val="2"/>
                <w:sz w:val="18"/>
                <w:szCs w:val="18"/>
                <w:vertAlign w:val="baseline"/>
                <w:lang w:val="en-US" w:eastAsia="zh-CN" w:bidi="zh-CN"/>
              </w:rPr>
              <w:t>西北</w:t>
            </w:r>
            <w:bookmarkEnd w:id="391"/>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2" w:name="_Toc28414"/>
            <w:r>
              <w:rPr>
                <w:rFonts w:hint="eastAsia" w:ascii="Times New Roman" w:hAnsi="Times New Roman" w:eastAsia="宋体" w:cs="宋体"/>
                <w:b w:val="0"/>
                <w:bCs w:val="0"/>
                <w:kern w:val="2"/>
                <w:sz w:val="18"/>
                <w:szCs w:val="18"/>
                <w:vertAlign w:val="baseline"/>
                <w:lang w:val="en-US" w:eastAsia="zh-CN" w:bidi="zh-CN"/>
              </w:rPr>
              <w:t>2266</w:t>
            </w:r>
            <w:bookmarkEnd w:id="392"/>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eastAsia" w:ascii="Times New Roman" w:hAnsi="Times New Roman" w:eastAsia="宋体" w:cs="Times New Roman"/>
                <w:sz w:val="18"/>
                <w:szCs w:val="18"/>
                <w:lang w:val="en-US" w:eastAsia="zh-CN"/>
              </w:rPr>
              <w:t>1</w:t>
            </w:r>
            <w:r>
              <w:rPr>
                <w:rFonts w:hint="default" w:ascii="Times New Roman" w:hAnsi="Times New Roman" w:cs="Times New Roman"/>
                <w:sz w:val="18"/>
                <w:szCs w:val="18"/>
              </w:rPr>
              <w:t>300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3" w:name="_Toc21218"/>
            <w:r>
              <w:rPr>
                <w:rFonts w:hint="eastAsia" w:ascii="Times New Roman" w:hAnsi="Times New Roman" w:eastAsia="宋体" w:cs="宋体"/>
                <w:b w:val="0"/>
                <w:bCs w:val="0"/>
                <w:kern w:val="2"/>
                <w:sz w:val="18"/>
                <w:szCs w:val="18"/>
                <w:vertAlign w:val="baseline"/>
                <w:lang w:val="en-US" w:eastAsia="zh-CN" w:bidi="zh-CN"/>
              </w:rPr>
              <w:t>叶县高中</w:t>
            </w:r>
            <w:bookmarkEnd w:id="393"/>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4" w:name="_Toc17250"/>
            <w:r>
              <w:rPr>
                <w:rFonts w:hint="eastAsia" w:ascii="Times New Roman" w:hAnsi="Times New Roman" w:eastAsia="宋体" w:cs="宋体"/>
                <w:b w:val="0"/>
                <w:bCs w:val="0"/>
                <w:kern w:val="2"/>
                <w:sz w:val="18"/>
                <w:szCs w:val="18"/>
                <w:vertAlign w:val="baseline"/>
                <w:lang w:val="en-US" w:eastAsia="zh-CN" w:bidi="zh-CN"/>
              </w:rPr>
              <w:t>西</w:t>
            </w:r>
            <w:bookmarkEnd w:id="394"/>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5" w:name="_Toc21834"/>
            <w:r>
              <w:rPr>
                <w:rFonts w:hint="eastAsia" w:ascii="Times New Roman" w:hAnsi="Times New Roman" w:eastAsia="宋体" w:cs="宋体"/>
                <w:b w:val="0"/>
                <w:bCs w:val="0"/>
                <w:kern w:val="2"/>
                <w:sz w:val="18"/>
                <w:szCs w:val="18"/>
                <w:vertAlign w:val="baseline"/>
                <w:lang w:val="en-US" w:eastAsia="zh-CN" w:bidi="zh-CN"/>
              </w:rPr>
              <w:t>1871m</w:t>
            </w:r>
            <w:bookmarkEnd w:id="395"/>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eastAsia" w:ascii="Times New Roman" w:hAnsi="Times New Roman" w:eastAsia="宋体" w:cs="Times New Roman"/>
                <w:sz w:val="18"/>
                <w:szCs w:val="18"/>
                <w:lang w:val="en-US" w:eastAsia="zh-CN"/>
              </w:rPr>
              <w:t>95</w:t>
            </w:r>
            <w:r>
              <w:rPr>
                <w:rFonts w:hint="default" w:ascii="Times New Roman" w:hAnsi="Times New Roman" w:cs="Times New Roman"/>
                <w:sz w:val="18"/>
                <w:szCs w:val="18"/>
              </w:rPr>
              <w:t>00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6" w:name="_Toc3466"/>
            <w:r>
              <w:rPr>
                <w:rFonts w:hint="eastAsia" w:ascii="Times New Roman" w:hAnsi="Times New Roman" w:eastAsia="宋体" w:cs="宋体"/>
                <w:b w:val="0"/>
                <w:bCs w:val="0"/>
                <w:kern w:val="2"/>
                <w:sz w:val="18"/>
                <w:szCs w:val="18"/>
                <w:vertAlign w:val="baseline"/>
                <w:lang w:val="en-US" w:eastAsia="zh-CN" w:bidi="zh-CN"/>
              </w:rPr>
              <w:t>叶县昆阳中学（新校区）</w:t>
            </w:r>
            <w:bookmarkEnd w:id="396"/>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7" w:name="_Toc4691"/>
            <w:r>
              <w:rPr>
                <w:rFonts w:hint="eastAsia" w:ascii="Times New Roman" w:hAnsi="Times New Roman" w:eastAsia="宋体" w:cs="宋体"/>
                <w:b w:val="0"/>
                <w:bCs w:val="0"/>
                <w:kern w:val="2"/>
                <w:sz w:val="18"/>
                <w:szCs w:val="18"/>
                <w:vertAlign w:val="baseline"/>
                <w:lang w:val="en-US" w:eastAsia="zh-CN" w:bidi="zh-CN"/>
              </w:rPr>
              <w:t>西北</w:t>
            </w:r>
            <w:bookmarkEnd w:id="397"/>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8" w:name="_Toc21769"/>
            <w:r>
              <w:rPr>
                <w:rFonts w:hint="eastAsia" w:ascii="Times New Roman" w:hAnsi="Times New Roman" w:eastAsia="宋体" w:cs="宋体"/>
                <w:b w:val="0"/>
                <w:bCs w:val="0"/>
                <w:kern w:val="2"/>
                <w:sz w:val="18"/>
                <w:szCs w:val="18"/>
                <w:vertAlign w:val="baseline"/>
                <w:lang w:val="en-US" w:eastAsia="zh-CN" w:bidi="zh-CN"/>
              </w:rPr>
              <w:t>1149m</w:t>
            </w:r>
            <w:bookmarkEnd w:id="398"/>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eastAsia" w:ascii="Times New Roman" w:hAnsi="Times New Roman" w:eastAsia="宋体" w:cs="Times New Roman"/>
                <w:sz w:val="18"/>
                <w:szCs w:val="18"/>
                <w:lang w:val="en-US" w:eastAsia="zh-CN"/>
              </w:rPr>
              <w:t>1</w:t>
            </w:r>
            <w:r>
              <w:rPr>
                <w:rFonts w:hint="default" w:ascii="Times New Roman" w:hAnsi="Times New Roman" w:cs="Times New Roman"/>
                <w:sz w:val="18"/>
                <w:szCs w:val="18"/>
              </w:rPr>
              <w:t>550</w:t>
            </w:r>
          </w:p>
          <w:p>
            <w:pPr>
              <w:keepNext w:val="0"/>
              <w:keepLines w:val="0"/>
              <w:pageBreakBefore w:val="0"/>
              <w:wordWrap/>
              <w:overflowPunct/>
              <w:topLinePunct w:val="0"/>
              <w:bidi w:val="0"/>
              <w:adjustRightInd w:val="0"/>
              <w:snapToGrid w:val="0"/>
              <w:jc w:val="center"/>
              <w:outlineLvl w:val="9"/>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（尚未正式投入使用）</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399" w:name="_Toc19623"/>
            <w:r>
              <w:rPr>
                <w:rFonts w:hint="eastAsia" w:ascii="Times New Roman" w:hAnsi="Times New Roman" w:eastAsia="宋体" w:cs="宋体"/>
                <w:b w:val="0"/>
                <w:bCs w:val="0"/>
                <w:kern w:val="2"/>
                <w:sz w:val="18"/>
                <w:szCs w:val="18"/>
                <w:vertAlign w:val="baseline"/>
                <w:lang w:val="en-US" w:eastAsia="zh-CN" w:bidi="zh-CN"/>
              </w:rPr>
              <w:t>贺庄村</w:t>
            </w:r>
            <w:bookmarkEnd w:id="399"/>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0" w:name="_Toc19901"/>
            <w:r>
              <w:rPr>
                <w:rFonts w:hint="eastAsia" w:ascii="Times New Roman" w:hAnsi="Times New Roman" w:eastAsia="宋体" w:cs="宋体"/>
                <w:b w:val="0"/>
                <w:bCs w:val="0"/>
                <w:kern w:val="2"/>
                <w:sz w:val="18"/>
                <w:szCs w:val="18"/>
                <w:vertAlign w:val="baseline"/>
                <w:lang w:val="en-US" w:eastAsia="zh-CN" w:bidi="zh-CN"/>
              </w:rPr>
              <w:t>西</w:t>
            </w:r>
            <w:bookmarkEnd w:id="400"/>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1" w:name="_Toc23837"/>
            <w:r>
              <w:rPr>
                <w:rFonts w:hint="eastAsia" w:ascii="Times New Roman" w:hAnsi="Times New Roman" w:eastAsia="宋体" w:cs="宋体"/>
                <w:b w:val="0"/>
                <w:bCs w:val="0"/>
                <w:kern w:val="2"/>
                <w:sz w:val="18"/>
                <w:szCs w:val="18"/>
                <w:vertAlign w:val="baseline"/>
                <w:lang w:val="en-US" w:eastAsia="zh-CN" w:bidi="zh-CN"/>
              </w:rPr>
              <w:t>1235m</w:t>
            </w:r>
            <w:bookmarkEnd w:id="401"/>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650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2" w:name="_Toc22475"/>
            <w:r>
              <w:rPr>
                <w:rFonts w:hint="eastAsia" w:ascii="Times New Roman" w:hAnsi="Times New Roman" w:eastAsia="宋体" w:cs="宋体"/>
                <w:b w:val="0"/>
                <w:bCs w:val="0"/>
                <w:kern w:val="2"/>
                <w:sz w:val="18"/>
                <w:szCs w:val="18"/>
                <w:vertAlign w:val="baseline"/>
                <w:lang w:val="en-US" w:eastAsia="zh-CN" w:bidi="zh-CN"/>
              </w:rPr>
              <w:t>张申庄</w:t>
            </w:r>
            <w:bookmarkEnd w:id="402"/>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3" w:name="_Toc2883"/>
            <w:r>
              <w:rPr>
                <w:rFonts w:hint="eastAsia" w:ascii="Times New Roman" w:hAnsi="Times New Roman" w:eastAsia="宋体" w:cs="宋体"/>
                <w:b w:val="0"/>
                <w:bCs w:val="0"/>
                <w:kern w:val="2"/>
                <w:sz w:val="18"/>
                <w:szCs w:val="18"/>
                <w:vertAlign w:val="baseline"/>
                <w:lang w:val="en-US" w:eastAsia="zh-CN" w:bidi="zh-CN"/>
              </w:rPr>
              <w:t>西南</w:t>
            </w:r>
            <w:bookmarkEnd w:id="403"/>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4" w:name="_Toc27776"/>
            <w:r>
              <w:rPr>
                <w:rFonts w:hint="eastAsia" w:ascii="Times New Roman" w:hAnsi="Times New Roman" w:eastAsia="宋体" w:cs="宋体"/>
                <w:b w:val="0"/>
                <w:bCs w:val="0"/>
                <w:kern w:val="2"/>
                <w:sz w:val="18"/>
                <w:szCs w:val="18"/>
                <w:vertAlign w:val="baseline"/>
                <w:lang w:val="en-US" w:eastAsia="zh-CN" w:bidi="zh-CN"/>
              </w:rPr>
              <w:t>1065m</w:t>
            </w:r>
            <w:bookmarkEnd w:id="404"/>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500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5" w:name="_Toc25420"/>
            <w:r>
              <w:rPr>
                <w:rFonts w:hint="eastAsia" w:ascii="Times New Roman" w:hAnsi="Times New Roman" w:eastAsia="宋体" w:cs="宋体"/>
                <w:b w:val="0"/>
                <w:bCs w:val="0"/>
                <w:kern w:val="2"/>
                <w:sz w:val="18"/>
                <w:szCs w:val="18"/>
                <w:vertAlign w:val="baseline"/>
                <w:lang w:val="en-US" w:eastAsia="zh-CN" w:bidi="zh-CN"/>
              </w:rPr>
              <w:t>道庄</w:t>
            </w:r>
            <w:bookmarkEnd w:id="405"/>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6" w:name="_Toc18192"/>
            <w:r>
              <w:rPr>
                <w:rFonts w:hint="eastAsia" w:ascii="Times New Roman" w:hAnsi="Times New Roman" w:eastAsia="宋体" w:cs="宋体"/>
                <w:b w:val="0"/>
                <w:bCs w:val="0"/>
                <w:kern w:val="2"/>
                <w:sz w:val="18"/>
                <w:szCs w:val="18"/>
                <w:vertAlign w:val="baseline"/>
                <w:lang w:val="en-US" w:eastAsia="zh-CN" w:bidi="zh-CN"/>
              </w:rPr>
              <w:t>西南</w:t>
            </w:r>
            <w:bookmarkEnd w:id="406"/>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7" w:name="_Toc15417"/>
            <w:r>
              <w:rPr>
                <w:rFonts w:hint="eastAsia" w:ascii="Times New Roman" w:hAnsi="Times New Roman" w:eastAsia="宋体" w:cs="宋体"/>
                <w:b w:val="0"/>
                <w:bCs w:val="0"/>
                <w:kern w:val="2"/>
                <w:sz w:val="18"/>
                <w:szCs w:val="18"/>
                <w:vertAlign w:val="baseline"/>
                <w:lang w:val="en-US" w:eastAsia="zh-CN" w:bidi="zh-CN"/>
              </w:rPr>
              <w:t>2279m</w:t>
            </w:r>
            <w:bookmarkEnd w:id="407"/>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1</w:t>
            </w:r>
            <w:r>
              <w:rPr>
                <w:rFonts w:hint="eastAsia" w:ascii="Times New Roman" w:hAnsi="Times New Roman" w:eastAsia="宋体" w:cs="Times New Roman"/>
                <w:sz w:val="18"/>
                <w:szCs w:val="18"/>
                <w:lang w:val="en-US" w:eastAsia="zh-CN"/>
              </w:rPr>
              <w:t>2</w:t>
            </w:r>
            <w:r>
              <w:rPr>
                <w:rFonts w:hint="default" w:ascii="Times New Roman" w:hAnsi="Times New Roman" w:cs="Times New Roman"/>
                <w:sz w:val="18"/>
                <w:szCs w:val="18"/>
              </w:rPr>
              <w:t>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8" w:name="_Toc20628"/>
            <w:r>
              <w:rPr>
                <w:rFonts w:hint="eastAsia" w:ascii="Times New Roman" w:hAnsi="Times New Roman" w:eastAsia="宋体" w:cs="宋体"/>
                <w:b w:val="0"/>
                <w:bCs w:val="0"/>
                <w:kern w:val="2"/>
                <w:sz w:val="18"/>
                <w:szCs w:val="18"/>
                <w:vertAlign w:val="baseline"/>
                <w:lang w:val="en-US" w:eastAsia="zh-CN" w:bidi="zh-CN"/>
              </w:rPr>
              <w:t>毛庄</w:t>
            </w:r>
            <w:bookmarkEnd w:id="408"/>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09" w:name="_Toc30835"/>
            <w:r>
              <w:rPr>
                <w:rFonts w:hint="eastAsia" w:ascii="Times New Roman" w:hAnsi="Times New Roman" w:eastAsia="宋体" w:cs="宋体"/>
                <w:b w:val="0"/>
                <w:bCs w:val="0"/>
                <w:kern w:val="2"/>
                <w:sz w:val="18"/>
                <w:szCs w:val="18"/>
                <w:vertAlign w:val="baseline"/>
                <w:lang w:val="en-US" w:eastAsia="zh-CN" w:bidi="zh-CN"/>
              </w:rPr>
              <w:t>西南</w:t>
            </w:r>
            <w:bookmarkEnd w:id="409"/>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10" w:name="_Toc20660"/>
            <w:r>
              <w:rPr>
                <w:rFonts w:hint="eastAsia" w:ascii="Times New Roman" w:hAnsi="Times New Roman" w:eastAsia="宋体" w:cs="宋体"/>
                <w:b w:val="0"/>
                <w:bCs w:val="0"/>
                <w:kern w:val="2"/>
                <w:sz w:val="18"/>
                <w:szCs w:val="18"/>
                <w:vertAlign w:val="baseline"/>
                <w:lang w:val="en-US" w:eastAsia="zh-CN" w:bidi="zh-CN"/>
              </w:rPr>
              <w:t>2271m</w:t>
            </w:r>
            <w:bookmarkEnd w:id="410"/>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160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11" w:name="_Toc7232"/>
            <w:r>
              <w:rPr>
                <w:rFonts w:hint="eastAsia" w:ascii="Times New Roman" w:hAnsi="Times New Roman" w:eastAsia="宋体" w:cs="宋体"/>
                <w:b w:val="0"/>
                <w:bCs w:val="0"/>
                <w:kern w:val="2"/>
                <w:sz w:val="18"/>
                <w:szCs w:val="18"/>
                <w:vertAlign w:val="baseline"/>
                <w:lang w:val="en-US" w:eastAsia="zh-CN" w:bidi="zh-CN"/>
              </w:rPr>
              <w:t>水郭村</w:t>
            </w:r>
            <w:bookmarkEnd w:id="411"/>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12" w:name="_Toc12512"/>
            <w:r>
              <w:rPr>
                <w:rFonts w:hint="eastAsia" w:ascii="Times New Roman" w:hAnsi="Times New Roman" w:eastAsia="宋体" w:cs="宋体"/>
                <w:b w:val="0"/>
                <w:bCs w:val="0"/>
                <w:kern w:val="2"/>
                <w:sz w:val="18"/>
                <w:szCs w:val="18"/>
                <w:vertAlign w:val="baseline"/>
                <w:lang w:val="en-US" w:eastAsia="zh-CN" w:bidi="zh-CN"/>
              </w:rPr>
              <w:t>南</w:t>
            </w:r>
            <w:bookmarkEnd w:id="412"/>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13" w:name="_Toc28841"/>
            <w:r>
              <w:rPr>
                <w:rFonts w:hint="eastAsia" w:ascii="Times New Roman" w:hAnsi="Times New Roman" w:eastAsia="宋体" w:cs="宋体"/>
                <w:b w:val="0"/>
                <w:bCs w:val="0"/>
                <w:kern w:val="2"/>
                <w:sz w:val="18"/>
                <w:szCs w:val="18"/>
                <w:vertAlign w:val="baseline"/>
                <w:lang w:val="en-US" w:eastAsia="zh-CN" w:bidi="zh-CN"/>
              </w:rPr>
              <w:t>1035m</w:t>
            </w:r>
            <w:bookmarkEnd w:id="413"/>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default" w:ascii="Times New Roman" w:hAnsi="Times New Roman" w:cs="Times New Roman"/>
                <w:sz w:val="18"/>
                <w:szCs w:val="18"/>
              </w:rPr>
              <w:t>230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41"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14" w:name="_Toc19969"/>
            <w:r>
              <w:rPr>
                <w:rFonts w:hint="eastAsia" w:ascii="Times New Roman" w:hAnsi="Times New Roman" w:eastAsia="宋体" w:cs="宋体"/>
                <w:b w:val="0"/>
                <w:bCs w:val="0"/>
                <w:kern w:val="2"/>
                <w:sz w:val="18"/>
                <w:szCs w:val="18"/>
                <w:vertAlign w:val="baseline"/>
                <w:lang w:val="en-US" w:eastAsia="zh-CN" w:bidi="zh-CN"/>
              </w:rPr>
              <w:t>康台村</w:t>
            </w:r>
            <w:bookmarkEnd w:id="414"/>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15" w:name="_Toc24274"/>
            <w:r>
              <w:rPr>
                <w:rFonts w:hint="eastAsia" w:ascii="Times New Roman" w:hAnsi="Times New Roman" w:eastAsia="宋体" w:cs="宋体"/>
                <w:b w:val="0"/>
                <w:bCs w:val="0"/>
                <w:kern w:val="2"/>
                <w:sz w:val="18"/>
                <w:szCs w:val="18"/>
                <w:vertAlign w:val="baseline"/>
                <w:lang w:val="en-US" w:eastAsia="zh-CN" w:bidi="zh-CN"/>
              </w:rPr>
              <w:t>东南</w:t>
            </w:r>
            <w:bookmarkEnd w:id="415"/>
          </w:p>
        </w:tc>
        <w:tc>
          <w:tcPr>
            <w:tcW w:w="1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18"/>
                <w:szCs w:val="18"/>
              </w:rPr>
            </w:pPr>
            <w:bookmarkStart w:id="416" w:name="_Toc29961"/>
            <w:r>
              <w:rPr>
                <w:rFonts w:hint="eastAsia" w:ascii="Times New Roman" w:hAnsi="Times New Roman" w:eastAsia="宋体" w:cs="宋体"/>
                <w:b w:val="0"/>
                <w:bCs w:val="0"/>
                <w:kern w:val="2"/>
                <w:sz w:val="18"/>
                <w:szCs w:val="18"/>
                <w:vertAlign w:val="baseline"/>
                <w:lang w:val="en-US" w:eastAsia="zh-CN" w:bidi="zh-CN"/>
              </w:rPr>
              <w:t>2562m</w:t>
            </w:r>
            <w:bookmarkEnd w:id="416"/>
          </w:p>
        </w:tc>
        <w:tc>
          <w:tcPr>
            <w:tcW w:w="1534" w:type="dxa"/>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r>
              <w:rPr>
                <w:rFonts w:hint="eastAsia" w:ascii="Times New Roman" w:hAnsi="Times New Roman" w:eastAsia="宋体" w:cs="Times New Roman"/>
                <w:sz w:val="18"/>
                <w:szCs w:val="18"/>
                <w:lang w:val="en-US" w:eastAsia="zh-CN"/>
              </w:rPr>
              <w:t>1</w:t>
            </w:r>
            <w:r>
              <w:rPr>
                <w:rFonts w:hint="default" w:ascii="Times New Roman" w:hAnsi="Times New Roman" w:cs="Times New Roman"/>
                <w:sz w:val="18"/>
                <w:szCs w:val="18"/>
              </w:rPr>
              <w:t>80</w:t>
            </w:r>
          </w:p>
        </w:tc>
        <w:tc>
          <w:tcPr>
            <w:tcW w:w="1538" w:type="dxa"/>
            <w:vMerge w:val="continue"/>
            <w:tcBorders>
              <w:tl2br w:val="nil"/>
              <w:tr2bl w:val="nil"/>
            </w:tcBorders>
            <w:vAlign w:val="center"/>
          </w:tcPr>
          <w:p>
            <w:pPr>
              <w:keepNext w:val="0"/>
              <w:keepLines w:val="0"/>
              <w:pageBreakBefore w:val="0"/>
              <w:wordWrap/>
              <w:overflowPunct/>
              <w:topLinePunct w:val="0"/>
              <w:bidi w:val="0"/>
              <w:adjustRightInd w:val="0"/>
              <w:snapToGrid w:val="0"/>
              <w:jc w:val="center"/>
              <w:outlineLvl w:val="9"/>
              <w:rPr>
                <w:rFonts w:hint="default" w:ascii="Times New Roman" w:hAnsi="Times New Roman" w:cs="Times New Roman"/>
                <w:sz w:val="18"/>
                <w:szCs w:val="18"/>
              </w:rPr>
            </w:pP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（四）环境风险识别</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1、风险物质调查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本项目所涉及的主要化学品包括消毒剂、制冷剂，其中消毒剂为次氯酸钠；制冷剂为R507，为混合制冷剂，主要成分为R125五氟乙烷和R143三氟乙烷。经查阅《建设项目环境风险评价技术导则》（HJ169-2018），</w:t>
      </w:r>
      <w:r>
        <w:rPr>
          <w:rFonts w:hint="eastAsia" w:ascii="Times New Roman" w:hAnsi="Times New Roman" w:eastAsia="宋体" w:cs="Times New Roman"/>
          <w:sz w:val="24"/>
          <w:szCs w:val="24"/>
          <w:u w:val="single"/>
          <w:lang w:eastAsia="zh-CN"/>
        </w:rPr>
        <w:t>除</w:t>
      </w:r>
      <w:r>
        <w:rPr>
          <w:rFonts w:hint="default" w:ascii="Times New Roman" w:hAnsi="Times New Roman" w:cs="Times New Roman"/>
          <w:sz w:val="24"/>
          <w:szCs w:val="24"/>
          <w:u w:val="single"/>
        </w:rPr>
        <w:t>次氯酸钠</w:t>
      </w:r>
      <w:r>
        <w:rPr>
          <w:rFonts w:hint="eastAsia" w:ascii="Times New Roman" w:hAnsi="Times New Roman" w:eastAsia="宋体" w:cs="Times New Roman"/>
          <w:sz w:val="24"/>
          <w:szCs w:val="24"/>
          <w:u w:val="single"/>
          <w:lang w:eastAsia="zh-CN"/>
        </w:rPr>
        <w:t>外，</w:t>
      </w:r>
      <w:r>
        <w:rPr>
          <w:rFonts w:hint="default" w:ascii="Times New Roman" w:hAnsi="Times New Roman" w:cs="Times New Roman"/>
          <w:sz w:val="24"/>
          <w:szCs w:val="24"/>
          <w:u w:val="single"/>
        </w:rPr>
        <w:t>项目使用原料均不属于附录B所列危险物质。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项目生产过程中会产生一些危险废物，包括检疫废物和废油脂。其中，检疫废物</w:t>
      </w:r>
      <w:r>
        <w:rPr>
          <w:rFonts w:hint="eastAsia" w:ascii="Times New Roman" w:hAnsi="Times New Roman" w:eastAsia="宋体" w:cs="Times New Roman"/>
          <w:sz w:val="24"/>
          <w:szCs w:val="24"/>
          <w:u w:val="single"/>
          <w:lang w:eastAsia="zh-CN"/>
        </w:rPr>
        <w:t>和废油脂</w:t>
      </w:r>
      <w:r>
        <w:rPr>
          <w:rFonts w:hint="default" w:ascii="Times New Roman" w:hAnsi="Times New Roman" w:cs="Times New Roman"/>
          <w:sz w:val="24"/>
          <w:szCs w:val="24"/>
          <w:u w:val="single"/>
        </w:rPr>
        <w:t>为固体，暂存于危废暂存间内，泄露的概率较小。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 、生产设施和生产过程潜在风险源调查</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以次氯酸钠为主要消毒药品，存于污水处理站小仓库内，使用范围包括日常车间、厂区及运输车辆杀毒消毒，以及污水处理站污水杀菌消毒等，其中车间及厂区消毒采取人工喷洒方式进行，污水处理站污水杀菌消毒通过加药装置加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本项目生产设施和生产过程潜在风险主要表现在以下几个方面：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（1）生产运行系统的潜在风险</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 日常车间及厂区杀毒消毒：工作人员在进行厂区及车间喷洒消毒过程，由于配比或操作失误，以及防护措施不到位等因素，造成人员健康及环境空气污染。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*污水处理站消毒：加药装置出现故障，造成次氯酸钠泄露至外坏境，对环境及人员健康造成危害。</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（2）运储系统的潜在风险</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次氯酸钠：本项目次氯酸钠存于罐中，罐若出现破损，次氯酸钠泄露至外环境，对环境及人员健康造成危害。</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（3）项目污水处理站发生事故时，会导致废水未经处理直接外排入污水管网， 或污水处理设施破裂、损坏等造成的泄露入地下水，而产生的地下水污染。在正常 情况下，采取合理有效的防范措施，发生污染的风险很小，因此，本项目涉及的生产设施风险识别不属于重大危险源。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（3）危废暂存间暂存的废油脂发生泄漏，遇明火将会导致火灾，以及火灾引发的次生污染物排放等。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3、风险物质扩散途径风险识别</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项目危险物质向环境转移的途径主要为环境空气、地表水环境、地下水环境和土壤环境等。具体如下：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（1）有毒有害物质进入环境空气的方式主要有 1 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火灾爆炸时未完全燃烧的有毒有害物质或伴生/次生污染物扩散至环境空气中。</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（2）有毒有害物质进入地表水环境的方式主要分 2 种情况：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①次氯酸钠发生泄漏，进入地表水、地下水和土壤环境。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②废油脂发生泄漏，引发火灾、爆炸时含有毒有害物质的消防废水由于收集处理不当直接排入地表水系。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（五）环境风险分析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1、大气环境影响分析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本项目是</w:t>
      </w:r>
      <w:r>
        <w:rPr>
          <w:rFonts w:hint="default" w:ascii="Times New Roman" w:hAnsi="Times New Roman" w:cs="Times New Roman"/>
          <w:sz w:val="24"/>
          <w:szCs w:val="24"/>
          <w:u w:val="single"/>
        </w:rPr>
        <w:t>畜产品精细加工物流园建设项目，项目待宰区、屠宰</w:t>
      </w:r>
      <w:r>
        <w:rPr>
          <w:rFonts w:hint="eastAsia" w:ascii="Times New Roman" w:hAnsi="Times New Roman" w:eastAsia="宋体" w:cs="Times New Roman"/>
          <w:sz w:val="24"/>
          <w:szCs w:val="24"/>
          <w:u w:val="single"/>
          <w:lang w:eastAsia="zh-CN"/>
        </w:rPr>
        <w:t>间</w:t>
      </w:r>
      <w:r>
        <w:rPr>
          <w:rFonts w:hint="default" w:ascii="Times New Roman" w:hAnsi="Times New Roman" w:cs="Times New Roman"/>
          <w:sz w:val="24"/>
          <w:szCs w:val="24"/>
          <w:u w:val="single"/>
        </w:rPr>
        <w:t>、污水处理站会产生恶臭气体，对周围村民生活有影响。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本项目废油脂泄漏遇明火会发生火灾爆炸事故。火灾产生的次生/伴生燃烧产物CO等有毒有害气体，会对对周边的大气环境造成影响，危害周边敏感目标的身体健康，对居民的正常生活作息造成困扰。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2、地表水环境影响</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w:t>
      </w:r>
      <w:r>
        <w:rPr>
          <w:rFonts w:hint="eastAsia" w:ascii="Times New Roman" w:hAnsi="Times New Roman" w:eastAsia="宋体" w:cs="Times New Roman"/>
          <w:sz w:val="24"/>
          <w:szCs w:val="24"/>
          <w:u w:val="single"/>
          <w:lang w:eastAsia="zh-CN"/>
        </w:rPr>
        <w:t>水环境</w:t>
      </w:r>
      <w:r>
        <w:rPr>
          <w:rFonts w:hint="default" w:ascii="Times New Roman" w:hAnsi="Times New Roman" w:cs="Times New Roman"/>
          <w:sz w:val="24"/>
          <w:szCs w:val="24"/>
          <w:u w:val="single"/>
        </w:rPr>
        <w:t>风险物质为次氯酸钠，次氯酸钠呈液态储存于罐中，储存量相对较少</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本项目装置布设区均采取硬化处理，如出现泄露可及时进行收集清理，地面冲洗废水可直接排入厂区污水处理站，不直接进入地表水体，对周围地表水环境影响较小。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（六）风险防范措施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1、化学品泄露风险防范措施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为降低本项目环境风险事故发生概率和减少环境风险事故造成的人员及环境污染，本项目采取以下措施：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（1）加强设备质量管理，杜绝泄漏现象</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建设单位在次氯酸钠发生器设备选取时，加强设备选型及质量保证，在满足正常使用的前提下，尽量选用质量上乘设备，并定期进行检查、维护，从根本上保证设备安全运行，防止设备故障导致的泄露。</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（2）合理设置设备场所，降低泄露及次生危害</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本项目次氯酸钠存储设施应置于阴凉、通风的库房，远离火种、热源，库温不宜超过30℃</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应与酸类分开存放，切忌混储，以减少次氯酸钠分解产物对人体及环境的损害。</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（3）危废暂存间严格按照《危险废物贮存污染控制标准》（GB18597-2023）和《建筑设计防火规范》（GB50016-2014）等标准规范执行。</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（4）应加强管理，安排人员对贮存区进行巡检，必须对所贮存的危险废物包装容器及贮存设施进行检查，发现破损，应及时采取措施进行更换。杜绝“跑、冒、滴、漏”现象。</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（5）做好危险废物情况的记录，记录上须注明危险废物的名称、来源、数量、特性和包装容器的类别、入库日期、存放、出库日期及接受单位名称等。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（6）规范操作，降低风险危害</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建设单位应制订一套切实可行的安全管理办法和各项操作规程。加强操作人员的安全教育和业务培训，使之娴熟掌握操作技术及处理故障和隐患的方法，杜绝误操作，违章行为的发生。</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2、污水处理设施事故风险防范措施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本项目产生的综合废水经自建污水处理站处理达标后达到《肉类加工工业水污染物排放标准》（GB13457-92）表3中的三级标准及</w:t>
      </w:r>
      <w:r>
        <w:rPr>
          <w:rFonts w:hint="default" w:ascii="Times New Roman" w:hAnsi="Times New Roman" w:cs="Times New Roman"/>
          <w:sz w:val="24"/>
          <w:szCs w:val="24"/>
          <w:u w:val="single"/>
          <w:lang w:eastAsia="zh-CN"/>
        </w:rPr>
        <w:t>叶县县城污水处理厂</w:t>
      </w:r>
      <w:r>
        <w:rPr>
          <w:rFonts w:hint="default" w:ascii="Times New Roman" w:hAnsi="Times New Roman" w:cs="Times New Roman"/>
          <w:sz w:val="24"/>
          <w:szCs w:val="24"/>
          <w:u w:val="single"/>
        </w:rPr>
        <w:t>进水标准后 经市政管网排入</w:t>
      </w:r>
      <w:r>
        <w:rPr>
          <w:rFonts w:hint="default" w:ascii="Times New Roman" w:hAnsi="Times New Roman" w:cs="Times New Roman"/>
          <w:sz w:val="24"/>
          <w:szCs w:val="24"/>
          <w:u w:val="single"/>
          <w:lang w:eastAsia="zh-CN"/>
        </w:rPr>
        <w:t>叶县县城污水处理厂</w:t>
      </w:r>
      <w:r>
        <w:rPr>
          <w:rFonts w:hint="default" w:ascii="Times New Roman" w:hAnsi="Times New Roman" w:cs="Times New Roman"/>
          <w:sz w:val="24"/>
          <w:szCs w:val="24"/>
          <w:u w:val="single"/>
        </w:rPr>
        <w:t>进一步处理。当出现故障时，综合废水处理不达标即进入污水处理厂，可能会造成污水厂排放浓度较高，对其纳污水体造成污染。项目运营期应加强设备设施的日常维护保养，避免或减少故障发生，确保设备设施处于正常的工作状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工程设置1套废水处理设施对厂区废水进行处理，为防止污水处理设施发生故障造成车间废水非正常排放，评价要求：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（1）加强污水处理设备的检查和养护，保障设备连续正常运转；</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（2）一旦污水处理设施发生故障，立即停止生产，避免大量新产生废水进入处 理设施；项目生产废水先在调节池暂存，待污水处理设施恢复正常后排入后续处理工序处理达标后外排。</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（3）污水管网建设采用地埋式污水管网并设置标识，减少人为破坏的情况，同 时设置一座观察井，要求企业定期巡查是否有漏水现象，一旦发现需立即更换，在更换期间禁止向管网排放污水。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（七）事故风险应急预案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113" w:firstLine="482"/>
        <w:jc w:val="both"/>
        <w:textAlignment w:val="baseline"/>
        <w:rPr>
          <w:rFonts w:ascii="宋体" w:hAnsi="宋体" w:eastAsia="宋体" w:cs="宋体"/>
          <w:sz w:val="24"/>
          <w:szCs w:val="24"/>
          <w:u w:val="single"/>
        </w:rPr>
      </w:pPr>
      <w:r>
        <w:rPr>
          <w:rFonts w:ascii="宋体" w:hAnsi="宋体" w:eastAsia="宋体" w:cs="宋体"/>
          <w:spacing w:val="2"/>
          <w:sz w:val="24"/>
          <w:szCs w:val="24"/>
          <w:u w:val="single"/>
        </w:rPr>
        <w:t>为有效防范突发环境事件的发生，及时、合理处置可能发生的各类重大、特大</w:t>
      </w:r>
      <w:r>
        <w:rPr>
          <w:rFonts w:ascii="宋体" w:hAnsi="宋体" w:eastAsia="宋体" w:cs="宋体"/>
          <w:spacing w:val="7"/>
          <w:sz w:val="24"/>
          <w:szCs w:val="24"/>
          <w:u w:val="single"/>
        </w:rPr>
        <w:t xml:space="preserve"> </w:t>
      </w:r>
      <w:r>
        <w:rPr>
          <w:rFonts w:ascii="宋体" w:hAnsi="宋体" w:eastAsia="宋体" w:cs="宋体"/>
          <w:spacing w:val="2"/>
          <w:sz w:val="24"/>
          <w:szCs w:val="24"/>
          <w:u w:val="single"/>
        </w:rPr>
        <w:t>环境污染事故，保障人民群众身心健康及正常生产、生活活动，依据《中华人民共</w:t>
      </w:r>
      <w:r>
        <w:rPr>
          <w:rFonts w:ascii="宋体" w:hAnsi="宋体" w:eastAsia="宋体" w:cs="宋体"/>
          <w:spacing w:val="6"/>
          <w:sz w:val="24"/>
          <w:szCs w:val="24"/>
          <w:u w:val="single"/>
        </w:rPr>
        <w:t xml:space="preserve"> </w:t>
      </w:r>
      <w:r>
        <w:rPr>
          <w:rFonts w:ascii="宋体" w:hAnsi="宋体" w:eastAsia="宋体" w:cs="宋体"/>
          <w:spacing w:val="2"/>
          <w:sz w:val="24"/>
          <w:szCs w:val="24"/>
          <w:u w:val="single"/>
        </w:rPr>
        <w:t>和国环境保护法》、《河南省突发环境事件应急预案》和《河南省环保局突发环境</w:t>
      </w:r>
      <w:r>
        <w:rPr>
          <w:rFonts w:ascii="宋体" w:hAnsi="宋体" w:eastAsia="宋体" w:cs="宋体"/>
          <w:spacing w:val="-1"/>
          <w:sz w:val="24"/>
          <w:szCs w:val="24"/>
          <w:u w:val="single"/>
        </w:rPr>
        <w:t>事件应急预案》的规定，制定本预案。</w:t>
      </w:r>
      <w:r>
        <w:rPr>
          <w:rFonts w:ascii="宋体" w:hAnsi="宋体" w:eastAsia="宋体" w:cs="宋体"/>
          <w:spacing w:val="-2"/>
          <w:sz w:val="24"/>
          <w:szCs w:val="24"/>
          <w:u w:val="single"/>
        </w:rPr>
        <w:t>应急预案内容具体见表</w:t>
      </w:r>
      <w:r>
        <w:rPr>
          <w:rFonts w:ascii="Times New Roman" w:hAnsi="Times New Roman" w:eastAsia="Times New Roman" w:cs="Times New Roman"/>
          <w:spacing w:val="-2"/>
          <w:sz w:val="24"/>
          <w:szCs w:val="24"/>
          <w:u w:val="single"/>
        </w:rPr>
        <w:t>5-</w:t>
      </w:r>
      <w:r>
        <w:rPr>
          <w:rFonts w:hint="eastAsia" w:ascii="Times New Roman" w:hAnsi="Times New Roman" w:eastAsia="宋体" w:cs="Times New Roman"/>
          <w:spacing w:val="-2"/>
          <w:sz w:val="24"/>
          <w:szCs w:val="24"/>
          <w:u w:val="single"/>
          <w:lang w:val="en-US" w:eastAsia="zh-CN"/>
        </w:rPr>
        <w:t>42</w:t>
      </w:r>
      <w:r>
        <w:rPr>
          <w:rFonts w:ascii="宋体" w:hAnsi="宋体" w:eastAsia="宋体" w:cs="宋体"/>
          <w:spacing w:val="-2"/>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608"/>
        <w:textAlignment w:val="baseline"/>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5-</w:t>
      </w:r>
      <w:r>
        <w:rPr>
          <w:rFonts w:hint="eastAsia" w:ascii="Times New Roman" w:hAnsi="Times New Roman" w:eastAsia="宋体" w:cs="Times New Roman"/>
          <w:b/>
          <w:bCs/>
          <w:spacing w:val="-1"/>
          <w:sz w:val="24"/>
          <w:szCs w:val="24"/>
          <w:lang w:val="en-US" w:eastAsia="zh-CN"/>
        </w:rPr>
        <w:t>42</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风险事故应急预案内容</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2482"/>
        <w:gridCol w:w="581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65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序号</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3"/>
              </w:rPr>
              <w:t>项目</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3"/>
              </w:rPr>
              <w:t>内容及要求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4"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应急计划区</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7"/>
              </w:rPr>
              <w:t>污水处理站</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015"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应急组织机构、人员</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6"/>
              </w:rPr>
              <w:t>以厂区为主体，各主要负责人为应急计划、协调第一人</w:t>
            </w:r>
            <w:r>
              <w:rPr>
                <w:spacing w:val="5"/>
              </w:rPr>
              <w:t>，应急</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9"/>
              </w:rPr>
              <w:t>人员必须为培训上岗熟练工；区域应急组织结构由当地政府、</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7"/>
              </w:rPr>
              <w:t>相关行业专家、卫生安全相关单位组成，并由当地政</w:t>
            </w:r>
            <w:r>
              <w:rPr>
                <w:spacing w:val="6"/>
              </w:rPr>
              <w:t>府进行统</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5"/>
              </w:rPr>
              <w:t>一调度</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预案分级相应条件</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7"/>
              </w:rPr>
              <w:t>根据事故的严重程度制定相应级别的应急预案，</w:t>
            </w:r>
            <w:r>
              <w:rPr>
                <w:spacing w:val="6"/>
              </w:rPr>
              <w:t>以及适合相应</w:t>
            </w:r>
            <w:r>
              <w:t xml:space="preserve"> </w:t>
            </w:r>
            <w:r>
              <w:rPr>
                <w:spacing w:val="8"/>
              </w:rPr>
              <w:t>情况的处理措施</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应急救援保障</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9"/>
              </w:rPr>
              <w:t>应急设施和器材准备全面</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9"/>
              </w:rPr>
              <w:t>报警、通讯联络方式</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9"/>
              </w:rPr>
              <w:t>逐一细化应急状态下各主要负责单位的报警通讯方式、地点、</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6"/>
              </w:rPr>
              <w:t>电话号码以及相关配套的交通保障、管制、消防、环保部</w:t>
            </w:r>
            <w:r>
              <w:rPr>
                <w:spacing w:val="5"/>
              </w:rPr>
              <w:t>门联</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9"/>
              </w:rPr>
              <w:t>络方法，及时通报事故处理情况，以获得区域性支援</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5"/>
              </w:rPr>
              <w:t>应急环境监测、抢险、</w:t>
            </w:r>
            <w:r>
              <w:rPr>
                <w:spacing w:val="3"/>
              </w:rPr>
              <w:t xml:space="preserve"> </w:t>
            </w:r>
            <w:r>
              <w:rPr>
                <w:spacing w:val="8"/>
              </w:rPr>
              <w:t>救援及控制措施</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6"/>
              </w:rPr>
              <w:t>由专业队伍负责对事故现场进行侦查监测、对事故</w:t>
            </w:r>
            <w:r>
              <w:rPr>
                <w:spacing w:val="5"/>
              </w:rPr>
              <w:t>性质、参数</w:t>
            </w:r>
            <w:r>
              <w:t xml:space="preserve"> </w:t>
            </w:r>
            <w:r>
              <w:rPr>
                <w:spacing w:val="9"/>
              </w:rPr>
              <w:t>与后果进行评估、为指挥部门提供决策依据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5"/>
              </w:rPr>
              <w:t>应急检测、防护措施、</w:t>
            </w:r>
            <w:r>
              <w:rPr>
                <w:spacing w:val="3"/>
              </w:rPr>
              <w:t xml:space="preserve"> </w:t>
            </w:r>
            <w:r>
              <w:rPr>
                <w:spacing w:val="8"/>
              </w:rPr>
              <w:t>清除泄露措施和器材</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配备各种防护器材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5"/>
              </w:rPr>
              <w:t>人员紧急撤离、疏散、</w:t>
            </w:r>
            <w:r>
              <w:rPr>
                <w:spacing w:val="2"/>
              </w:rPr>
              <w:t xml:space="preserve"> </w:t>
            </w:r>
            <w:r>
              <w:rPr>
                <w:spacing w:val="8"/>
              </w:rPr>
              <w:t>撤离组织计划</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对事故现场、邻近和受事故影响的区域人员组</w:t>
            </w:r>
            <w:r>
              <w:rPr>
                <w:spacing w:val="7"/>
              </w:rPr>
              <w:t>织撤离和疏散，</w:t>
            </w:r>
            <w:r>
              <w:t xml:space="preserve"> </w:t>
            </w:r>
            <w:r>
              <w:rPr>
                <w:spacing w:val="8"/>
              </w:rPr>
              <w:t>必要时进行医疗救护</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事故应急救援关闭程</w:t>
            </w:r>
            <w:r>
              <w:rPr>
                <w:spacing w:val="7"/>
              </w:rPr>
              <w:t xml:space="preserve"> </w:t>
            </w:r>
            <w:r>
              <w:rPr>
                <w:spacing w:val="8"/>
              </w:rPr>
              <w:t>序与恢复措施</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9"/>
              </w:rPr>
              <w:t>制定应急状态终止程序，对事故现场进行善后处理和恢复</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5"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应急培训计划</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安排人员培训与演练</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5"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7"/>
              </w:rPr>
              <w:t>公众教育和信息</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9"/>
              </w:rPr>
              <w:t>对工厂邻近地区开展公众教育、培训和发布有关信息</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12</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记录和报告</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7"/>
              </w:rPr>
              <w:t>设置应急事故专门记录，建档案和专门报告制</w:t>
            </w:r>
            <w:r>
              <w:rPr>
                <w:spacing w:val="6"/>
              </w:rPr>
              <w:t>度，设专门部门</w:t>
            </w:r>
            <w:r>
              <w:t xml:space="preserve"> </w:t>
            </w:r>
            <w:r>
              <w:rPr>
                <w:spacing w:val="6"/>
              </w:rPr>
              <w:t>和负责管理。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6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13</w:t>
            </w:r>
          </w:p>
        </w:tc>
        <w:tc>
          <w:tcPr>
            <w:tcW w:w="24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4"/>
              </w:rPr>
              <w:t>附件</w:t>
            </w:r>
          </w:p>
        </w:tc>
        <w:tc>
          <w:tcPr>
            <w:tcW w:w="58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pPr>
            <w:r>
              <w:rPr>
                <w:spacing w:val="8"/>
              </w:rPr>
              <w:t>与应急事故有关的多种附件材料的准备和形成。</w:t>
            </w:r>
          </w:p>
        </w:tc>
      </w:tr>
    </w:tbl>
    <w:p>
      <w:pPr>
        <w:spacing w:before="129" w:line="218" w:lineRule="auto"/>
        <w:ind w:left="6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（六）环境风险分析评价结论</w:t>
      </w:r>
    </w:p>
    <w:p>
      <w:pPr>
        <w:spacing w:before="215" w:line="218" w:lineRule="auto"/>
        <w:ind w:left="603"/>
        <w:rPr>
          <w:rFonts w:ascii="宋体" w:hAnsi="宋体" w:eastAsia="宋体" w:cs="宋体"/>
          <w:sz w:val="24"/>
          <w:szCs w:val="24"/>
        </w:rPr>
      </w:pPr>
      <w:r>
        <w:rPr>
          <w:rFonts w:ascii="宋体" w:hAnsi="宋体" w:eastAsia="宋体" w:cs="宋体"/>
          <w:spacing w:val="-2"/>
          <w:sz w:val="24"/>
          <w:szCs w:val="24"/>
        </w:rPr>
        <w:t>本项目环境风险评价结论见表</w:t>
      </w:r>
      <w:r>
        <w:rPr>
          <w:rFonts w:ascii="Times New Roman" w:hAnsi="Times New Roman" w:eastAsia="Times New Roman" w:cs="Times New Roman"/>
          <w:spacing w:val="-2"/>
          <w:sz w:val="24"/>
          <w:szCs w:val="24"/>
        </w:rPr>
        <w:t>5-</w:t>
      </w:r>
      <w:r>
        <w:rPr>
          <w:rFonts w:hint="eastAsia" w:ascii="Times New Roman" w:hAnsi="Times New Roman" w:eastAsia="宋体" w:cs="Times New Roman"/>
          <w:spacing w:val="-2"/>
          <w:sz w:val="24"/>
          <w:szCs w:val="24"/>
          <w:lang w:val="en-US" w:eastAsia="zh-CN"/>
        </w:rPr>
        <w:t>43</w:t>
      </w:r>
      <w:r>
        <w:rPr>
          <w:rFonts w:ascii="宋体" w:hAnsi="宋体" w:eastAsia="宋体" w:cs="宋体"/>
          <w:spacing w:val="-2"/>
          <w:sz w:val="24"/>
          <w:szCs w:val="24"/>
        </w:rPr>
        <w:t>。</w:t>
      </w:r>
    </w:p>
    <w:p>
      <w:pPr>
        <w:spacing w:before="215" w:line="219" w:lineRule="auto"/>
        <w:ind w:left="1828"/>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43</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建设项目环境风险</w:t>
      </w:r>
      <w:r>
        <w:rPr>
          <w:rFonts w:ascii="宋体" w:hAnsi="宋体" w:eastAsia="宋体" w:cs="宋体"/>
          <w:spacing w:val="-1"/>
          <w:sz w:val="24"/>
          <w:szCs w:val="24"/>
          <w14:textOutline w14:w="4358" w14:cap="sq" w14:cmpd="sng">
            <w14:solidFill>
              <w14:srgbClr w14:val="000000"/>
            </w14:solidFill>
            <w14:prstDash w14:val="solid"/>
            <w14:bevel/>
          </w14:textOutline>
        </w:rPr>
        <w:t>简单分析内容表</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752"/>
        <w:gridCol w:w="1627"/>
        <w:gridCol w:w="1904"/>
        <w:gridCol w:w="1507"/>
        <w:gridCol w:w="216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450" w:hRule="atLeast"/>
        </w:trPr>
        <w:tc>
          <w:tcPr>
            <w:tcW w:w="1752" w:type="dxa"/>
            <w:tcBorders>
              <w:tl2br w:val="nil"/>
              <w:tr2bl w:val="nil"/>
            </w:tcBorders>
            <w:vAlign w:val="top"/>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default" w:ascii="Times New Roman" w:hAnsi="Times New Roman" w:cs="Times New Roman"/>
              </w:rPr>
            </w:pPr>
            <w:r>
              <w:rPr>
                <w:rFonts w:hint="default" w:ascii="Times New Roman" w:hAnsi="Times New Roman" w:cs="Times New Roman"/>
                <w:spacing w:val="7"/>
              </w:rPr>
              <w:t>建设项目名称</w:t>
            </w:r>
          </w:p>
        </w:tc>
        <w:tc>
          <w:tcPr>
            <w:tcW w:w="7198" w:type="dxa"/>
            <w:gridSpan w:val="4"/>
            <w:tcBorders>
              <w:tl2br w:val="nil"/>
              <w:tr2bl w:val="nil"/>
            </w:tcBorders>
            <w:vAlign w:val="top"/>
          </w:tcPr>
          <w:p>
            <w:pPr>
              <w:pStyle w:val="25"/>
              <w:spacing w:before="119" w:line="227" w:lineRule="auto"/>
              <w:jc w:val="center"/>
              <w:rPr>
                <w:rFonts w:hint="default" w:ascii="Times New Roman" w:hAnsi="Times New Roman" w:eastAsia="宋体" w:cs="Times New Roman"/>
                <w:lang w:eastAsia="zh-CN"/>
              </w:rPr>
            </w:pPr>
            <w:r>
              <w:rPr>
                <w:rFonts w:hint="default" w:ascii="Times New Roman" w:hAnsi="Times New Roman" w:cs="Times New Roman"/>
                <w:spacing w:val="7"/>
                <w:lang w:eastAsia="zh-CN"/>
              </w:rPr>
              <w:t>叶县2022年马庄乡张庄村畜产品精细加工物流园建设项目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74" w:hRule="atLeast"/>
        </w:trPr>
        <w:tc>
          <w:tcPr>
            <w:tcW w:w="1752" w:type="dxa"/>
            <w:tcBorders>
              <w:tl2br w:val="nil"/>
              <w:tr2bl w:val="nil"/>
            </w:tcBorders>
            <w:vAlign w:val="top"/>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default" w:ascii="Times New Roman" w:hAnsi="Times New Roman" w:cs="Times New Roman"/>
              </w:rPr>
            </w:pPr>
            <w:r>
              <w:rPr>
                <w:rFonts w:hint="default" w:ascii="Times New Roman" w:hAnsi="Times New Roman" w:cs="Times New Roman"/>
                <w:spacing w:val="6"/>
              </w:rPr>
              <w:t>建设地点</w:t>
            </w:r>
          </w:p>
        </w:tc>
        <w:tc>
          <w:tcPr>
            <w:tcW w:w="7198" w:type="dxa"/>
            <w:gridSpan w:val="4"/>
            <w:tcBorders>
              <w:tl2br w:val="nil"/>
              <w:tr2bl w:val="nil"/>
            </w:tcBorders>
            <w:vAlign w:val="top"/>
          </w:tcPr>
          <w:p>
            <w:pPr>
              <w:pStyle w:val="25"/>
              <w:spacing w:before="130" w:line="227" w:lineRule="auto"/>
              <w:jc w:val="center"/>
              <w:rPr>
                <w:rFonts w:hint="default" w:ascii="Times New Roman" w:hAnsi="Times New Roman" w:cs="Times New Roman"/>
              </w:rPr>
            </w:pPr>
            <w:r>
              <w:rPr>
                <w:rFonts w:hint="default" w:ascii="Times New Roman" w:hAnsi="Times New Roman" w:cs="Times New Roman"/>
                <w:lang w:val="en-US" w:eastAsia="zh-CN"/>
              </w:rPr>
              <w:t>叶县马庄乡张庄村（河南省平顶山市迪可集团食品有限公司厂区院内）</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18" w:hRule="atLeast"/>
        </w:trPr>
        <w:tc>
          <w:tcPr>
            <w:tcW w:w="1752" w:type="dxa"/>
            <w:tcBorders>
              <w:tl2br w:val="nil"/>
              <w:tr2bl w:val="nil"/>
            </w:tcBorders>
            <w:vAlign w:val="top"/>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default" w:ascii="Times New Roman" w:hAnsi="Times New Roman" w:cs="Times New Roman"/>
              </w:rPr>
            </w:pPr>
            <w:r>
              <w:rPr>
                <w:rFonts w:hint="default" w:ascii="Times New Roman" w:hAnsi="Times New Roman" w:cs="Times New Roman"/>
                <w:spacing w:val="7"/>
              </w:rPr>
              <w:t>地理坐标</w:t>
            </w:r>
          </w:p>
        </w:tc>
        <w:tc>
          <w:tcPr>
            <w:tcW w:w="1627" w:type="dxa"/>
            <w:tcBorders>
              <w:tl2br w:val="nil"/>
              <w:tr2bl w:val="nil"/>
            </w:tcBorders>
            <w:vAlign w:val="top"/>
          </w:tcPr>
          <w:p>
            <w:pPr>
              <w:pStyle w:val="25"/>
              <w:spacing w:before="102" w:line="228" w:lineRule="auto"/>
              <w:ind w:left="494"/>
              <w:rPr>
                <w:rFonts w:hint="default" w:ascii="Times New Roman" w:hAnsi="Times New Roman" w:cs="Times New Roman"/>
              </w:rPr>
            </w:pPr>
            <w:r>
              <w:rPr>
                <w:rFonts w:hint="default" w:ascii="Times New Roman" w:hAnsi="Times New Roman" w:cs="Times New Roman"/>
                <w:spacing w:val="3"/>
              </w:rPr>
              <w:t>经度</w:t>
            </w:r>
          </w:p>
        </w:tc>
        <w:tc>
          <w:tcPr>
            <w:tcW w:w="1904" w:type="dxa"/>
            <w:tcBorders>
              <w:tl2br w:val="nil"/>
              <w:tr2bl w:val="nil"/>
            </w:tcBorders>
            <w:vAlign w:val="top"/>
          </w:tcPr>
          <w:p>
            <w:pPr>
              <w:spacing w:before="138" w:line="195"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pacing w:val="4"/>
                <w:sz w:val="20"/>
                <w:szCs w:val="20"/>
                <w:highlight w:val="none"/>
                <w:lang w:val="en-US" w:eastAsia="zh-CN"/>
              </w:rPr>
              <w:t>113度20分50.331秒</w:t>
            </w:r>
          </w:p>
        </w:tc>
        <w:tc>
          <w:tcPr>
            <w:tcW w:w="1507" w:type="dxa"/>
            <w:tcBorders>
              <w:tl2br w:val="nil"/>
              <w:tr2bl w:val="nil"/>
            </w:tcBorders>
            <w:vAlign w:val="top"/>
          </w:tcPr>
          <w:p>
            <w:pPr>
              <w:pStyle w:val="25"/>
              <w:spacing w:before="102" w:line="228" w:lineRule="auto"/>
              <w:ind w:left="551"/>
              <w:rPr>
                <w:rFonts w:hint="default" w:ascii="Times New Roman" w:hAnsi="Times New Roman" w:cs="Times New Roman"/>
              </w:rPr>
            </w:pPr>
            <w:r>
              <w:rPr>
                <w:rFonts w:hint="default" w:ascii="Times New Roman" w:hAnsi="Times New Roman" w:cs="Times New Roman"/>
                <w:spacing w:val="4"/>
              </w:rPr>
              <w:t>纬度</w:t>
            </w:r>
          </w:p>
        </w:tc>
        <w:tc>
          <w:tcPr>
            <w:tcW w:w="2160" w:type="dxa"/>
            <w:tcBorders>
              <w:tl2br w:val="nil"/>
              <w:tr2bl w:val="nil"/>
            </w:tcBorders>
            <w:vAlign w:val="top"/>
          </w:tcPr>
          <w:p>
            <w:pPr>
              <w:spacing w:before="138" w:line="195"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sz w:val="20"/>
                <w:szCs w:val="20"/>
                <w:highlight w:val="none"/>
                <w:lang w:val="en-US" w:eastAsia="zh-CN"/>
              </w:rPr>
              <w:t>33度35分41.342秒</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73" w:hRule="atLeast"/>
        </w:trPr>
        <w:tc>
          <w:tcPr>
            <w:tcW w:w="1752" w:type="dxa"/>
            <w:tcBorders>
              <w:tl2br w:val="nil"/>
              <w:tr2bl w:val="nil"/>
            </w:tcBorders>
            <w:vAlign w:val="top"/>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default" w:ascii="Times New Roman" w:hAnsi="Times New Roman" w:cs="Times New Roman"/>
              </w:rPr>
            </w:pPr>
            <w:r>
              <w:rPr>
                <w:rFonts w:hint="default" w:ascii="Times New Roman" w:hAnsi="Times New Roman" w:cs="Times New Roman"/>
                <w:spacing w:val="8"/>
              </w:rPr>
              <w:t>主要危险物质及分</w:t>
            </w:r>
            <w:r>
              <w:rPr>
                <w:rFonts w:hint="default" w:ascii="Times New Roman" w:hAnsi="Times New Roman" w:cs="Times New Roman"/>
              </w:rPr>
              <w:t>布</w:t>
            </w:r>
          </w:p>
        </w:tc>
        <w:tc>
          <w:tcPr>
            <w:tcW w:w="7198" w:type="dxa"/>
            <w:gridSpan w:val="4"/>
            <w:tcBorders>
              <w:tl2br w:val="nil"/>
              <w:tr2bl w:val="nil"/>
            </w:tcBorders>
            <w:vAlign w:val="top"/>
          </w:tcPr>
          <w:p>
            <w:pPr>
              <w:pStyle w:val="25"/>
              <w:spacing w:before="207" w:line="227" w:lineRule="auto"/>
              <w:ind w:left="2019"/>
              <w:rPr>
                <w:rFonts w:hint="default" w:ascii="Times New Roman" w:hAnsi="Times New Roman" w:cs="Times New Roman"/>
              </w:rPr>
            </w:pPr>
            <w:r>
              <w:rPr>
                <w:rFonts w:hint="default" w:ascii="Times New Roman" w:hAnsi="Times New Roman" w:cs="Times New Roman"/>
                <w:spacing w:val="9"/>
              </w:rPr>
              <w:t>本项目主要危险物质为次氯酸钠</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32" w:hRule="atLeast"/>
        </w:trPr>
        <w:tc>
          <w:tcPr>
            <w:tcW w:w="1752" w:type="dxa"/>
            <w:tcBorders>
              <w:tl2br w:val="nil"/>
              <w:tr2bl w:val="nil"/>
            </w:tcBorders>
            <w:vAlign w:val="top"/>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rPr>
            </w:pPr>
            <w:r>
              <w:rPr>
                <w:rFonts w:hint="default" w:ascii="Times New Roman" w:hAnsi="Times New Roman" w:cs="Times New Roman"/>
                <w:spacing w:val="8"/>
              </w:rPr>
              <w:t>环境影响途径及危害后果（大气、地</w:t>
            </w:r>
            <w:r>
              <w:rPr>
                <w:rFonts w:hint="default" w:ascii="Times New Roman" w:hAnsi="Times New Roman" w:cs="Times New Roman"/>
                <w:spacing w:val="5"/>
              </w:rPr>
              <w:t xml:space="preserve"> </w:t>
            </w:r>
            <w:r>
              <w:rPr>
                <w:rFonts w:hint="default" w:ascii="Times New Roman" w:hAnsi="Times New Roman" w:cs="Times New Roman"/>
                <w:spacing w:val="7"/>
              </w:rPr>
              <w:t>表水、地下水等）</w:t>
            </w:r>
          </w:p>
        </w:tc>
        <w:tc>
          <w:tcPr>
            <w:tcW w:w="7198" w:type="dxa"/>
            <w:gridSpan w:val="4"/>
            <w:tcBorders>
              <w:tl2br w:val="nil"/>
              <w:tr2bl w:val="nil"/>
            </w:tcBorders>
            <w:vAlign w:val="top"/>
          </w:tcPr>
          <w:p>
            <w:pPr>
              <w:pStyle w:val="25"/>
              <w:spacing w:before="51" w:line="228" w:lineRule="auto"/>
              <w:ind w:right="15"/>
              <w:jc w:val="right"/>
              <w:rPr>
                <w:rFonts w:hint="default" w:ascii="Times New Roman" w:hAnsi="Times New Roman" w:cs="Times New Roman"/>
              </w:rPr>
            </w:pPr>
            <w:r>
              <w:rPr>
                <w:rFonts w:hint="default" w:ascii="Times New Roman" w:hAnsi="Times New Roman" w:cs="Times New Roman"/>
                <w:spacing w:val="7"/>
              </w:rPr>
              <w:t>废水事故性排放可能造成</w:t>
            </w:r>
            <w:r>
              <w:rPr>
                <w:rFonts w:hint="default" w:ascii="Times New Roman" w:hAnsi="Times New Roman" w:cs="Times New Roman"/>
                <w:spacing w:val="7"/>
                <w:lang w:eastAsia="zh-CN"/>
              </w:rPr>
              <w:t>叶县县城污水处理厂</w:t>
            </w:r>
            <w:r>
              <w:rPr>
                <w:rFonts w:hint="default" w:ascii="Times New Roman" w:hAnsi="Times New Roman" w:cs="Times New Roman"/>
                <w:spacing w:val="7"/>
              </w:rPr>
              <w:t>进水水质超标，影响出水水质，</w:t>
            </w:r>
          </w:p>
          <w:p>
            <w:pPr>
              <w:pStyle w:val="25"/>
              <w:spacing w:before="65" w:line="227" w:lineRule="auto"/>
              <w:ind w:left="0" w:leftChars="0" w:firstLine="0" w:firstLineChars="0"/>
              <w:rPr>
                <w:rFonts w:hint="default" w:ascii="Times New Roman" w:hAnsi="Times New Roman" w:cs="Times New Roman"/>
              </w:rPr>
            </w:pPr>
            <w:r>
              <w:rPr>
                <w:rFonts w:hint="default" w:ascii="Times New Roman" w:hAnsi="Times New Roman" w:cs="Times New Roman"/>
                <w:spacing w:val="8"/>
              </w:rPr>
              <w:t>进而影响纳污水体</w:t>
            </w:r>
            <w:r>
              <w:rPr>
                <w:rFonts w:hint="default" w:ascii="Times New Roman" w:hAnsi="Times New Roman" w:cs="Times New Roman"/>
                <w:spacing w:val="8"/>
                <w:lang w:eastAsia="zh-CN"/>
              </w:rPr>
              <w:t>灰河</w:t>
            </w:r>
            <w:r>
              <w:rPr>
                <w:rFonts w:hint="default" w:ascii="Times New Roman" w:hAnsi="Times New Roman" w:cs="Times New Roman"/>
                <w:spacing w:val="8"/>
              </w:rPr>
              <w:t>及</w:t>
            </w:r>
            <w:r>
              <w:rPr>
                <w:rFonts w:hint="default" w:ascii="Times New Roman" w:hAnsi="Times New Roman" w:cs="Times New Roman"/>
                <w:spacing w:val="8"/>
                <w:lang w:eastAsia="zh-CN"/>
              </w:rPr>
              <w:t>沙河</w:t>
            </w:r>
            <w:r>
              <w:rPr>
                <w:rFonts w:hint="default" w:ascii="Times New Roman" w:hAnsi="Times New Roman" w:cs="Times New Roman"/>
                <w:spacing w:val="8"/>
              </w:rPr>
              <w:t>。</w:t>
            </w:r>
            <w:r>
              <w:rPr>
                <w:rFonts w:hint="default" w:ascii="Times New Roman" w:hAnsi="Times New Roman" w:cs="Times New Roman"/>
                <w:spacing w:val="10"/>
              </w:rPr>
              <w:t>若污水处理站、污水管泄漏可能进入土壤及</w:t>
            </w:r>
            <w:r>
              <w:rPr>
                <w:rFonts w:hint="default" w:ascii="Times New Roman" w:hAnsi="Times New Roman" w:cs="Times New Roman"/>
                <w:spacing w:val="9"/>
              </w:rPr>
              <w:t>地下水，进而对土壤及地下水</w:t>
            </w:r>
            <w:r>
              <w:rPr>
                <w:rFonts w:hint="default" w:ascii="Times New Roman" w:hAnsi="Times New Roman" w:cs="Times New Roman"/>
                <w:spacing w:val="8"/>
              </w:rPr>
              <w:t>造成一定程度的污染。</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2054" w:hRule="atLeast"/>
        </w:trPr>
        <w:tc>
          <w:tcPr>
            <w:tcW w:w="17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8"/>
              </w:rPr>
              <w:t>风险防范措施要求</w:t>
            </w:r>
          </w:p>
        </w:tc>
        <w:tc>
          <w:tcPr>
            <w:tcW w:w="7198" w:type="dxa"/>
            <w:gridSpan w:val="4"/>
            <w:tcBorders>
              <w:tl2br w:val="nil"/>
              <w:tr2bl w:val="nil"/>
            </w:tcBorders>
            <w:vAlign w:val="top"/>
          </w:tcPr>
          <w:p>
            <w:pPr>
              <w:pStyle w:val="25"/>
              <w:spacing w:before="52" w:line="227" w:lineRule="auto"/>
              <w:jc w:val="both"/>
              <w:rPr>
                <w:rFonts w:hint="default" w:ascii="Times New Roman" w:hAnsi="Times New Roman" w:cs="Times New Roman"/>
              </w:rPr>
            </w:pPr>
            <w:r>
              <w:rPr>
                <w:rFonts w:hint="default" w:ascii="Times New Roman" w:hAnsi="Times New Roman" w:cs="Times New Roman"/>
                <w:spacing w:val="7"/>
              </w:rPr>
              <w:t>本项目采取以下措施：</w:t>
            </w:r>
          </w:p>
          <w:p>
            <w:pPr>
              <w:pStyle w:val="25"/>
              <w:keepNext w:val="0"/>
              <w:keepLines w:val="0"/>
              <w:pageBreakBefore w:val="0"/>
              <w:widowControl/>
              <w:kinsoku/>
              <w:wordWrap/>
              <w:overflowPunct/>
              <w:topLinePunct w:val="0"/>
              <w:autoSpaceDE w:val="0"/>
              <w:autoSpaceDN w:val="0"/>
              <w:bidi w:val="0"/>
              <w:adjustRightInd w:val="0"/>
              <w:snapToGrid w:val="0"/>
              <w:spacing w:before="65" w:line="260" w:lineRule="auto"/>
              <w:ind w:left="130" w:right="125" w:firstLine="0"/>
              <w:jc w:val="both"/>
              <w:textAlignment w:val="baseline"/>
              <w:rPr>
                <w:rFonts w:hint="default" w:ascii="Times New Roman" w:hAnsi="Times New Roman" w:cs="Times New Roman"/>
              </w:rPr>
            </w:pPr>
            <w:r>
              <w:rPr>
                <w:rFonts w:hint="default" w:ascii="Times New Roman" w:hAnsi="Times New Roman" w:cs="Times New Roman"/>
                <w:spacing w:val="9"/>
              </w:rPr>
              <w:t>次氯酸钠：加强设备质量管理，杜绝泄漏现象；合理设置设备场所，降低泄露及次生危害；规范操作，降低风险危害；建设单位应制订一套切实可</w:t>
            </w:r>
            <w:r>
              <w:rPr>
                <w:rFonts w:hint="default" w:ascii="Times New Roman" w:hAnsi="Times New Roman" w:cs="Times New Roman"/>
                <w:spacing w:val="7"/>
              </w:rPr>
              <w:t>行的安全管理办法和各项操作规程。加强操作人员的安全教育和业务培训，</w:t>
            </w:r>
            <w:r>
              <w:rPr>
                <w:rFonts w:hint="default" w:ascii="Times New Roman" w:hAnsi="Times New Roman" w:cs="Times New Roman"/>
                <w:spacing w:val="10"/>
              </w:rPr>
              <w:t>使之娴熟掌握操作技术及处理故障和隐患的</w:t>
            </w:r>
            <w:r>
              <w:rPr>
                <w:rFonts w:hint="default" w:ascii="Times New Roman" w:hAnsi="Times New Roman" w:cs="Times New Roman"/>
                <w:spacing w:val="9"/>
              </w:rPr>
              <w:t>方法，杜绝误操作，违章行为</w:t>
            </w:r>
            <w:r>
              <w:rPr>
                <w:rFonts w:hint="default" w:ascii="Times New Roman" w:hAnsi="Times New Roman" w:cs="Times New Roman"/>
              </w:rPr>
              <w:t>的发生。</w:t>
            </w:r>
            <w:r>
              <w:rPr>
                <w:rFonts w:hint="default" w:ascii="Times New Roman" w:hAnsi="Times New Roman" w:cs="Times New Roman"/>
                <w:spacing w:val="8"/>
              </w:rPr>
              <w:t>采取上述风险防范措施，可在极大程度上降低次氯酸钠的泄漏，以及避免其分解产物对人员及环境的危害。</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9" w:hRule="atLeast"/>
        </w:trPr>
        <w:tc>
          <w:tcPr>
            <w:tcW w:w="8950" w:type="dxa"/>
            <w:gridSpan w:val="5"/>
            <w:tcBorders>
              <w:tl2br w:val="nil"/>
              <w:tr2bl w:val="nil"/>
            </w:tcBorders>
            <w:vAlign w:val="top"/>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default" w:ascii="Times New Roman" w:hAnsi="Times New Roman" w:cs="Times New Roman"/>
              </w:rPr>
            </w:pPr>
            <w:r>
              <w:rPr>
                <w:rFonts w:hint="default" w:ascii="Times New Roman" w:hAnsi="Times New Roman" w:cs="Times New Roman"/>
                <w:spacing w:val="9"/>
              </w:rPr>
              <w:t>填表说明（列出项目相关信息及评价说明</w:t>
            </w:r>
            <w:r>
              <w:rPr>
                <w:rFonts w:hint="default" w:ascii="Times New Roman" w:hAnsi="Times New Roman" w:cs="Times New Roman"/>
                <w:spacing w:val="2"/>
              </w:rPr>
              <w:t>）：</w:t>
            </w:r>
          </w:p>
        </w:tc>
      </w:tr>
    </w:tbl>
    <w:p>
      <w:pPr>
        <w:pStyle w:val="4"/>
        <w:bidi w:val="0"/>
        <w:rPr>
          <w:rFonts w:ascii="黑体" w:hAnsi="黑体" w:eastAsia="黑体" w:cs="黑体"/>
          <w:sz w:val="32"/>
          <w:szCs w:val="32"/>
        </w:rPr>
      </w:pPr>
      <w:bookmarkStart w:id="417" w:name="bookmark99"/>
      <w:bookmarkEnd w:id="417"/>
      <w:bookmarkStart w:id="418" w:name="bookmark100"/>
      <w:bookmarkEnd w:id="418"/>
      <w:bookmarkStart w:id="419" w:name="_Toc8697"/>
      <w:bookmarkStart w:id="420" w:name="_Toc20178"/>
      <w:r>
        <w:rPr>
          <w:rFonts w:ascii="Times New Roman" w:hAnsi="Times New Roman" w:eastAsia="Times New Roman" w:cs="Times New Roman"/>
          <w:spacing w:val="-2"/>
          <w:sz w:val="32"/>
          <w:szCs w:val="32"/>
        </w:rPr>
        <w:t>5.3</w:t>
      </w:r>
      <w:r>
        <w:rPr>
          <w:rFonts w:ascii="黑体" w:hAnsi="黑体" w:eastAsia="黑体" w:cs="黑体"/>
          <w:spacing w:val="-2"/>
          <w:sz w:val="32"/>
          <w:szCs w:val="32"/>
        </w:rPr>
        <w:t>总量控制分析</w:t>
      </w:r>
      <w:bookmarkEnd w:id="419"/>
      <w:bookmarkEnd w:id="420"/>
    </w:p>
    <w:p>
      <w:pPr>
        <w:spacing w:before="91" w:line="227" w:lineRule="auto"/>
        <w:outlineLvl w:val="3"/>
        <w:rPr>
          <w:rFonts w:ascii="楷体" w:hAnsi="楷体" w:eastAsia="楷体" w:cs="楷体"/>
          <w:b/>
          <w:bCs/>
          <w:sz w:val="28"/>
          <w:szCs w:val="28"/>
        </w:rPr>
      </w:pPr>
      <w:r>
        <w:rPr>
          <w:rFonts w:ascii="Times New Roman" w:hAnsi="Times New Roman" w:eastAsia="Times New Roman" w:cs="Times New Roman"/>
          <w:b/>
          <w:bCs/>
          <w:spacing w:val="-7"/>
          <w:sz w:val="28"/>
          <w:szCs w:val="28"/>
        </w:rPr>
        <w:t>5.3.1</w:t>
      </w:r>
      <w:r>
        <w:rPr>
          <w:rFonts w:ascii="楷体" w:hAnsi="楷体" w:eastAsia="楷体" w:cs="楷体"/>
          <w:b/>
          <w:bCs/>
          <w:spacing w:val="-7"/>
          <w:sz w:val="28"/>
          <w:szCs w:val="28"/>
        </w:rPr>
        <w:t>总量控制因子</w:t>
      </w:r>
    </w:p>
    <w:p>
      <w:pPr>
        <w:spacing w:before="223" w:line="384" w:lineRule="auto"/>
        <w:ind w:left="116" w:right="113" w:firstLine="486"/>
        <w:jc w:val="both"/>
        <w:rPr>
          <w:rFonts w:ascii="宋体" w:hAnsi="宋体" w:eastAsia="宋体" w:cs="宋体"/>
          <w:sz w:val="24"/>
          <w:szCs w:val="24"/>
        </w:rPr>
      </w:pPr>
      <w:r>
        <w:rPr>
          <w:rFonts w:ascii="宋体" w:hAnsi="宋体" w:eastAsia="宋体" w:cs="宋体"/>
          <w:spacing w:val="2"/>
          <w:sz w:val="24"/>
          <w:szCs w:val="24"/>
        </w:rPr>
        <w:t>根据《河南省建设项目重点污染物总量指标核定及管理规定的通知》（豫环文</w:t>
      </w:r>
      <w:r>
        <w:rPr>
          <w:rFonts w:ascii="宋体" w:hAnsi="宋体" w:eastAsia="宋体" w:cs="宋体"/>
          <w:spacing w:val="-3"/>
          <w:sz w:val="24"/>
          <w:szCs w:val="24"/>
        </w:rPr>
        <w:t>【</w:t>
      </w:r>
      <w:r>
        <w:rPr>
          <w:rFonts w:ascii="Times New Roman" w:hAnsi="Times New Roman" w:eastAsia="Times New Roman" w:cs="Times New Roman"/>
          <w:spacing w:val="-3"/>
          <w:sz w:val="24"/>
          <w:szCs w:val="24"/>
        </w:rPr>
        <w:t>2015</w:t>
      </w:r>
      <w:r>
        <w:rPr>
          <w:rFonts w:ascii="宋体" w:hAnsi="宋体" w:eastAsia="宋体" w:cs="宋体"/>
          <w:spacing w:val="-3"/>
          <w:sz w:val="24"/>
          <w:szCs w:val="24"/>
        </w:rPr>
        <w:t>】</w:t>
      </w:r>
      <w:r>
        <w:rPr>
          <w:rFonts w:ascii="Times New Roman" w:hAnsi="Times New Roman" w:eastAsia="Times New Roman" w:cs="Times New Roman"/>
          <w:spacing w:val="-3"/>
          <w:sz w:val="24"/>
          <w:szCs w:val="24"/>
        </w:rPr>
        <w:t>292</w:t>
      </w:r>
      <w:r>
        <w:rPr>
          <w:rFonts w:ascii="宋体" w:hAnsi="宋体" w:eastAsia="宋体" w:cs="宋体"/>
          <w:spacing w:val="-3"/>
          <w:sz w:val="24"/>
          <w:szCs w:val="24"/>
        </w:rPr>
        <w:t>号）、《河南省环境保护厅关于调整建设项目重点污染物总量指标分级</w:t>
      </w:r>
      <w:r>
        <w:rPr>
          <w:rFonts w:ascii="宋体" w:hAnsi="宋体" w:eastAsia="宋体" w:cs="宋体"/>
          <w:sz w:val="24"/>
          <w:szCs w:val="24"/>
        </w:rPr>
        <w:t>审核的通知》（豫环文【</w:t>
      </w:r>
      <w:r>
        <w:rPr>
          <w:rFonts w:ascii="Times New Roman" w:hAnsi="Times New Roman" w:eastAsia="Times New Roman" w:cs="Times New Roman"/>
          <w:sz w:val="24"/>
          <w:szCs w:val="24"/>
        </w:rPr>
        <w:t>2016</w:t>
      </w:r>
      <w:r>
        <w:rPr>
          <w:rFonts w:ascii="宋体" w:hAnsi="宋体" w:eastAsia="宋体" w:cs="宋体"/>
          <w:sz w:val="24"/>
          <w:szCs w:val="24"/>
        </w:rPr>
        <w:t>】</w:t>
      </w:r>
      <w:r>
        <w:rPr>
          <w:rFonts w:ascii="Times New Roman" w:hAnsi="Times New Roman" w:eastAsia="Times New Roman" w:cs="Times New Roman"/>
          <w:sz w:val="24"/>
          <w:szCs w:val="24"/>
        </w:rPr>
        <w:t>38</w:t>
      </w:r>
      <w:r>
        <w:rPr>
          <w:rFonts w:ascii="宋体" w:hAnsi="宋体" w:eastAsia="宋体" w:cs="宋体"/>
          <w:sz w:val="24"/>
          <w:szCs w:val="24"/>
        </w:rPr>
        <w:t xml:space="preserve">号）及全国主要污染物排放总量控制项目有关要 </w:t>
      </w:r>
      <w:r>
        <w:rPr>
          <w:rFonts w:ascii="宋体" w:hAnsi="宋体" w:eastAsia="宋体" w:cs="宋体"/>
          <w:spacing w:val="2"/>
          <w:sz w:val="24"/>
          <w:szCs w:val="24"/>
        </w:rPr>
        <w:t>求，结合本项目工艺特征和排污特点及所在区域环境质量现状，确定本项目污染物</w:t>
      </w:r>
      <w:r>
        <w:rPr>
          <w:rFonts w:ascii="宋体" w:hAnsi="宋体" w:eastAsia="宋体" w:cs="宋体"/>
          <w:spacing w:val="-2"/>
          <w:sz w:val="24"/>
          <w:szCs w:val="24"/>
        </w:rPr>
        <w:t>总量控制指标为：水污染物：</w:t>
      </w:r>
      <w:r>
        <w:rPr>
          <w:rFonts w:ascii="Times New Roman" w:hAnsi="Times New Roman" w:eastAsia="Times New Roman" w:cs="Times New Roman"/>
          <w:spacing w:val="-2"/>
          <w:sz w:val="24"/>
          <w:szCs w:val="24"/>
        </w:rPr>
        <w:t>COD</w:t>
      </w:r>
      <w:r>
        <w:rPr>
          <w:rFonts w:ascii="宋体" w:hAnsi="宋体" w:eastAsia="宋体" w:cs="宋体"/>
          <w:spacing w:val="-2"/>
          <w:sz w:val="24"/>
          <w:szCs w:val="24"/>
        </w:rPr>
        <w:t>、氨氮。</w:t>
      </w:r>
    </w:p>
    <w:p>
      <w:pPr>
        <w:spacing w:before="91" w:line="226" w:lineRule="auto"/>
        <w:outlineLvl w:val="3"/>
        <w:rPr>
          <w:rFonts w:ascii="楷体" w:hAnsi="楷体" w:eastAsia="楷体" w:cs="楷体"/>
          <w:b/>
          <w:bCs/>
          <w:sz w:val="28"/>
          <w:szCs w:val="28"/>
        </w:rPr>
      </w:pPr>
      <w:bookmarkStart w:id="421" w:name="bookmark101"/>
      <w:bookmarkEnd w:id="421"/>
      <w:r>
        <w:rPr>
          <w:rFonts w:ascii="Times New Roman" w:hAnsi="Times New Roman" w:eastAsia="Times New Roman" w:cs="Times New Roman"/>
          <w:b/>
          <w:bCs/>
          <w:spacing w:val="-1"/>
          <w:sz w:val="28"/>
          <w:szCs w:val="28"/>
        </w:rPr>
        <w:t>5.3.2</w:t>
      </w:r>
      <w:r>
        <w:rPr>
          <w:rFonts w:ascii="楷体" w:hAnsi="楷体" w:eastAsia="楷体" w:cs="楷体"/>
          <w:b/>
          <w:bCs/>
          <w:spacing w:val="-1"/>
          <w:sz w:val="28"/>
          <w:szCs w:val="28"/>
        </w:rPr>
        <w:t>污染物总量控制建议</w:t>
      </w:r>
    </w:p>
    <w:p>
      <w:pPr>
        <w:spacing w:before="288" w:line="384" w:lineRule="auto"/>
        <w:ind w:left="126" w:right="113" w:firstLine="480"/>
        <w:rPr>
          <w:rFonts w:ascii="宋体" w:hAnsi="宋体" w:eastAsia="宋体" w:cs="宋体"/>
          <w:sz w:val="24"/>
          <w:szCs w:val="24"/>
        </w:rPr>
      </w:pPr>
      <w:r>
        <w:rPr>
          <w:rFonts w:ascii="宋体" w:hAnsi="宋体" w:eastAsia="宋体" w:cs="宋体"/>
          <w:spacing w:val="2"/>
          <w:sz w:val="24"/>
          <w:szCs w:val="24"/>
        </w:rPr>
        <w:t>项目厂区产生的废水经拟建污水处理站处理达标后，排入</w:t>
      </w:r>
      <w:r>
        <w:rPr>
          <w:rFonts w:hint="eastAsia" w:ascii="宋体" w:hAnsi="宋体" w:eastAsia="宋体" w:cs="宋体"/>
          <w:spacing w:val="2"/>
          <w:sz w:val="24"/>
          <w:szCs w:val="24"/>
          <w:lang w:eastAsia="zh-CN"/>
        </w:rPr>
        <w:t>叶县县城污水处理厂</w:t>
      </w:r>
      <w:r>
        <w:rPr>
          <w:rFonts w:ascii="宋体" w:hAnsi="宋体" w:eastAsia="宋体" w:cs="宋体"/>
          <w:spacing w:val="2"/>
          <w:sz w:val="24"/>
          <w:szCs w:val="24"/>
        </w:rPr>
        <w:t>进</w:t>
      </w:r>
      <w:r>
        <w:rPr>
          <w:rFonts w:ascii="宋体" w:hAnsi="宋体" w:eastAsia="宋体" w:cs="宋体"/>
          <w:sz w:val="24"/>
          <w:szCs w:val="24"/>
        </w:rPr>
        <w:t>一步处理，出水水质达到《城镇污水处理厂污染物排放标准》一级</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A</w:t>
      </w:r>
      <w:r>
        <w:rPr>
          <w:rFonts w:ascii="宋体" w:hAnsi="宋体" w:eastAsia="宋体" w:cs="宋体"/>
          <w:spacing w:val="-1"/>
          <w:sz w:val="24"/>
          <w:szCs w:val="24"/>
        </w:rPr>
        <w:t>标准（</w:t>
      </w:r>
      <w:r>
        <w:rPr>
          <w:rFonts w:ascii="Times New Roman" w:hAnsi="Times New Roman" w:eastAsia="Times New Roman" w:cs="Times New Roman"/>
          <w:spacing w:val="-1"/>
          <w:sz w:val="24"/>
          <w:szCs w:val="24"/>
        </w:rPr>
        <w:t>COD</w:t>
      </w:r>
      <w:r>
        <w:rPr>
          <w:rFonts w:ascii="宋体" w:hAnsi="宋体" w:eastAsia="宋体" w:cs="宋体"/>
          <w:spacing w:val="-1"/>
          <w:sz w:val="24"/>
          <w:szCs w:val="24"/>
        </w:rPr>
        <w:t>：</w:t>
      </w:r>
      <w:r>
        <w:rPr>
          <w:rFonts w:ascii="Times New Roman" w:hAnsi="Times New Roman" w:eastAsia="Times New Roman" w:cs="Times New Roman"/>
          <w:spacing w:val="-2"/>
          <w:sz w:val="24"/>
          <w:szCs w:val="24"/>
        </w:rPr>
        <w:t>50mg/L</w:t>
      </w:r>
      <w:r>
        <w:rPr>
          <w:rFonts w:ascii="宋体" w:hAnsi="宋体" w:eastAsia="宋体" w:cs="宋体"/>
          <w:spacing w:val="-2"/>
          <w:sz w:val="24"/>
          <w:szCs w:val="24"/>
        </w:rPr>
        <w:t>、氨氮：</w:t>
      </w:r>
      <w:r>
        <w:rPr>
          <w:rFonts w:ascii="Times New Roman" w:hAnsi="Times New Roman" w:eastAsia="Times New Roman" w:cs="Times New Roman"/>
          <w:spacing w:val="-2"/>
          <w:sz w:val="24"/>
          <w:szCs w:val="24"/>
        </w:rPr>
        <w:t>5mg/L</w:t>
      </w:r>
      <w:r>
        <w:rPr>
          <w:rFonts w:ascii="宋体" w:hAnsi="宋体" w:eastAsia="宋体" w:cs="宋体"/>
          <w:spacing w:val="-2"/>
          <w:sz w:val="24"/>
          <w:szCs w:val="24"/>
        </w:rPr>
        <w:t>）要求后，</w:t>
      </w:r>
      <w:r>
        <w:rPr>
          <w:rFonts w:hint="eastAsia" w:ascii="宋体" w:hAnsi="宋体" w:eastAsia="宋体" w:cs="宋体"/>
          <w:spacing w:val="-2"/>
          <w:sz w:val="24"/>
          <w:szCs w:val="24"/>
          <w:lang w:eastAsia="zh-CN"/>
        </w:rPr>
        <w:t>排入灰河</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24"/>
        </w:rPr>
      </w:pPr>
      <w:r>
        <w:rPr>
          <w:sz w:val="24"/>
          <w:szCs w:val="24"/>
        </w:rPr>
        <w:t>根据拟建项目的工程分析和采用的污染防治措施，项目水污染物的排放总量见表5-</w:t>
      </w:r>
      <w:r>
        <w:rPr>
          <w:rFonts w:hint="eastAsia" w:eastAsia="宋体"/>
          <w:sz w:val="24"/>
          <w:szCs w:val="24"/>
          <w:lang w:val="en-US" w:eastAsia="zh-CN"/>
        </w:rPr>
        <w:t>44</w:t>
      </w:r>
      <w:r>
        <w:rPr>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695"/>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5-</w:t>
      </w:r>
      <w:r>
        <w:rPr>
          <w:rFonts w:hint="eastAsia" w:ascii="Times New Roman" w:hAnsi="Times New Roman" w:eastAsia="宋体" w:cs="Times New Roman"/>
          <w:b/>
          <w:bCs/>
          <w:sz w:val="24"/>
          <w:szCs w:val="24"/>
          <w:lang w:val="en-US" w:eastAsia="zh-CN"/>
        </w:rPr>
        <w:t>44</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本项目污染物排放总量</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单位</w:t>
      </w: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t/a</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53"/>
        <w:gridCol w:w="1441"/>
        <w:gridCol w:w="1483"/>
        <w:gridCol w:w="1580"/>
        <w:gridCol w:w="2039"/>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85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种类</w:t>
            </w:r>
          </w:p>
        </w:tc>
        <w:tc>
          <w:tcPr>
            <w:tcW w:w="1553"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14:textOutline w14:w="3795" w14:cap="sq" w14:cmpd="sng">
                  <w14:solidFill>
                    <w14:srgbClr w14:val="000000"/>
                  </w14:solidFill>
                  <w14:prstDash w14:val="solid"/>
                  <w14:bevel/>
                </w14:textOutline>
              </w:rPr>
              <w:t>污染物名称</w:t>
            </w:r>
          </w:p>
        </w:tc>
        <w:tc>
          <w:tcPr>
            <w:tcW w:w="4504"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本项目</w:t>
            </w:r>
          </w:p>
        </w:tc>
        <w:tc>
          <w:tcPr>
            <w:tcW w:w="203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14:textOutline w14:w="3795" w14:cap="sq" w14:cmpd="sng">
                  <w14:solidFill>
                    <w14:srgbClr w14:val="000000"/>
                  </w14:solidFill>
                  <w14:prstDash w14:val="solid"/>
                  <w14:bevel/>
                </w14:textOutline>
              </w:rPr>
              <w:t>经污水处理厂处理</w:t>
            </w:r>
            <w:r>
              <w:rPr>
                <w:spacing w:val="8"/>
                <w14:textOutline w14:w="3795" w14:cap="sq" w14:cmpd="sng">
                  <w14:solidFill>
                    <w14:srgbClr w14:val="000000"/>
                  </w14:solidFill>
                  <w14:prstDash w14:val="solid"/>
                  <w14:bevel/>
                </w14:textOutline>
              </w:rPr>
              <w:t>后排放量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8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5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44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产生量</w:t>
            </w:r>
          </w:p>
        </w:tc>
        <w:tc>
          <w:tcPr>
            <w:tcW w:w="148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14:textOutline w14:w="3795" w14:cap="sq" w14:cmpd="sng">
                  <w14:solidFill>
                    <w14:srgbClr w14:val="000000"/>
                  </w14:solidFill>
                  <w14:prstDash w14:val="solid"/>
                  <w14:bevel/>
                </w14:textOutline>
              </w:rPr>
              <w:t>削减量</w:t>
            </w:r>
          </w:p>
        </w:tc>
        <w:tc>
          <w:tcPr>
            <w:tcW w:w="158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排放量</w:t>
            </w:r>
          </w:p>
        </w:tc>
        <w:tc>
          <w:tcPr>
            <w:tcW w:w="203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2" w:hRule="atLeast"/>
        </w:trPr>
        <w:tc>
          <w:tcPr>
            <w:tcW w:w="854"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5"/>
              </w:rPr>
              <w:t>废水</w:t>
            </w:r>
          </w:p>
        </w:tc>
        <w:tc>
          <w:tcPr>
            <w:tcW w:w="155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废水量</w:t>
            </w:r>
          </w:p>
        </w:tc>
        <w:tc>
          <w:tcPr>
            <w:tcW w:w="14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3"/>
                <w:sz w:val="20"/>
                <w:szCs w:val="20"/>
                <w:highlight w:val="none"/>
                <w:lang w:val="en-US" w:eastAsia="zh-CN"/>
              </w:rPr>
              <w:t>81772.8</w:t>
            </w:r>
          </w:p>
        </w:tc>
        <w:tc>
          <w:tcPr>
            <w:tcW w:w="1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8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3"/>
                <w:sz w:val="20"/>
                <w:szCs w:val="20"/>
                <w:highlight w:val="none"/>
                <w:lang w:val="en-US" w:eastAsia="zh-CN"/>
              </w:rPr>
              <w:t>81772.8</w:t>
            </w:r>
          </w:p>
        </w:tc>
        <w:tc>
          <w:tcPr>
            <w:tcW w:w="203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hint="eastAsia" w:ascii="Times New Roman" w:hAnsi="Times New Roman" w:eastAsia="宋体" w:cs="Times New Roman"/>
                <w:spacing w:val="3"/>
                <w:sz w:val="20"/>
                <w:szCs w:val="20"/>
                <w:highlight w:val="none"/>
                <w:lang w:val="en-US" w:eastAsia="zh-CN"/>
              </w:rPr>
              <w:t>81772.8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8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5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4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156.8</w:t>
            </w:r>
          </w:p>
        </w:tc>
        <w:tc>
          <w:tcPr>
            <w:tcW w:w="1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138.6</w:t>
            </w:r>
          </w:p>
        </w:tc>
        <w:tc>
          <w:tcPr>
            <w:tcW w:w="158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18.2</w:t>
            </w:r>
          </w:p>
        </w:tc>
        <w:tc>
          <w:tcPr>
            <w:tcW w:w="203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3"/>
                <w:sz w:val="20"/>
                <w:szCs w:val="20"/>
                <w:lang w:val="en-US" w:eastAsia="zh-CN"/>
              </w:rPr>
              <w:t>4.09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83" w:hRule="atLeast"/>
        </w:trPr>
        <w:tc>
          <w:tcPr>
            <w:tcW w:w="85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55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144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7.85</w:t>
            </w:r>
          </w:p>
        </w:tc>
        <w:tc>
          <w:tcPr>
            <w:tcW w:w="148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6.36</w:t>
            </w:r>
          </w:p>
        </w:tc>
        <w:tc>
          <w:tcPr>
            <w:tcW w:w="158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1.49</w:t>
            </w:r>
          </w:p>
        </w:tc>
        <w:tc>
          <w:tcPr>
            <w:tcW w:w="203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hint="eastAsia" w:ascii="Times New Roman" w:hAnsi="Times New Roman" w:eastAsia="宋体" w:cs="Times New Roman"/>
                <w:spacing w:val="2"/>
                <w:sz w:val="20"/>
                <w:szCs w:val="20"/>
                <w:lang w:val="en-US" w:eastAsia="zh-CN"/>
              </w:rPr>
              <w:t>4</w:t>
            </w:r>
            <w:r>
              <w:rPr>
                <w:rFonts w:ascii="Times New Roman" w:hAnsi="Times New Roman" w:eastAsia="Times New Roman" w:cs="Times New Roman"/>
                <w:spacing w:val="2"/>
                <w:sz w:val="20"/>
                <w:szCs w:val="20"/>
              </w:rPr>
              <w:t>1</w:t>
            </w:r>
          </w:p>
        </w:tc>
      </w:tr>
    </w:tbl>
    <w:p>
      <w:pPr>
        <w:keepNext w:val="0"/>
        <w:keepLines w:val="0"/>
        <w:pageBreakBefore w:val="0"/>
        <w:widowControl/>
        <w:kinsoku w:val="0"/>
        <w:wordWrap/>
        <w:overflowPunct/>
        <w:topLinePunct w:val="0"/>
        <w:autoSpaceDE w:val="0"/>
        <w:autoSpaceDN w:val="0"/>
        <w:bidi w:val="0"/>
        <w:adjustRightInd w:val="0"/>
        <w:snapToGrid w:val="0"/>
        <w:spacing w:before="129" w:line="360" w:lineRule="auto"/>
        <w:ind w:left="0" w:firstLine="476" w:firstLineChars="200"/>
        <w:textAlignment w:val="baseline"/>
        <w:rPr>
          <w:rFonts w:ascii="宋体" w:hAnsi="宋体" w:eastAsia="宋体" w:cs="宋体"/>
          <w:sz w:val="24"/>
          <w:szCs w:val="24"/>
        </w:rPr>
      </w:pPr>
      <w:r>
        <w:rPr>
          <w:rFonts w:ascii="宋体" w:hAnsi="宋体" w:eastAsia="宋体" w:cs="宋体"/>
          <w:spacing w:val="-1"/>
          <w:sz w:val="24"/>
          <w:szCs w:val="24"/>
        </w:rPr>
        <w:t>评价建议本项目污染物总量控制指标如下：</w:t>
      </w:r>
    </w:p>
    <w:p>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536" w:firstLineChars="200"/>
        <w:textAlignment w:val="baseline"/>
        <w:rPr>
          <w:rFonts w:ascii="宋体" w:hAnsi="宋体" w:eastAsia="宋体" w:cs="宋体"/>
          <w:sz w:val="24"/>
          <w:szCs w:val="24"/>
        </w:rPr>
      </w:pPr>
      <w:r>
        <w:rPr>
          <w:rFonts w:ascii="宋体" w:hAnsi="宋体" w:eastAsia="宋体" w:cs="宋体"/>
          <w:spacing w:val="14"/>
          <w:sz w:val="24"/>
          <w:szCs w:val="24"/>
        </w:rPr>
        <w:t>经本项目污水处理站排放至</w:t>
      </w:r>
      <w:r>
        <w:rPr>
          <w:rFonts w:hint="eastAsia" w:ascii="宋体" w:hAnsi="宋体" w:eastAsia="宋体" w:cs="宋体"/>
          <w:spacing w:val="14"/>
          <w:sz w:val="24"/>
          <w:szCs w:val="24"/>
          <w:lang w:eastAsia="zh-CN"/>
        </w:rPr>
        <w:t>叶县县城污水处理厂</w:t>
      </w:r>
      <w:r>
        <w:rPr>
          <w:rFonts w:ascii="宋体" w:hAnsi="宋体" w:eastAsia="宋体" w:cs="宋体"/>
          <w:spacing w:val="14"/>
          <w:sz w:val="24"/>
          <w:szCs w:val="24"/>
        </w:rPr>
        <w:t>水污染物控制指标为</w:t>
      </w:r>
      <w:r>
        <w:rPr>
          <w:rFonts w:ascii="Times New Roman" w:hAnsi="Times New Roman" w:eastAsia="Times New Roman" w:cs="Times New Roman"/>
          <w:sz w:val="24"/>
          <w:szCs w:val="24"/>
        </w:rPr>
        <w:t>COD</w:t>
      </w:r>
      <w:r>
        <w:rPr>
          <w:rFonts w:ascii="宋体" w:hAnsi="宋体" w:eastAsia="宋体" w:cs="宋体"/>
          <w:spacing w:val="14"/>
          <w:sz w:val="24"/>
          <w:szCs w:val="24"/>
        </w:rPr>
        <w:t>：</w:t>
      </w:r>
      <w:r>
        <w:rPr>
          <w:rFonts w:hint="eastAsia" w:ascii="Times New Roman" w:hAnsi="Times New Roman" w:eastAsia="宋体" w:cs="Times New Roman"/>
          <w:spacing w:val="-3"/>
          <w:sz w:val="24"/>
          <w:szCs w:val="24"/>
          <w:lang w:val="en-US" w:eastAsia="zh-CN"/>
        </w:rPr>
        <w:t>18.2</w:t>
      </w:r>
      <w:r>
        <w:rPr>
          <w:rFonts w:ascii="Times New Roman" w:hAnsi="Times New Roman" w:eastAsia="Times New Roman" w:cs="Times New Roman"/>
          <w:spacing w:val="-3"/>
          <w:sz w:val="24"/>
          <w:szCs w:val="24"/>
        </w:rPr>
        <w:t>t/a</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w:t>
      </w:r>
      <w:r>
        <w:rPr>
          <w:rFonts w:hint="eastAsia" w:ascii="Times New Roman" w:hAnsi="Times New Roman" w:eastAsia="宋体" w:cs="Times New Roman"/>
          <w:spacing w:val="-3"/>
          <w:sz w:val="24"/>
          <w:szCs w:val="24"/>
          <w:lang w:val="en-US" w:eastAsia="zh-CN"/>
        </w:rPr>
        <w:t>1.49</w:t>
      </w:r>
      <w:r>
        <w:rPr>
          <w:rFonts w:ascii="Times New Roman" w:hAnsi="Times New Roman" w:eastAsia="Times New Roman" w:cs="Times New Roman"/>
          <w:spacing w:val="-3"/>
          <w:sz w:val="24"/>
          <w:szCs w:val="24"/>
        </w:rPr>
        <w:t>t/a</w:t>
      </w:r>
      <w:r>
        <w:rPr>
          <w:rFonts w:ascii="宋体" w:hAnsi="宋体" w:eastAsia="宋体" w:cs="宋体"/>
          <w:spacing w:val="-3"/>
          <w:sz w:val="24"/>
          <w:szCs w:val="24"/>
        </w:rPr>
        <w:t>；经</w:t>
      </w:r>
      <w:r>
        <w:rPr>
          <w:rFonts w:hint="eastAsia" w:ascii="宋体" w:hAnsi="宋体" w:eastAsia="宋体" w:cs="宋体"/>
          <w:spacing w:val="-3"/>
          <w:sz w:val="24"/>
          <w:szCs w:val="24"/>
          <w:lang w:eastAsia="zh-CN"/>
        </w:rPr>
        <w:t>叶县县城污水处理厂</w:t>
      </w:r>
      <w:r>
        <w:rPr>
          <w:rFonts w:ascii="宋体" w:hAnsi="宋体" w:eastAsia="宋体" w:cs="宋体"/>
          <w:spacing w:val="-3"/>
          <w:sz w:val="24"/>
          <w:szCs w:val="24"/>
        </w:rPr>
        <w:t>进一步处理后排放至水环境水污染物</w:t>
      </w:r>
      <w:r>
        <w:rPr>
          <w:rFonts w:ascii="宋体" w:hAnsi="宋体" w:eastAsia="宋体" w:cs="宋体"/>
          <w:spacing w:val="-1"/>
          <w:sz w:val="24"/>
          <w:szCs w:val="24"/>
        </w:rPr>
        <w:t>控制指标为</w:t>
      </w:r>
      <w:r>
        <w:rPr>
          <w:rFonts w:ascii="Times New Roman" w:hAnsi="Times New Roman" w:eastAsia="Times New Roman" w:cs="Times New Roman"/>
          <w:spacing w:val="-1"/>
          <w:sz w:val="24"/>
          <w:szCs w:val="24"/>
        </w:rPr>
        <w:t>COD</w:t>
      </w:r>
      <w:r>
        <w:rPr>
          <w:rFonts w:ascii="宋体" w:hAnsi="宋体" w:eastAsia="宋体" w:cs="宋体"/>
          <w:spacing w:val="-1"/>
          <w:sz w:val="24"/>
          <w:szCs w:val="24"/>
        </w:rPr>
        <w:t>：</w:t>
      </w:r>
      <w:r>
        <w:rPr>
          <w:rFonts w:hint="eastAsia" w:ascii="Times New Roman" w:hAnsi="Times New Roman" w:eastAsia="宋体" w:cs="Times New Roman"/>
          <w:spacing w:val="-1"/>
          <w:sz w:val="24"/>
          <w:szCs w:val="24"/>
          <w:lang w:val="en-US" w:eastAsia="zh-CN"/>
        </w:rPr>
        <w:t>4.09</w:t>
      </w:r>
      <w:r>
        <w:rPr>
          <w:rFonts w:ascii="Times New Roman" w:hAnsi="Times New Roman" w:eastAsia="Times New Roman" w:cs="Times New Roman"/>
          <w:spacing w:val="-1"/>
          <w:sz w:val="24"/>
          <w:szCs w:val="24"/>
        </w:rPr>
        <w:t>t/a</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2"/>
          <w:sz w:val="24"/>
          <w:szCs w:val="24"/>
        </w:rPr>
        <w:t>-N</w:t>
      </w:r>
      <w:r>
        <w:rPr>
          <w:rFonts w:ascii="宋体" w:hAnsi="宋体" w:eastAsia="宋体" w:cs="宋体"/>
          <w:spacing w:val="-2"/>
          <w:sz w:val="24"/>
          <w:szCs w:val="24"/>
        </w:rPr>
        <w:t>：</w:t>
      </w:r>
      <w:r>
        <w:rPr>
          <w:rFonts w:ascii="Times New Roman" w:hAnsi="Times New Roman" w:eastAsia="Times New Roman" w:cs="Times New Roman"/>
          <w:spacing w:val="-2"/>
          <w:sz w:val="24"/>
          <w:szCs w:val="24"/>
        </w:rPr>
        <w:t>0.</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2"/>
          <w:sz w:val="24"/>
          <w:szCs w:val="24"/>
        </w:rPr>
        <w:t>1t/a</w:t>
      </w:r>
      <w:r>
        <w:rPr>
          <w:rFonts w:ascii="宋体" w:hAnsi="宋体" w:eastAsia="宋体" w:cs="宋体"/>
          <w:spacing w:val="-2"/>
          <w:sz w:val="24"/>
          <w:szCs w:val="24"/>
        </w:rPr>
        <w:t>。</w:t>
      </w:r>
    </w:p>
    <w:p>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本项目新增的水污染物</w:t>
      </w:r>
      <w:r>
        <w:rPr>
          <w:rFonts w:hint="default" w:ascii="Times New Roman" w:hAnsi="Times New Roman" w:eastAsia="Times New Roman" w:cs="Times New Roman"/>
          <w:spacing w:val="0"/>
          <w:sz w:val="24"/>
          <w:szCs w:val="24"/>
        </w:rPr>
        <w:t>COD</w:t>
      </w:r>
      <w:r>
        <w:rPr>
          <w:rFonts w:hint="default" w:ascii="Times New Roman" w:hAnsi="Times New Roman" w:eastAsia="宋体" w:cs="Times New Roman"/>
          <w:spacing w:val="0"/>
          <w:sz w:val="24"/>
          <w:szCs w:val="24"/>
        </w:rPr>
        <w:t>和氨氮排放量分别为</w:t>
      </w:r>
      <w:r>
        <w:rPr>
          <w:rFonts w:hint="eastAsia" w:ascii="Times New Roman" w:hAnsi="Times New Roman" w:eastAsia="宋体" w:cs="Times New Roman"/>
          <w:spacing w:val="0"/>
          <w:sz w:val="24"/>
          <w:szCs w:val="24"/>
          <w:lang w:val="en-US" w:eastAsia="zh-CN"/>
        </w:rPr>
        <w:t>4.09</w:t>
      </w:r>
      <w:r>
        <w:rPr>
          <w:rFonts w:hint="default" w:ascii="Times New Roman" w:hAnsi="Times New Roman" w:eastAsia="Times New Roman" w:cs="Times New Roman"/>
          <w:spacing w:val="0"/>
          <w:sz w:val="24"/>
          <w:szCs w:val="24"/>
        </w:rPr>
        <w:t>t/a</w:t>
      </w:r>
      <w:r>
        <w:rPr>
          <w:rFonts w:hint="default" w:ascii="Times New Roman" w:hAnsi="Times New Roman" w:eastAsia="宋体" w:cs="Times New Roman"/>
          <w:spacing w:val="0"/>
          <w:sz w:val="24"/>
          <w:szCs w:val="24"/>
        </w:rPr>
        <w:t>、</w:t>
      </w:r>
      <w:r>
        <w:rPr>
          <w:rFonts w:hint="default" w:ascii="Times New Roman" w:hAnsi="Times New Roman" w:eastAsia="Times New Roman" w:cs="Times New Roman"/>
          <w:spacing w:val="0"/>
          <w:sz w:val="24"/>
          <w:szCs w:val="24"/>
        </w:rPr>
        <w:t>0.</w:t>
      </w:r>
      <w:r>
        <w:rPr>
          <w:rFonts w:hint="eastAsia" w:ascii="Times New Roman" w:hAnsi="Times New Roman" w:eastAsia="宋体" w:cs="Times New Roman"/>
          <w:spacing w:val="0"/>
          <w:sz w:val="24"/>
          <w:szCs w:val="24"/>
          <w:lang w:val="en-US" w:eastAsia="zh-CN"/>
        </w:rPr>
        <w:t>4</w:t>
      </w:r>
      <w:r>
        <w:rPr>
          <w:rFonts w:hint="default" w:ascii="Times New Roman" w:hAnsi="Times New Roman" w:eastAsia="Times New Roman" w:cs="Times New Roman"/>
          <w:spacing w:val="0"/>
          <w:sz w:val="24"/>
          <w:szCs w:val="24"/>
        </w:rPr>
        <w:t>1t/a</w:t>
      </w:r>
      <w:r>
        <w:rPr>
          <w:rFonts w:hint="default" w:ascii="Times New Roman" w:hAnsi="Times New Roman" w:eastAsia="宋体" w:cs="Times New Roman"/>
          <w:spacing w:val="0"/>
          <w:sz w:val="24"/>
          <w:szCs w:val="24"/>
        </w:rPr>
        <w:t>，进行</w:t>
      </w:r>
      <w:r>
        <w:rPr>
          <w:rFonts w:hint="eastAsia" w:ascii="Times New Roman" w:hAnsi="Times New Roman" w:eastAsia="宋体" w:cs="Times New Roman"/>
          <w:spacing w:val="0"/>
          <w:sz w:val="24"/>
          <w:szCs w:val="24"/>
          <w:lang w:eastAsia="zh-CN"/>
        </w:rPr>
        <w:t>等量</w:t>
      </w:r>
      <w:r>
        <w:rPr>
          <w:rFonts w:hint="default" w:ascii="Times New Roman" w:hAnsi="Times New Roman" w:eastAsia="宋体" w:cs="Times New Roman"/>
          <w:spacing w:val="0"/>
          <w:sz w:val="24"/>
          <w:szCs w:val="24"/>
        </w:rPr>
        <w:t>替代，替代来源</w:t>
      </w:r>
      <w:r>
        <w:rPr>
          <w:rFonts w:hint="eastAsia" w:ascii="Times New Roman" w:hAnsi="Times New Roman" w:eastAsia="宋体" w:cs="Times New Roman"/>
          <w:spacing w:val="0"/>
          <w:sz w:val="24"/>
          <w:szCs w:val="24"/>
          <w:lang w:eastAsia="zh-CN"/>
        </w:rPr>
        <w:t>由平顶山市生态环境局叶县分局进行分配</w:t>
      </w:r>
      <w:r>
        <w:rPr>
          <w:rFonts w:hint="default" w:ascii="Times New Roman" w:hAnsi="Times New Roman" w:eastAsia="宋体" w:cs="Times New Roman"/>
          <w:spacing w:val="0"/>
          <w:sz w:val="24"/>
          <w:szCs w:val="24"/>
        </w:rPr>
        <w:t>。</w:t>
      </w:r>
    </w:p>
    <w:p>
      <w:pPr>
        <w:spacing w:line="218" w:lineRule="auto"/>
        <w:rPr>
          <w:rFonts w:ascii="宋体" w:hAnsi="宋体" w:eastAsia="宋体" w:cs="宋体"/>
          <w:sz w:val="24"/>
          <w:szCs w:val="24"/>
        </w:rPr>
        <w:sectPr>
          <w:pgSz w:w="11906" w:h="16839"/>
          <w:pgMar w:top="1431" w:right="1588" w:bottom="1278" w:left="1597" w:header="0" w:footer="1020" w:gutter="0"/>
          <w:pgBorders>
            <w:top w:val="none" w:sz="0" w:space="0"/>
            <w:left w:val="none" w:sz="0" w:space="0"/>
            <w:bottom w:val="none" w:sz="0" w:space="0"/>
            <w:right w:val="none" w:sz="0" w:space="0"/>
          </w:pgBorders>
          <w:pgNumType w:fmt="numberInDash"/>
          <w:cols w:space="720" w:num="1"/>
        </w:sectPr>
      </w:pPr>
    </w:p>
    <w:p>
      <w:pPr>
        <w:pStyle w:val="3"/>
        <w:bidi w:val="0"/>
        <w:rPr>
          <w:rFonts w:ascii="黑体" w:hAnsi="黑体" w:eastAsia="黑体" w:cs="黑体"/>
          <w:sz w:val="44"/>
          <w:szCs w:val="44"/>
        </w:rPr>
      </w:pPr>
      <w:bookmarkStart w:id="422" w:name="bookmark103"/>
      <w:bookmarkEnd w:id="422"/>
      <w:bookmarkStart w:id="423" w:name="bookmark102"/>
      <w:bookmarkEnd w:id="423"/>
      <w:bookmarkStart w:id="424" w:name="_Toc18650"/>
      <w:bookmarkStart w:id="425" w:name="_Toc5742"/>
      <w:r>
        <w:rPr>
          <w:rFonts w:ascii="Times New Roman" w:hAnsi="Times New Roman" w:eastAsia="Times New Roman" w:cs="Times New Roman"/>
          <w:spacing w:val="7"/>
          <w:sz w:val="44"/>
          <w:szCs w:val="44"/>
        </w:rPr>
        <w:t>6</w:t>
      </w:r>
      <w:r>
        <w:rPr>
          <w:rFonts w:ascii="黑体" w:hAnsi="黑体" w:eastAsia="黑体" w:cs="黑体"/>
          <w:spacing w:val="7"/>
          <w:sz w:val="44"/>
          <w:szCs w:val="44"/>
        </w:rPr>
        <w:t xml:space="preserve">  环境保护措施及可行性论证</w:t>
      </w:r>
      <w:bookmarkEnd w:id="424"/>
      <w:bookmarkEnd w:id="425"/>
    </w:p>
    <w:p>
      <w:pPr>
        <w:pStyle w:val="4"/>
        <w:bidi w:val="0"/>
        <w:rPr>
          <w:rFonts w:ascii="黑体" w:hAnsi="黑体" w:eastAsia="黑体" w:cs="黑体"/>
          <w:sz w:val="32"/>
          <w:szCs w:val="32"/>
        </w:rPr>
      </w:pPr>
      <w:bookmarkStart w:id="426" w:name="_Toc28301"/>
      <w:bookmarkStart w:id="427" w:name="_Toc25378"/>
      <w:r>
        <w:rPr>
          <w:rFonts w:ascii="Times New Roman" w:hAnsi="Times New Roman" w:eastAsia="Times New Roman" w:cs="Times New Roman"/>
          <w:spacing w:val="-3"/>
          <w:sz w:val="32"/>
          <w:szCs w:val="32"/>
        </w:rPr>
        <w:t>6.1</w:t>
      </w:r>
      <w:r>
        <w:rPr>
          <w:rFonts w:ascii="黑体" w:hAnsi="黑体" w:eastAsia="黑体" w:cs="黑体"/>
          <w:spacing w:val="-3"/>
          <w:sz w:val="32"/>
          <w:szCs w:val="32"/>
        </w:rPr>
        <w:t>施工期污染防治措施分析</w:t>
      </w:r>
      <w:bookmarkEnd w:id="426"/>
      <w:bookmarkEnd w:id="427"/>
    </w:p>
    <w:p>
      <w:pPr>
        <w:spacing w:before="294" w:line="384" w:lineRule="auto"/>
        <w:ind w:left="46" w:right="61" w:firstLine="464"/>
        <w:jc w:val="both"/>
        <w:rPr>
          <w:rFonts w:ascii="宋体" w:hAnsi="宋体" w:eastAsia="宋体" w:cs="宋体"/>
          <w:sz w:val="24"/>
          <w:szCs w:val="24"/>
          <w:u w:val="single"/>
        </w:rPr>
      </w:pPr>
      <w:r>
        <w:rPr>
          <w:rFonts w:ascii="宋体" w:hAnsi="宋体" w:eastAsia="宋体" w:cs="宋体"/>
          <w:spacing w:val="2"/>
          <w:sz w:val="24"/>
          <w:szCs w:val="24"/>
          <w:u w:val="single"/>
        </w:rPr>
        <w:t>本次评价针对工程施工期可能对环境造成的影响，以保护项目区的环境、最大限度地减少工程建设对环境造成的不利影响为目的，对施</w:t>
      </w:r>
      <w:r>
        <w:rPr>
          <w:rFonts w:ascii="宋体" w:hAnsi="宋体" w:eastAsia="宋体" w:cs="宋体"/>
          <w:spacing w:val="1"/>
          <w:sz w:val="24"/>
          <w:szCs w:val="24"/>
          <w:u w:val="single"/>
        </w:rPr>
        <w:t>工期环境影响因素进行简</w:t>
      </w:r>
      <w:r>
        <w:rPr>
          <w:rFonts w:ascii="宋体" w:hAnsi="宋体" w:eastAsia="宋体" w:cs="宋体"/>
          <w:spacing w:val="-1"/>
          <w:sz w:val="24"/>
          <w:szCs w:val="24"/>
          <w:u w:val="single"/>
        </w:rPr>
        <w:t>要分析并提出具体的防范措施。</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bookmarkStart w:id="428" w:name="bookmark104"/>
      <w:bookmarkEnd w:id="428"/>
      <w:r>
        <w:rPr>
          <w:rFonts w:ascii="Times New Roman" w:hAnsi="Times New Roman" w:eastAsia="Times New Roman" w:cs="Times New Roman"/>
          <w:spacing w:val="-1"/>
          <w:sz w:val="28"/>
          <w:szCs w:val="28"/>
        </w:rPr>
        <w:t>6.1.1</w:t>
      </w:r>
      <w:r>
        <w:rPr>
          <w:rFonts w:ascii="楷体" w:hAnsi="楷体" w:eastAsia="楷体" w:cs="楷体"/>
          <w:spacing w:val="-1"/>
          <w:sz w:val="28"/>
          <w:szCs w:val="28"/>
        </w:rPr>
        <w:t>施工期水污染防治措施分析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工程对水环境的污染主要包括施工期生产废水、施工人员生活污水，评价针对环境特点提出工程施工期水环境保护措施，详见表6-1。</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098"/>
        <w:textAlignment w:val="baseline"/>
      </w:pPr>
      <w:r>
        <w:rPr>
          <w:rFonts w:ascii="宋体" w:hAnsi="宋体" w:eastAsia="宋体" w:cs="宋体"/>
          <w:sz w:val="24"/>
          <w:szCs w:val="24"/>
          <w:highlight w:val="none"/>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highlight w:val="none"/>
        </w:rPr>
        <w:t xml:space="preserve">6-1   </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施工期水污染防治</w:t>
      </w:r>
      <w:r>
        <w:rPr>
          <w:rFonts w:ascii="宋体" w:hAnsi="宋体" w:eastAsia="宋体" w:cs="宋体"/>
          <w:spacing w:val="-1"/>
          <w:sz w:val="24"/>
          <w:szCs w:val="24"/>
          <w14:textOutline w14:w="4358" w14:cap="sq" w14:cmpd="sng">
            <w14:solidFill>
              <w14:srgbClr w14:val="000000"/>
            </w14:solidFill>
            <w14:prstDash w14:val="solid"/>
            <w14:bevel/>
          </w14:textOutline>
        </w:rPr>
        <w:t>措施一览表</w:t>
      </w:r>
    </w:p>
    <w:tbl>
      <w:tblPr>
        <w:tblStyle w:val="24"/>
        <w:tblW w:w="8764"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2929"/>
        <w:gridCol w:w="513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8" w:hRule="atLeast"/>
        </w:trPr>
        <w:tc>
          <w:tcPr>
            <w:tcW w:w="698" w:type="dxa"/>
            <w:tcBorders>
              <w:tl2br w:val="nil"/>
              <w:tr2bl w:val="nil"/>
            </w:tcBorders>
            <w:vAlign w:val="top"/>
          </w:tcPr>
          <w:p>
            <w:pPr>
              <w:pStyle w:val="25"/>
              <w:spacing w:before="69" w:line="229" w:lineRule="auto"/>
              <w:ind w:left="142"/>
            </w:pPr>
            <w:r>
              <w:rPr>
                <w:spacing w:val="5"/>
              </w:rPr>
              <w:t>序号</w:t>
            </w:r>
          </w:p>
        </w:tc>
        <w:tc>
          <w:tcPr>
            <w:tcW w:w="2929" w:type="dxa"/>
            <w:tcBorders>
              <w:tl2br w:val="nil"/>
              <w:tr2bl w:val="nil"/>
            </w:tcBorders>
            <w:vAlign w:val="top"/>
          </w:tcPr>
          <w:p>
            <w:pPr>
              <w:pStyle w:val="25"/>
              <w:spacing w:before="69" w:line="228" w:lineRule="auto"/>
              <w:ind w:left="839"/>
            </w:pPr>
            <w:r>
              <w:rPr>
                <w:spacing w:val="7"/>
              </w:rPr>
              <w:t>主要环境影响</w:t>
            </w:r>
          </w:p>
        </w:tc>
        <w:tc>
          <w:tcPr>
            <w:tcW w:w="5137" w:type="dxa"/>
            <w:tcBorders>
              <w:tl2br w:val="nil"/>
              <w:tr2bl w:val="nil"/>
            </w:tcBorders>
            <w:vAlign w:val="top"/>
          </w:tcPr>
          <w:p>
            <w:pPr>
              <w:pStyle w:val="25"/>
              <w:spacing w:before="69" w:line="228" w:lineRule="auto"/>
              <w:ind w:left="2151"/>
            </w:pPr>
            <w:r>
              <w:rPr>
                <w:spacing w:val="7"/>
              </w:rPr>
              <w:t>环保措施</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698" w:type="dxa"/>
            <w:tcBorders>
              <w:tl2br w:val="nil"/>
              <w:tr2bl w:val="nil"/>
            </w:tcBorders>
            <w:vAlign w:val="top"/>
          </w:tcPr>
          <w:p>
            <w:pPr>
              <w:spacing w:before="24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29" w:type="dxa"/>
            <w:tcBorders>
              <w:tl2br w:val="nil"/>
              <w:tr2bl w:val="nil"/>
            </w:tcBorders>
            <w:vAlign w:val="top"/>
          </w:tcPr>
          <w:p>
            <w:pPr>
              <w:pStyle w:val="25"/>
              <w:spacing w:before="51" w:line="258" w:lineRule="auto"/>
              <w:ind w:left="418" w:right="99" w:hanging="313"/>
            </w:pPr>
            <w:r>
              <w:rPr>
                <w:spacing w:val="9"/>
              </w:rPr>
              <w:t>建筑施工废水可能对水环境产</w:t>
            </w:r>
            <w:r>
              <w:t xml:space="preserve"> </w:t>
            </w:r>
            <w:r>
              <w:rPr>
                <w:spacing w:val="8"/>
              </w:rPr>
              <w:t>生影响，造成水土流失</w:t>
            </w:r>
          </w:p>
        </w:tc>
        <w:tc>
          <w:tcPr>
            <w:tcW w:w="5137" w:type="dxa"/>
            <w:tcBorders>
              <w:tl2br w:val="nil"/>
              <w:tr2bl w:val="nil"/>
            </w:tcBorders>
            <w:vAlign w:val="top"/>
          </w:tcPr>
          <w:p>
            <w:pPr>
              <w:pStyle w:val="25"/>
              <w:spacing w:before="51" w:line="258" w:lineRule="auto"/>
              <w:ind w:left="1941" w:right="50" w:hanging="1887"/>
            </w:pPr>
            <w:r>
              <w:rPr>
                <w:spacing w:val="9"/>
              </w:rPr>
              <w:t xml:space="preserve">建筑施工废水经简单沉淀后用于地面洒水抑尘，严禁排 </w:t>
            </w:r>
            <w:r>
              <w:rPr>
                <w:spacing w:val="6"/>
              </w:rPr>
              <w:t>入地表水体。</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2" w:hRule="atLeast"/>
        </w:trPr>
        <w:tc>
          <w:tcPr>
            <w:tcW w:w="698" w:type="dxa"/>
            <w:tcBorders>
              <w:tl2br w:val="nil"/>
              <w:tr2bl w:val="nil"/>
            </w:tcBorders>
            <w:vAlign w:val="top"/>
          </w:tcPr>
          <w:p>
            <w:pPr>
              <w:spacing w:before="24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29" w:type="dxa"/>
            <w:tcBorders>
              <w:tl2br w:val="nil"/>
              <w:tr2bl w:val="nil"/>
            </w:tcBorders>
            <w:vAlign w:val="top"/>
          </w:tcPr>
          <w:p>
            <w:pPr>
              <w:pStyle w:val="25"/>
              <w:spacing w:before="56" w:line="259" w:lineRule="auto"/>
              <w:ind w:left="1257" w:right="99" w:hanging="1152"/>
            </w:pPr>
            <w:r>
              <w:rPr>
                <w:spacing w:val="9"/>
              </w:rPr>
              <w:t>生活污水随意排放对环境污染</w:t>
            </w:r>
            <w:r>
              <w:rPr>
                <w:spacing w:val="1"/>
              </w:rPr>
              <w:t xml:space="preserve"> </w:t>
            </w:r>
            <w:r>
              <w:rPr>
                <w:spacing w:val="4"/>
              </w:rPr>
              <w:t>影响</w:t>
            </w:r>
          </w:p>
        </w:tc>
        <w:tc>
          <w:tcPr>
            <w:tcW w:w="5137" w:type="dxa"/>
            <w:tcBorders>
              <w:tl2br w:val="nil"/>
              <w:tr2bl w:val="nil"/>
            </w:tcBorders>
            <w:vAlign w:val="top"/>
          </w:tcPr>
          <w:p>
            <w:pPr>
              <w:pStyle w:val="25"/>
              <w:spacing w:before="55" w:line="228" w:lineRule="auto"/>
              <w:ind w:left="51"/>
            </w:pPr>
            <w:r>
              <w:rPr>
                <w:spacing w:val="9"/>
              </w:rPr>
              <w:t>施工人员洗漱废水经沉淀后用于地面洒水降尘，施工期</w:t>
            </w:r>
          </w:p>
          <w:p>
            <w:pPr>
              <w:pStyle w:val="25"/>
              <w:spacing w:before="65" w:line="227" w:lineRule="auto"/>
              <w:ind w:left="159"/>
            </w:pPr>
            <w:r>
              <w:rPr>
                <w:spacing w:val="9"/>
              </w:rPr>
              <w:t>粪便经化粪池处理后定期由附近农民拉走用于农肥。</w:t>
            </w:r>
          </w:p>
        </w:tc>
      </w:tr>
    </w:tbl>
    <w:p>
      <w:pPr>
        <w:keepNext w:val="0"/>
        <w:keepLines w:val="0"/>
        <w:pageBreakBefore w:val="0"/>
        <w:widowControl/>
        <w:kinsoku w:val="0"/>
        <w:wordWrap/>
        <w:overflowPunct/>
        <w:topLinePunct w:val="0"/>
        <w:autoSpaceDE w:val="0"/>
        <w:autoSpaceDN w:val="0"/>
        <w:bidi w:val="0"/>
        <w:adjustRightInd w:val="0"/>
        <w:snapToGrid w:val="0"/>
        <w:spacing w:before="149" w:line="360" w:lineRule="auto"/>
        <w:textAlignment w:val="baseline"/>
        <w:outlineLvl w:val="3"/>
        <w:rPr>
          <w:rFonts w:ascii="楷体" w:hAnsi="楷体" w:eastAsia="楷体" w:cs="楷体"/>
          <w:sz w:val="28"/>
          <w:szCs w:val="28"/>
        </w:rPr>
      </w:pPr>
      <w:bookmarkStart w:id="429" w:name="bookmark105"/>
      <w:bookmarkEnd w:id="429"/>
      <w:r>
        <w:rPr>
          <w:rFonts w:ascii="Times New Roman" w:hAnsi="Times New Roman" w:eastAsia="Times New Roman" w:cs="Times New Roman"/>
          <w:spacing w:val="-1"/>
          <w:sz w:val="28"/>
          <w:szCs w:val="28"/>
        </w:rPr>
        <w:t>6.1.2</w:t>
      </w:r>
      <w:r>
        <w:rPr>
          <w:rFonts w:ascii="楷体" w:hAnsi="楷体" w:eastAsia="楷体" w:cs="楷体"/>
          <w:spacing w:val="-1"/>
          <w:sz w:val="28"/>
          <w:szCs w:val="28"/>
        </w:rPr>
        <w:t>施工期环境空气污染防治措施分析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22"/>
        <w:textAlignment w:val="baseline"/>
        <w:rPr>
          <w:rFonts w:ascii="宋体" w:hAnsi="宋体" w:eastAsia="宋体" w:cs="宋体"/>
          <w:sz w:val="24"/>
          <w:szCs w:val="24"/>
          <w:u w:val="single"/>
        </w:rPr>
      </w:pPr>
      <w:r>
        <w:rPr>
          <w:rFonts w:ascii="宋体" w:hAnsi="宋体" w:eastAsia="宋体" w:cs="宋体"/>
          <w:spacing w:val="-1"/>
          <w:sz w:val="24"/>
          <w:szCs w:val="24"/>
          <w:u w:val="single"/>
          <w14:textOutline w14:w="4358" w14:cap="sq" w14:cmpd="sng">
            <w14:solidFill>
              <w14:srgbClr w14:val="000000"/>
            </w14:solidFill>
            <w14:prstDash w14:val="solid"/>
            <w14:bevel/>
          </w14:textOutline>
        </w:rPr>
        <w:t>（一）施工扬尘污染防治措施分析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工程土建施工期间，由于开挖的土方通常裸露堆放在施工现场，如果遇到干燥大风天气，将会产生一定量的扬尘，对周围环境产生一定的影响。对于施工期土石开挖造成的植被破坏，评价建议建设单位加强管理，工程完成后，及时回填、绿化减少对环境造成的扬尘影响，并防止水土流失。</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结合现场踏勘情况，为进一步降低扬尘对周围环境产生的危害，保护项目区及周边敏感点及大气环境，根据《中华人民共和国大气污染防治法》（第三十一号主席令）、《国务院关于印发打赢蓝天保卫战三年行动计划的通知》（国发〔2018〕22号）、《平顶山市生态环境保护委员会办公室关于印发《</w:t>
      </w:r>
      <w:r>
        <w:rPr>
          <w:rFonts w:hint="default" w:ascii="Times New Roman" w:hAnsi="Times New Roman" w:eastAsia="宋体" w:cs="Times New Roman"/>
          <w:sz w:val="24"/>
          <w:szCs w:val="24"/>
          <w:highlight w:val="none"/>
          <w:u w:val="single"/>
        </w:rPr>
        <w:t>平顶山市2023年蓝天保卫战实施方案</w:t>
      </w:r>
      <w:r>
        <w:rPr>
          <w:rFonts w:hint="default" w:ascii="Times New Roman" w:hAnsi="Times New Roman" w:eastAsia="宋体" w:cs="Times New Roman"/>
          <w:sz w:val="24"/>
          <w:szCs w:val="24"/>
          <w:u w:val="single"/>
        </w:rPr>
        <w:t>》的通知》（平环委办〔2023〕13 号）等有关要求，施工过程中必须做到：工地周边100%围挡、物料堆放100%覆盖、土方开挖100%湿法作业、路面100%硬化、出入车辆100%清洗、渣土车辆100%密闭运输等“六个百分之百”；严格落实建筑工地禁止现场搅拌混凝土、禁止现场配制砂浆“两个禁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根据以上要求，建议施工期采取以下降尘、防尘措施：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（1）设置控制扬尘污染责任标志牌，标明扬尘污染防治措施、主管部门、责任人及环保监督电话等内容。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（2）施工围挡：施工场地周围必须连续设置稳固、整齐、美观的围挡。围挡高度不低于 2 米；</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（3）施工现场道路、作业区进行地面硬化，出口设置定型化自动冲洗设施，出入车辆必须冲洗干净；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（4）施工工地渣土车和粉状物料运输车应采取密闭措施；土石方工程在开挖和转运沿途必须采用湿法作业。</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（5）施工现场禁止搅拌混凝土、沙浆。水泥、石灰粉等建筑材料应存放在库房 内或者严密遮盖。沙、石、土方等散体材料应集中堆放且覆盖。场内装卸、搬倒物料应遮盖、封闭或洒水，不得凌空抛掷、抛撒。</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（6）物料管理：建筑材料定点堆存，在天气干燥，风速大于6m/s时，施工现场地面、道路及各扬尘点每天定时洒水抑尘，洒水对抑制扬尘具有显著作用，可将扬尘量降低28～35%。</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（7）施工现场应保持整洁，施工主要道路、加工区必须做成混凝土地面，并满 足车辆行驶要求。其他部位可采用不同的硬化措施，但现场地面应平整坚实，不得产生泥土和扬尘。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（8）运输扬尘的控制：在施工现场出入口的道路应进行硬化，可采用石渣铺路。 对运输车辆要保持整洁，防止车辆轮胎夹带泥土。在无雨干燥天气、运输高峰时段，应对施工道路适时洒水降尘。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（9）针对距本项目较近的村庄，评价建议施工时应合理布置机械位置，禁止大风天气施工；针对居民点设置针对性围挡，运输车辆应密闭路过村庄时应减速慢行，降低施工扬尘对周边居民的影响。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同时，在项目建设过程中，当地环境管理部门依照国家有关建设项目环境监理工作程序对其施工过程进行环境监理。在采取适当措施后，拟建工程施工期对周围环境影响较小。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2、场外材料运输扬尘污染防治措施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（1）建筑施工现场出入口必须设置车辆冲洗池和定型化车辆自动冲洗装置，运输车辆驶出工地前，应对车轮、车身、车槽帮等部位进行清理或清洗以保证车辆清洁上路；施工场所车辆入口和出口 30m 以内的路面上不应有明显泥印，以及砂石、灰土等易扬尘物料。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（2）运载建筑材料以及建筑垃圾的车辆要加盖蓬布减少散落，做到运输密闭化；运输车辆行使路线应避免穿越城市中心区，尽量避开居民点和环境敏感点。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（3）应选用车况较好的车辆，以避免因车辆本身振动而造成土方或物料散落地面，从而产生扬尘污染。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（4）车辆限速：建议行驶车速不大于 5km/h ，据资料显示：此时的扬尘量可减少为一般行驶速度（10km/h计）情况下的1/2。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（5）运输时间应选在人流较小的时间段，避开市区交通高峰期。</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（6）项目承包者应严格按照渣土管理有关规定，运输车辆不得超载，被运渣土不得含水太多，造成沿途泥浆滴漏，从而影响城市道路整洁，渣土必须及时清运并 按照制定的运输路线行驶，运往制定的倾倒地点，以减少由于渣土产生的扬尘对环境空气质量的影响。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项目施工单位需严格落实以上措施，施工过程中做到“施工文明化、运输密闭化、进出冲洗化、物料覆盖化、场地全硬化、工地围档化" 的要求，建筑施工过程全面达到防扬尘标准，并做好周围居民的安抚工作，一旦出现扰民现象，须立即停止施工，并及时与周围居民进行沟通，尽量将施工扬尘的影响降至最</w:t>
      </w:r>
      <w:r>
        <w:rPr>
          <w:rFonts w:hint="eastAsia" w:ascii="Times New Roman" w:hAnsi="Times New Roman" w:eastAsia="宋体" w:cs="Times New Roman"/>
          <w:sz w:val="24"/>
          <w:szCs w:val="24"/>
          <w:lang w:eastAsia="zh-CN"/>
        </w:rPr>
        <w:t>小</w:t>
      </w:r>
      <w:r>
        <w:rPr>
          <w:rFonts w:hint="default" w:ascii="Times New Roman" w:hAnsi="Times New Roman" w:eastAsia="宋体"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（二）机械及运输车辆燃油废气污染防治措施分析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施工阶段运输车辆会产生一定量的燃油尾气，废气污染物为 CO、NOx、THC 等， 由于车辆为非连续行驶状态，污染物排放时间及排放量相对较少，汽车尾气通过当地风力扩散后对周围环境影响不大。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建设方施工场地内的运输车辆应禁止超载，不得使用劣质燃料；对车辆的尾气 排放应进行监督管理。严格执行汽车监管办法的相关规定，避免排放黑烟，同时要注意车辆的维修与维护，使其保证在良好的状态下工作，以减小汽车尾气的排放量。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（三）食堂废气污染防治措施分析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施工期因在驻地内设简易食堂供建筑工人就餐，因此会有少量饮食油烟及燃料 废气产生。食堂燃料使用石油液化气，为清洁能源，污染物产生量较少。在简易食 堂内安装抽油烟机，燃料废气与油烟废气一起经抽油烟机引至室外房顶排放，对周围环境空气质量影响很小。</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同时，在项目建设过程中，当地环境管理部门依照国家有关建设项目环境监理工作程序对其施工过程进行环境监理。在采取适当措施后，拟建工程施工期对周围环境影响较小。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楷体" w:hAnsi="楷体" w:eastAsia="楷体" w:cs="楷体"/>
          <w:b w:val="0"/>
          <w:bCs w:val="0"/>
          <w:sz w:val="28"/>
          <w:szCs w:val="28"/>
        </w:rPr>
      </w:pPr>
      <w:bookmarkStart w:id="430" w:name="bookmark106"/>
      <w:bookmarkEnd w:id="430"/>
      <w:r>
        <w:rPr>
          <w:rFonts w:hint="eastAsia" w:ascii="楷体" w:hAnsi="楷体" w:eastAsia="楷体" w:cs="楷体"/>
          <w:b w:val="0"/>
          <w:bCs w:val="0"/>
          <w:sz w:val="28"/>
          <w:szCs w:val="28"/>
        </w:rPr>
        <w:t>6.1.3 施工期噪声污染防治措施分析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项目施工期噪声主要来源于施工机械噪声和运输车辆噪声。在施工过程中，由于各种施工机械设备的运转和各类车辆的运行，不可避免地将产生噪声污染。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为减轻施工期噪声对周边居民的影响，要求建设单位在施工期采取以下相应措施：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首先从噪声源强进行控制：建设单位在与施工单位签订合同时，应要求其使用的主要机械设备为低噪声设备作为合同内容的一部分。尽量选低噪声液压施工机械替代气压机械。如采用液压挖掘机；不使用汽锤打桩机。采用长螺旋钻机；使用商品混凝土，不使用混凝土搅拌机。同时，高噪声设备合理布局，尽量布置于施工场地</w:t>
      </w:r>
      <w:r>
        <w:rPr>
          <w:rFonts w:hint="eastAsia" w:ascii="Times New Roman" w:hAnsi="Times New Roman" w:eastAsia="宋体" w:cs="Times New Roman"/>
          <w:sz w:val="24"/>
          <w:szCs w:val="24"/>
          <w:lang w:eastAsia="zh-CN"/>
        </w:rPr>
        <w:t>东</w:t>
      </w:r>
      <w:r>
        <w:rPr>
          <w:rFonts w:hint="default" w:ascii="Times New Roman" w:hAnsi="Times New Roman" w:eastAsia="宋体" w:cs="Times New Roman"/>
          <w:sz w:val="24"/>
          <w:szCs w:val="24"/>
        </w:rPr>
        <w:t>侧，在高噪声设备周围设置屏障减轻噪声对周围环境的影响，控制施工场界噪声不超过《建筑施工场界环境噪声排放标准》（GB12523-2011）。</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在施工过程中施工单位应设专人对设备进行定期保养和维护，并负责对现场工作人员进行培训，严格按操作规范使用各类机械对动力机械设备定期进行维修和养护，避免因松动部件振动或消声器损坏而加大设备工作时的声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③合理布置施工现场，应尽量避免在施工现场的同一地点安排大量的高噪声设备，造成局部声级过高。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④将有固定工作地点的施工机械尽量设置在</w:t>
      </w:r>
      <w:r>
        <w:rPr>
          <w:rFonts w:hint="eastAsia" w:ascii="Times New Roman" w:hAnsi="Times New Roman" w:eastAsia="宋体" w:cs="Times New Roman"/>
          <w:sz w:val="24"/>
          <w:szCs w:val="24"/>
          <w:lang w:eastAsia="zh-CN"/>
        </w:rPr>
        <w:t>场地中间</w:t>
      </w:r>
      <w:r>
        <w:rPr>
          <w:rFonts w:hint="default" w:ascii="Times New Roman" w:hAnsi="Times New Roman" w:eastAsia="宋体" w:cs="Times New Roman"/>
          <w:sz w:val="24"/>
          <w:szCs w:val="24"/>
        </w:rPr>
        <w:t>位置，同时尽量将其入棚操作，可适当建立声屏障，施工场地四周建2.5m高的围挡。</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⑤闲置不用的设备应立即关闭，运输车辆进入现场应减速慢行，并禁止各种车 辆在施工场地鸣笛、超载，施工现场设置限速、禁止鸣笛、超载的标志牌；禁止用哨子、高音喇叭等指挥作业，减少人为噪声。同时，合理安排施工过程，不得在午间12时至14时和夜间22时至次日6时从事打桩、搅拌或浇注混凝土等高噪声作业，夜间禁止使用高噪设备，若必须夜间施工时，须先向环保部门申报并征得许可，同时事先通知周围居民，以取得谅解。</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⑥产生振动的大型设备的底座安装减振器，通过基础减振来降低噪声影响。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⑦安装局部隔声罩和部分吸声结构，以降低高噪声设备噪声传播的强度，并通过车间隔声来降低噪声传播的强度。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⑧完善生态绿地系统，建设噪声防护绿带，在临近道路侧加强绿化植树，建设护林带，建筑物积极进行垂直绿化，减少施工期噪声对周围环境的影响。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⑨建设单位应将施工噪声控制纳入施工承包内容，并在施工和工程监理过程中 设置专门管理小组，专人负责管理，以确保噪声措施的实施。同时，经常派专人对 施工人员进行环保法制宣传，保证施工单位严格遵守环评提出的环保要求，加强现场科学管理，做好施工人员的环境保护意识，提倡文明施工，降低人为因素造成的施工噪声加重。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施工单位要对现场施工人员进行严格管理，做到文明施工，将施工期噪声影响降到最低限度。同时安排专人负责对周围居民进行沟通调节工作，一旦发生噪声扰 民现象应立即停止施工，并做好调解解释工作。尽量减少施工噪声对周围居民的影 响，施工期的影响是暂时的，随着施工期的结束而消失，采取以上措施，其影响在可接受的范围内。</w:t>
      </w:r>
    </w:p>
    <w:p>
      <w:pPr>
        <w:keepNext w:val="0"/>
        <w:keepLines w:val="0"/>
        <w:pageBreakBefore w:val="0"/>
        <w:widowControl/>
        <w:kinsoku w:val="0"/>
        <w:wordWrap/>
        <w:overflowPunct/>
        <w:topLinePunct w:val="0"/>
        <w:autoSpaceDE w:val="0"/>
        <w:autoSpaceDN w:val="0"/>
        <w:bidi w:val="0"/>
        <w:adjustRightInd w:val="0"/>
        <w:snapToGrid w:val="0"/>
        <w:spacing w:before="54" w:line="360" w:lineRule="auto"/>
        <w:textAlignment w:val="baseline"/>
        <w:outlineLvl w:val="3"/>
        <w:rPr>
          <w:rFonts w:ascii="楷体" w:hAnsi="楷体" w:eastAsia="楷体" w:cs="楷体"/>
          <w:sz w:val="28"/>
          <w:szCs w:val="28"/>
        </w:rPr>
      </w:pPr>
      <w:r>
        <w:rPr>
          <w:rFonts w:ascii="Times New Roman" w:hAnsi="Times New Roman" w:eastAsia="Times New Roman" w:cs="Times New Roman"/>
          <w:spacing w:val="-1"/>
          <w:sz w:val="28"/>
          <w:szCs w:val="28"/>
        </w:rPr>
        <w:t xml:space="preserve">6.1.4  </w:t>
      </w:r>
      <w:r>
        <w:rPr>
          <w:rFonts w:ascii="楷体" w:hAnsi="楷体" w:eastAsia="楷体" w:cs="楷体"/>
          <w:spacing w:val="-1"/>
          <w:sz w:val="28"/>
          <w:szCs w:val="28"/>
        </w:rPr>
        <w:t>施工期固废污染防治措施分析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工程施工期固废主要是施工建筑垃圾及弃土，评价根据各种污染物排放特点及性质提出污染防治措施见表6-2。</w:t>
      </w:r>
    </w:p>
    <w:p>
      <w:pPr>
        <w:keepNext w:val="0"/>
        <w:keepLines w:val="0"/>
        <w:pageBreakBefore w:val="0"/>
        <w:widowControl/>
        <w:kinsoku w:val="0"/>
        <w:wordWrap/>
        <w:overflowPunct/>
        <w:topLinePunct w:val="0"/>
        <w:autoSpaceDE w:val="0"/>
        <w:autoSpaceDN w:val="0"/>
        <w:bidi w:val="0"/>
        <w:adjustRightInd w:val="0"/>
        <w:snapToGrid w:val="0"/>
        <w:spacing w:line="221" w:lineRule="auto"/>
        <w:ind w:left="2024"/>
        <w:textAlignment w:val="baseline"/>
      </w:pPr>
      <w:r>
        <w:rPr>
          <w:rFonts w:ascii="宋体" w:hAnsi="宋体" w:eastAsia="宋体" w:cs="宋体"/>
          <w:sz w:val="24"/>
          <w:szCs w:val="24"/>
          <w:highlight w:val="none"/>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highlight w:val="none"/>
        </w:rPr>
        <w:t xml:space="preserve">6-2    </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施工期固废染防治</w:t>
      </w:r>
      <w:r>
        <w:rPr>
          <w:rFonts w:ascii="宋体" w:hAnsi="宋体" w:eastAsia="宋体" w:cs="宋体"/>
          <w:spacing w:val="-1"/>
          <w:sz w:val="24"/>
          <w:szCs w:val="24"/>
          <w14:textOutline w14:w="4358" w14:cap="sq" w14:cmpd="sng">
            <w14:solidFill>
              <w14:srgbClr w14:val="000000"/>
            </w14:solidFill>
            <w14:prstDash w14:val="solid"/>
            <w14:bevel/>
          </w14:textOutline>
        </w:rPr>
        <w:t>措施一览表</w:t>
      </w:r>
    </w:p>
    <w:tbl>
      <w:tblPr>
        <w:tblStyle w:val="24"/>
        <w:tblW w:w="8744"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2940"/>
        <w:gridCol w:w="3013"/>
        <w:gridCol w:w="208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03" w:type="dxa"/>
            <w:tcBorders>
              <w:tl2br w:val="nil"/>
              <w:tr2bl w:val="nil"/>
            </w:tcBorders>
            <w:vAlign w:val="top"/>
          </w:tcPr>
          <w:p>
            <w:pPr>
              <w:pStyle w:val="25"/>
              <w:spacing w:before="97" w:line="229" w:lineRule="auto"/>
              <w:ind w:left="144"/>
            </w:pPr>
            <w:r>
              <w:rPr>
                <w:spacing w:val="6"/>
                <w14:textOutline w14:w="3795" w14:cap="sq" w14:cmpd="sng">
                  <w14:solidFill>
                    <w14:srgbClr w14:val="000000"/>
                  </w14:solidFill>
                  <w14:prstDash w14:val="solid"/>
                  <w14:bevel/>
                </w14:textOutline>
              </w:rPr>
              <w:t>序号</w:t>
            </w:r>
          </w:p>
        </w:tc>
        <w:tc>
          <w:tcPr>
            <w:tcW w:w="2940" w:type="dxa"/>
            <w:tcBorders>
              <w:tl2br w:val="nil"/>
              <w:tr2bl w:val="nil"/>
            </w:tcBorders>
            <w:vAlign w:val="top"/>
          </w:tcPr>
          <w:p>
            <w:pPr>
              <w:pStyle w:val="25"/>
              <w:spacing w:before="97" w:line="228" w:lineRule="auto"/>
              <w:ind w:left="843"/>
            </w:pPr>
            <w:r>
              <w:rPr>
                <w:spacing w:val="8"/>
                <w14:textOutline w14:w="3795" w14:cap="sq" w14:cmpd="sng">
                  <w14:solidFill>
                    <w14:srgbClr w14:val="000000"/>
                  </w14:solidFill>
                  <w14:prstDash w14:val="solid"/>
                  <w14:bevel/>
                </w14:textOutline>
              </w:rPr>
              <w:t>主要环境影响</w:t>
            </w:r>
          </w:p>
        </w:tc>
        <w:tc>
          <w:tcPr>
            <w:tcW w:w="3013" w:type="dxa"/>
            <w:tcBorders>
              <w:tl2br w:val="nil"/>
              <w:tr2bl w:val="nil"/>
            </w:tcBorders>
            <w:vAlign w:val="top"/>
          </w:tcPr>
          <w:p>
            <w:pPr>
              <w:pStyle w:val="25"/>
              <w:spacing w:before="97" w:line="228" w:lineRule="auto"/>
              <w:ind w:left="1091"/>
            </w:pPr>
            <w:r>
              <w:rPr>
                <w:spacing w:val="8"/>
                <w14:textOutline w14:w="3795" w14:cap="sq" w14:cmpd="sng">
                  <w14:solidFill>
                    <w14:srgbClr w14:val="000000"/>
                  </w14:solidFill>
                  <w14:prstDash w14:val="solid"/>
                  <w14:bevel/>
                </w14:textOutline>
              </w:rPr>
              <w:t>环保措施</w:t>
            </w:r>
          </w:p>
        </w:tc>
        <w:tc>
          <w:tcPr>
            <w:tcW w:w="2088" w:type="dxa"/>
            <w:tcBorders>
              <w:tl2br w:val="nil"/>
              <w:tr2bl w:val="nil"/>
            </w:tcBorders>
            <w:vAlign w:val="top"/>
          </w:tcPr>
          <w:p>
            <w:pPr>
              <w:pStyle w:val="25"/>
              <w:spacing w:before="97" w:line="228" w:lineRule="auto"/>
              <w:ind w:left="843"/>
            </w:pPr>
            <w:r>
              <w:rPr>
                <w:spacing w:val="3"/>
                <w14:textOutline w14:w="3795" w14:cap="sq" w14:cmpd="sng">
                  <w14:solidFill>
                    <w14:srgbClr w14:val="000000"/>
                  </w14:solidFill>
                  <w14:prstDash w14:val="solid"/>
                  <w14:bevel/>
                </w14:textOutline>
              </w:rPr>
              <w:t>效益</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703" w:type="dxa"/>
            <w:tcBorders>
              <w:tl2br w:val="nil"/>
              <w:tr2bl w:val="nil"/>
            </w:tcBorders>
            <w:vAlign w:val="top"/>
          </w:tcPr>
          <w:p>
            <w:pPr>
              <w:spacing w:before="244"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40" w:type="dxa"/>
            <w:tcBorders>
              <w:tl2br w:val="nil"/>
              <w:tr2bl w:val="nil"/>
            </w:tcBorders>
            <w:vAlign w:val="top"/>
          </w:tcPr>
          <w:p>
            <w:pPr>
              <w:pStyle w:val="25"/>
              <w:spacing w:before="53" w:line="257" w:lineRule="auto"/>
              <w:ind w:left="9" w:right="3" w:firstLine="1"/>
            </w:pPr>
            <w:r>
              <w:rPr>
                <w:spacing w:val="8"/>
              </w:rPr>
              <w:t>建筑垃圾遇风、雨、雪等恶劣天</w:t>
            </w:r>
            <w:r>
              <w:rPr>
                <w:spacing w:val="6"/>
              </w:rPr>
              <w:t xml:space="preserve"> </w:t>
            </w:r>
            <w:r>
              <w:rPr>
                <w:spacing w:val="8"/>
              </w:rPr>
              <w:t>气材料流失，对环境产生的影响</w:t>
            </w:r>
          </w:p>
        </w:tc>
        <w:tc>
          <w:tcPr>
            <w:tcW w:w="3013" w:type="dxa"/>
            <w:tcBorders>
              <w:tl2br w:val="nil"/>
              <w:tr2bl w:val="nil"/>
            </w:tcBorders>
            <w:vAlign w:val="top"/>
          </w:tcPr>
          <w:p>
            <w:pPr>
              <w:pStyle w:val="25"/>
              <w:spacing w:before="51" w:line="258" w:lineRule="auto"/>
              <w:ind w:left="584" w:right="35" w:hanging="539"/>
            </w:pPr>
            <w:r>
              <w:rPr>
                <w:spacing w:val="9"/>
              </w:rPr>
              <w:t>建筑垃圾集中堆存，堆场加防尘</w:t>
            </w:r>
            <w:r>
              <w:t xml:space="preserve"> </w:t>
            </w:r>
            <w:r>
              <w:rPr>
                <w:spacing w:val="7"/>
              </w:rPr>
              <w:t>网覆盖，并及时清运</w:t>
            </w:r>
          </w:p>
        </w:tc>
        <w:tc>
          <w:tcPr>
            <w:tcW w:w="2088" w:type="dxa"/>
            <w:tcBorders>
              <w:tl2br w:val="nil"/>
              <w:tr2bl w:val="nil"/>
            </w:tcBorders>
            <w:vAlign w:val="top"/>
          </w:tcPr>
          <w:p>
            <w:pPr>
              <w:pStyle w:val="25"/>
              <w:spacing w:before="52" w:line="258" w:lineRule="auto"/>
              <w:ind w:left="523" w:right="98" w:hanging="421"/>
            </w:pPr>
            <w:r>
              <w:rPr>
                <w:spacing w:val="9"/>
              </w:rPr>
              <w:t>避免建筑垃圾流失对</w:t>
            </w:r>
            <w:r>
              <w:t xml:space="preserve"> </w:t>
            </w:r>
            <w:r>
              <w:rPr>
                <w:spacing w:val="8"/>
              </w:rPr>
              <w:t>环境的影响</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2" w:hRule="atLeast"/>
        </w:trPr>
        <w:tc>
          <w:tcPr>
            <w:tcW w:w="703" w:type="dxa"/>
            <w:tcBorders>
              <w:tl2br w:val="nil"/>
              <w:tr2bl w:val="nil"/>
            </w:tcBorders>
            <w:vAlign w:val="top"/>
          </w:tcPr>
          <w:p>
            <w:pPr>
              <w:spacing w:before="245"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40" w:type="dxa"/>
            <w:tcBorders>
              <w:tl2br w:val="nil"/>
              <w:tr2bl w:val="nil"/>
            </w:tcBorders>
            <w:vAlign w:val="top"/>
          </w:tcPr>
          <w:p>
            <w:pPr>
              <w:pStyle w:val="25"/>
              <w:spacing w:before="209" w:line="228" w:lineRule="auto"/>
              <w:ind w:left="529"/>
            </w:pPr>
            <w:r>
              <w:rPr>
                <w:spacing w:val="9"/>
              </w:rPr>
              <w:t>施工废弃物排放占地</w:t>
            </w:r>
          </w:p>
        </w:tc>
        <w:tc>
          <w:tcPr>
            <w:tcW w:w="3013" w:type="dxa"/>
            <w:tcBorders>
              <w:tl2br w:val="nil"/>
              <w:tr2bl w:val="nil"/>
            </w:tcBorders>
            <w:vAlign w:val="top"/>
          </w:tcPr>
          <w:p>
            <w:pPr>
              <w:pStyle w:val="25"/>
              <w:spacing w:before="53" w:line="258" w:lineRule="auto"/>
              <w:ind w:left="356" w:right="35" w:hanging="315"/>
            </w:pPr>
            <w:r>
              <w:rPr>
                <w:spacing w:val="9"/>
              </w:rPr>
              <w:t>施工废弃物及时清除，就近拉至</w:t>
            </w:r>
            <w:r>
              <w:rPr>
                <w:spacing w:val="3"/>
              </w:rPr>
              <w:t xml:space="preserve"> </w:t>
            </w:r>
            <w:r>
              <w:rPr>
                <w:spacing w:val="9"/>
              </w:rPr>
              <w:t>城市垃圾卫生填埋场处置</w:t>
            </w:r>
          </w:p>
        </w:tc>
        <w:tc>
          <w:tcPr>
            <w:tcW w:w="2088" w:type="dxa"/>
            <w:tcBorders>
              <w:tl2br w:val="nil"/>
              <w:tr2bl w:val="nil"/>
            </w:tcBorders>
            <w:vAlign w:val="top"/>
          </w:tcPr>
          <w:p>
            <w:pPr>
              <w:pStyle w:val="25"/>
              <w:spacing w:before="54" w:line="258" w:lineRule="auto"/>
              <w:ind w:left="524" w:right="98" w:hanging="420"/>
            </w:pPr>
            <w:r>
              <w:rPr>
                <w:spacing w:val="8"/>
              </w:rPr>
              <w:t>减少废弃物占地对生</w:t>
            </w:r>
            <w:r>
              <w:rPr>
                <w:spacing w:val="7"/>
              </w:rPr>
              <w:t xml:space="preserve"> </w:t>
            </w:r>
            <w:r>
              <w:rPr>
                <w:spacing w:val="8"/>
              </w:rPr>
              <w:t>态环境影响</w:t>
            </w:r>
          </w:p>
        </w:tc>
      </w:tr>
    </w:tbl>
    <w:p>
      <w:pPr>
        <w:spacing w:before="269" w:line="225" w:lineRule="auto"/>
        <w:outlineLvl w:val="3"/>
        <w:rPr>
          <w:rFonts w:ascii="楷体" w:hAnsi="楷体" w:eastAsia="楷体" w:cs="楷体"/>
          <w:sz w:val="28"/>
          <w:szCs w:val="28"/>
        </w:rPr>
      </w:pPr>
      <w:bookmarkStart w:id="431" w:name="bookmark108"/>
      <w:bookmarkEnd w:id="431"/>
      <w:r>
        <w:rPr>
          <w:rFonts w:ascii="Times New Roman" w:hAnsi="Times New Roman" w:eastAsia="Times New Roman" w:cs="Times New Roman"/>
          <w:spacing w:val="-1"/>
          <w:sz w:val="28"/>
          <w:szCs w:val="28"/>
        </w:rPr>
        <w:t xml:space="preserve">6.1.5  </w:t>
      </w:r>
      <w:r>
        <w:rPr>
          <w:rFonts w:ascii="楷体" w:hAnsi="楷体" w:eastAsia="楷体" w:cs="楷体"/>
          <w:spacing w:val="-1"/>
          <w:sz w:val="28"/>
          <w:szCs w:val="28"/>
        </w:rPr>
        <w:t>施工期生态防治措施分析</w:t>
      </w:r>
    </w:p>
    <w:p>
      <w:pPr>
        <w:spacing w:before="226" w:line="219" w:lineRule="auto"/>
        <w:ind w:left="500"/>
        <w:rPr>
          <w:rFonts w:ascii="宋体" w:hAnsi="宋体" w:eastAsia="宋体" w:cs="宋体"/>
          <w:sz w:val="24"/>
          <w:szCs w:val="24"/>
          <w:u w:val="single"/>
        </w:rPr>
      </w:pPr>
      <w:r>
        <w:rPr>
          <w:rFonts w:ascii="宋体" w:hAnsi="宋体" w:eastAsia="宋体" w:cs="宋体"/>
          <w:spacing w:val="-2"/>
          <w:sz w:val="24"/>
          <w:szCs w:val="24"/>
          <w:u w:val="single"/>
        </w:rPr>
        <w:t>本项目施工期水土流失防治措施见表</w:t>
      </w:r>
      <w:r>
        <w:rPr>
          <w:rFonts w:ascii="Times New Roman" w:hAnsi="Times New Roman" w:eastAsia="Times New Roman" w:cs="Times New Roman"/>
          <w:spacing w:val="-2"/>
          <w:sz w:val="24"/>
          <w:szCs w:val="24"/>
          <w:u w:val="single"/>
        </w:rPr>
        <w:t>6-3</w:t>
      </w:r>
      <w:r>
        <w:rPr>
          <w:rFonts w:ascii="宋体" w:hAnsi="宋体" w:eastAsia="宋体" w:cs="宋体"/>
          <w:spacing w:val="-2"/>
          <w:sz w:val="24"/>
          <w:szCs w:val="24"/>
          <w:u w:val="single"/>
        </w:rPr>
        <w:t>。</w:t>
      </w:r>
    </w:p>
    <w:p>
      <w:pPr>
        <w:spacing w:before="216" w:line="219" w:lineRule="auto"/>
        <w:ind w:left="1905"/>
      </w:pPr>
      <w:r>
        <w:rPr>
          <w:rFonts w:ascii="宋体" w:hAnsi="宋体" w:eastAsia="宋体" w:cs="宋体"/>
          <w:sz w:val="24"/>
          <w:szCs w:val="24"/>
          <w:highlight w:val="none"/>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highlight w:val="none"/>
        </w:rPr>
        <w:t xml:space="preserve">6-3  </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施工期水土流失防治</w:t>
      </w:r>
      <w:r>
        <w:rPr>
          <w:rFonts w:ascii="宋体" w:hAnsi="宋体" w:eastAsia="宋体" w:cs="宋体"/>
          <w:spacing w:val="-1"/>
          <w:sz w:val="24"/>
          <w:szCs w:val="24"/>
          <w14:textOutline w14:w="4358" w14:cap="sq" w14:cmpd="sng">
            <w14:solidFill>
              <w14:srgbClr w14:val="000000"/>
            </w14:solidFill>
            <w14:prstDash w14:val="solid"/>
            <w14:bevel/>
          </w14:textOutline>
        </w:rPr>
        <w:t>措施一览表</w:t>
      </w:r>
    </w:p>
    <w:tbl>
      <w:tblPr>
        <w:tblStyle w:val="24"/>
        <w:tblW w:w="8698" w:type="dxa"/>
        <w:tblInd w:w="25"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2288"/>
        <w:gridCol w:w="4108"/>
        <w:gridCol w:w="157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29" w:type="dxa"/>
            <w:tcBorders>
              <w:tl2br w:val="nil"/>
              <w:tr2bl w:val="nil"/>
            </w:tcBorders>
            <w:vAlign w:val="top"/>
          </w:tcPr>
          <w:p>
            <w:pPr>
              <w:pStyle w:val="25"/>
              <w:spacing w:before="97" w:line="229" w:lineRule="auto"/>
              <w:ind w:left="157"/>
            </w:pPr>
            <w:r>
              <w:rPr>
                <w:spacing w:val="6"/>
                <w14:textOutline w14:w="3795" w14:cap="sq" w14:cmpd="sng">
                  <w14:solidFill>
                    <w14:srgbClr w14:val="000000"/>
                  </w14:solidFill>
                  <w14:prstDash w14:val="solid"/>
                  <w14:bevel/>
                </w14:textOutline>
              </w:rPr>
              <w:t>序号</w:t>
            </w:r>
          </w:p>
        </w:tc>
        <w:tc>
          <w:tcPr>
            <w:tcW w:w="2288" w:type="dxa"/>
            <w:tcBorders>
              <w:tl2br w:val="nil"/>
              <w:tr2bl w:val="nil"/>
            </w:tcBorders>
            <w:vAlign w:val="top"/>
          </w:tcPr>
          <w:p>
            <w:pPr>
              <w:pStyle w:val="25"/>
              <w:spacing w:before="98" w:line="228" w:lineRule="auto"/>
              <w:ind w:left="518"/>
            </w:pPr>
            <w:r>
              <w:rPr>
                <w:spacing w:val="8"/>
                <w14:textOutline w14:w="3795" w14:cap="sq" w14:cmpd="sng">
                  <w14:solidFill>
                    <w14:srgbClr w14:val="000000"/>
                  </w14:solidFill>
                  <w14:prstDash w14:val="solid"/>
                  <w14:bevel/>
                </w14:textOutline>
              </w:rPr>
              <w:t>主要环境影响</w:t>
            </w:r>
          </w:p>
        </w:tc>
        <w:tc>
          <w:tcPr>
            <w:tcW w:w="4108" w:type="dxa"/>
            <w:tcBorders>
              <w:tl2br w:val="nil"/>
              <w:tr2bl w:val="nil"/>
            </w:tcBorders>
            <w:vAlign w:val="top"/>
          </w:tcPr>
          <w:p>
            <w:pPr>
              <w:pStyle w:val="25"/>
              <w:spacing w:before="98" w:line="228" w:lineRule="auto"/>
              <w:ind w:left="1639"/>
            </w:pPr>
            <w:r>
              <w:rPr>
                <w:spacing w:val="8"/>
                <w14:textOutline w14:w="3795" w14:cap="sq" w14:cmpd="sng">
                  <w14:solidFill>
                    <w14:srgbClr w14:val="000000"/>
                  </w14:solidFill>
                  <w14:prstDash w14:val="solid"/>
                  <w14:bevel/>
                </w14:textOutline>
              </w:rPr>
              <w:t>环保措施</w:t>
            </w:r>
          </w:p>
        </w:tc>
        <w:tc>
          <w:tcPr>
            <w:tcW w:w="1573" w:type="dxa"/>
            <w:tcBorders>
              <w:tl2br w:val="nil"/>
              <w:tr2bl w:val="nil"/>
            </w:tcBorders>
            <w:vAlign w:val="top"/>
          </w:tcPr>
          <w:p>
            <w:pPr>
              <w:pStyle w:val="25"/>
              <w:spacing w:before="98" w:line="228" w:lineRule="auto"/>
              <w:ind w:left="586"/>
            </w:pPr>
            <w:r>
              <w:rPr>
                <w:spacing w:val="3"/>
                <w14:textOutline w14:w="3795" w14:cap="sq" w14:cmpd="sng">
                  <w14:solidFill>
                    <w14:srgbClr w14:val="000000"/>
                  </w14:solidFill>
                  <w14:prstDash w14:val="solid"/>
                  <w14:bevel/>
                </w14:textOutline>
              </w:rPr>
              <w:t>效益</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566" w:hRule="atLeast"/>
        </w:trPr>
        <w:tc>
          <w:tcPr>
            <w:tcW w:w="729" w:type="dxa"/>
            <w:tcBorders>
              <w:tl2br w:val="nil"/>
              <w:tr2bl w:val="nil"/>
            </w:tcBorders>
            <w:vAlign w:val="top"/>
          </w:tcPr>
          <w:p>
            <w:pPr>
              <w:spacing w:line="325" w:lineRule="auto"/>
              <w:rPr>
                <w:rFonts w:ascii="Arial"/>
                <w:sz w:val="21"/>
              </w:rPr>
            </w:pPr>
          </w:p>
          <w:p>
            <w:pPr>
              <w:spacing w:line="325" w:lineRule="auto"/>
              <w:rPr>
                <w:rFonts w:ascii="Arial"/>
                <w:sz w:val="21"/>
              </w:rPr>
            </w:pPr>
          </w:p>
          <w:p>
            <w:pPr>
              <w:spacing w:before="5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88" w:type="dxa"/>
            <w:tcBorders>
              <w:tl2br w:val="nil"/>
              <w:tr2bl w:val="nil"/>
            </w:tcBorders>
            <w:vAlign w:val="top"/>
          </w:tcPr>
          <w:p>
            <w:pPr>
              <w:spacing w:line="452" w:lineRule="auto"/>
              <w:rPr>
                <w:rFonts w:ascii="Arial"/>
                <w:sz w:val="21"/>
              </w:rPr>
            </w:pPr>
          </w:p>
          <w:p>
            <w:pPr>
              <w:pStyle w:val="25"/>
              <w:spacing w:before="65" w:line="258" w:lineRule="auto"/>
              <w:ind w:left="102" w:right="5" w:hanging="91"/>
            </w:pPr>
            <w:r>
              <w:rPr>
                <w:spacing w:val="6"/>
              </w:rPr>
              <w:t>项目的建设开挖，植被受</w:t>
            </w:r>
            <w:r>
              <w:t xml:space="preserve"> </w:t>
            </w:r>
            <w:r>
              <w:rPr>
                <w:spacing w:val="8"/>
              </w:rPr>
              <w:t>到破坏，造成水土流失</w:t>
            </w:r>
          </w:p>
        </w:tc>
        <w:tc>
          <w:tcPr>
            <w:tcW w:w="4108" w:type="dxa"/>
            <w:tcBorders>
              <w:tl2br w:val="nil"/>
              <w:tr2bl w:val="nil"/>
            </w:tcBorders>
            <w:vAlign w:val="top"/>
          </w:tcPr>
          <w:p>
            <w:pPr>
              <w:pStyle w:val="25"/>
              <w:spacing w:before="52" w:line="227" w:lineRule="auto"/>
              <w:ind w:left="8"/>
            </w:pPr>
            <w:r>
              <w:rPr>
                <w:spacing w:val="4"/>
              </w:rPr>
              <w:t>对于土质较好的地段，建议采用深挖、表土回</w:t>
            </w:r>
          </w:p>
          <w:p>
            <w:pPr>
              <w:pStyle w:val="25"/>
              <w:spacing w:before="65" w:line="228" w:lineRule="auto"/>
              <w:ind w:left="10"/>
            </w:pPr>
            <w:r>
              <w:rPr>
                <w:spacing w:val="4"/>
              </w:rPr>
              <w:t>覆的方式；对于砾石土，建议将石土分离，土</w:t>
            </w:r>
          </w:p>
          <w:p>
            <w:pPr>
              <w:pStyle w:val="25"/>
              <w:spacing w:before="65" w:line="228" w:lineRule="auto"/>
              <w:ind w:left="9"/>
            </w:pPr>
            <w:r>
              <w:rPr>
                <w:spacing w:val="4"/>
              </w:rPr>
              <w:t>层覆于地表，易与植被恢复。尽量避开农作物</w:t>
            </w:r>
          </w:p>
          <w:p>
            <w:pPr>
              <w:pStyle w:val="25"/>
              <w:spacing w:before="64" w:line="228" w:lineRule="auto"/>
              <w:ind w:left="11"/>
            </w:pPr>
            <w:r>
              <w:rPr>
                <w:spacing w:val="4"/>
              </w:rPr>
              <w:t>生长季节施工，最大限度减少农作物产量。应</w:t>
            </w:r>
          </w:p>
          <w:p>
            <w:pPr>
              <w:pStyle w:val="25"/>
              <w:spacing w:before="65" w:line="227" w:lineRule="auto"/>
              <w:ind w:left="272"/>
            </w:pPr>
            <w:r>
              <w:rPr>
                <w:spacing w:val="9"/>
              </w:rPr>
              <w:t>避开风季、暴雨季施工，减少水土流失</w:t>
            </w:r>
          </w:p>
        </w:tc>
        <w:tc>
          <w:tcPr>
            <w:tcW w:w="1573" w:type="dxa"/>
            <w:tcBorders>
              <w:tl2br w:val="nil"/>
              <w:tr2bl w:val="nil"/>
            </w:tcBorders>
            <w:vAlign w:val="top"/>
          </w:tcPr>
          <w:p>
            <w:pPr>
              <w:spacing w:line="297" w:lineRule="auto"/>
              <w:rPr>
                <w:rFonts w:ascii="Arial"/>
                <w:sz w:val="21"/>
              </w:rPr>
            </w:pPr>
          </w:p>
          <w:p>
            <w:pPr>
              <w:pStyle w:val="25"/>
              <w:spacing w:before="65" w:line="228" w:lineRule="auto"/>
              <w:ind w:left="64"/>
            </w:pPr>
            <w:r>
              <w:rPr>
                <w:spacing w:val="7"/>
              </w:rPr>
              <w:t>能够有效减轻项</w:t>
            </w:r>
          </w:p>
          <w:p>
            <w:pPr>
              <w:pStyle w:val="25"/>
              <w:spacing w:before="65" w:line="228" w:lineRule="auto"/>
              <w:ind w:left="96"/>
            </w:pPr>
            <w:r>
              <w:rPr>
                <w:spacing w:val="2"/>
              </w:rPr>
              <w:t>目施工造成的水</w:t>
            </w:r>
          </w:p>
          <w:p>
            <w:pPr>
              <w:pStyle w:val="25"/>
              <w:spacing w:before="64" w:line="228" w:lineRule="auto"/>
              <w:ind w:left="268"/>
            </w:pPr>
            <w:r>
              <w:rPr>
                <w:spacing w:val="7"/>
              </w:rPr>
              <w:t>土流水影响</w:t>
            </w:r>
          </w:p>
        </w:tc>
      </w:tr>
    </w:tbl>
    <w:p>
      <w:pPr>
        <w:pStyle w:val="4"/>
        <w:bidi w:val="0"/>
      </w:pPr>
      <w:bookmarkStart w:id="432" w:name="bookmark109"/>
      <w:bookmarkEnd w:id="432"/>
      <w:bookmarkStart w:id="433" w:name="bookmark110"/>
      <w:bookmarkEnd w:id="433"/>
      <w:bookmarkStart w:id="434" w:name="bookmark107"/>
      <w:bookmarkEnd w:id="434"/>
      <w:bookmarkStart w:id="435" w:name="_Toc14141"/>
      <w:bookmarkStart w:id="436" w:name="_Toc1092"/>
      <w:r>
        <w:t>6.2营运期污染防治措施分析</w:t>
      </w:r>
      <w:bookmarkEnd w:id="435"/>
      <w:bookmarkEnd w:id="436"/>
    </w:p>
    <w:p>
      <w:pPr>
        <w:spacing w:before="91" w:line="225" w:lineRule="auto"/>
        <w:outlineLvl w:val="3"/>
        <w:rPr>
          <w:rFonts w:ascii="楷体" w:hAnsi="楷体" w:eastAsia="楷体" w:cs="楷体"/>
          <w:b/>
          <w:bCs/>
          <w:sz w:val="28"/>
          <w:szCs w:val="28"/>
        </w:rPr>
      </w:pPr>
      <w:r>
        <w:rPr>
          <w:rFonts w:ascii="Times New Roman" w:hAnsi="Times New Roman" w:eastAsia="Times New Roman" w:cs="Times New Roman"/>
          <w:b/>
          <w:bCs/>
          <w:spacing w:val="-3"/>
          <w:sz w:val="28"/>
          <w:szCs w:val="28"/>
        </w:rPr>
        <w:t>6.2.1</w:t>
      </w:r>
      <w:r>
        <w:rPr>
          <w:rFonts w:ascii="楷体" w:hAnsi="楷体" w:eastAsia="楷体" w:cs="楷体"/>
          <w:b/>
          <w:bCs/>
          <w:spacing w:val="-3"/>
          <w:sz w:val="28"/>
          <w:szCs w:val="28"/>
        </w:rPr>
        <w:t>营运期废气污染防治措施分析</w:t>
      </w:r>
    </w:p>
    <w:p>
      <w:pPr>
        <w:spacing w:before="226" w:line="219" w:lineRule="auto"/>
        <w:ind w:left="500"/>
        <w:rPr>
          <w:rFonts w:ascii="宋体" w:hAnsi="宋体" w:eastAsia="宋体" w:cs="宋体"/>
          <w:sz w:val="24"/>
          <w:szCs w:val="24"/>
        </w:rPr>
      </w:pPr>
      <w:r>
        <w:rPr>
          <w:rFonts w:ascii="宋体" w:hAnsi="宋体" w:eastAsia="宋体" w:cs="宋体"/>
          <w:spacing w:val="-1"/>
          <w:sz w:val="24"/>
          <w:szCs w:val="24"/>
        </w:rPr>
        <w:t>本项目运营期主要大气污染物为恶臭气体和食堂油烟废气。</w:t>
      </w:r>
    </w:p>
    <w:p>
      <w:pPr>
        <w:keepNext w:val="0"/>
        <w:keepLines w:val="0"/>
        <w:pageBreakBefore w:val="0"/>
        <w:widowControl/>
        <w:kinsoku w:val="0"/>
        <w:wordWrap/>
        <w:overflowPunct/>
        <w:topLinePunct w:val="0"/>
        <w:autoSpaceDE w:val="0"/>
        <w:autoSpaceDN w:val="0"/>
        <w:bidi w:val="0"/>
        <w:adjustRightInd w:val="0"/>
        <w:snapToGrid w:val="0"/>
        <w:spacing w:before="216" w:line="360" w:lineRule="auto"/>
        <w:ind w:left="510"/>
        <w:textAlignment w:val="baseline"/>
        <w:rPr>
          <w:rFonts w:ascii="宋体" w:hAnsi="宋体" w:eastAsia="宋体" w:cs="宋体"/>
          <w:spacing w:val="-3"/>
          <w:sz w:val="24"/>
          <w:szCs w:val="24"/>
          <w14:textOutline w14:w="4358" w14:cap="sq" w14:cmpd="sng">
            <w14:solidFill>
              <w14:srgbClr w14:val="000000"/>
            </w14:solidFill>
            <w14:prstDash w14:val="solid"/>
            <w14:bevel/>
          </w14:textOutline>
        </w:rPr>
      </w:pPr>
      <w:r>
        <w:rPr>
          <w:rFonts w:ascii="宋体" w:hAnsi="宋体" w:eastAsia="宋体" w:cs="宋体"/>
          <w:spacing w:val="-3"/>
          <w:sz w:val="24"/>
          <w:szCs w:val="24"/>
          <w14:textOutline w14:w="4358" w14:cap="sq" w14:cmpd="sng">
            <w14:solidFill>
              <w14:srgbClr w14:val="000000"/>
            </w14:solidFill>
            <w14:prstDash w14:val="solid"/>
            <w14:bevel/>
          </w14:textOutline>
        </w:rPr>
        <w:t>（一）恶臭气体</w:t>
      </w:r>
    </w:p>
    <w:p>
      <w:pPr>
        <w:keepNext w:val="0"/>
        <w:keepLines w:val="0"/>
        <w:pageBreakBefore w:val="0"/>
        <w:widowControl w:val="0"/>
        <w:kinsoku/>
        <w:wordWrap/>
        <w:overflowPunct/>
        <w:topLinePunct w:val="0"/>
        <w:autoSpaceDE w:val="0"/>
        <w:autoSpaceDN w:val="0"/>
        <w:bidi w:val="0"/>
        <w:adjustRightInd w:val="0"/>
        <w:snapToGrid w:val="0"/>
        <w:spacing w:before="78" w:line="401" w:lineRule="auto"/>
        <w:ind w:left="119" w:right="34" w:firstLine="482"/>
        <w:textAlignment w:val="baseline"/>
        <w:rPr>
          <w:rFonts w:ascii="宋体" w:hAnsi="宋体" w:eastAsia="宋体" w:cs="宋体"/>
          <w:sz w:val="24"/>
          <w:szCs w:val="24"/>
        </w:rPr>
      </w:pPr>
      <w:r>
        <w:rPr>
          <w:rFonts w:ascii="宋体" w:hAnsi="宋体" w:eastAsia="宋体" w:cs="宋体"/>
          <w:spacing w:val="3"/>
          <w:sz w:val="24"/>
          <w:szCs w:val="24"/>
        </w:rPr>
        <w:t>本项目待宰区、屠宰车间及污水处理站所产生的恶臭气体主要为氨、硫化氢、</w:t>
      </w:r>
      <w:r>
        <w:rPr>
          <w:rFonts w:ascii="宋体" w:hAnsi="宋体" w:eastAsia="宋体" w:cs="宋体"/>
          <w:spacing w:val="-2"/>
          <w:sz w:val="24"/>
          <w:szCs w:val="24"/>
        </w:rPr>
        <w:t>臭气浓度等，主要是待宰区粪便、屠宰间肠胃内容物及污水处理系</w:t>
      </w:r>
      <w:r>
        <w:rPr>
          <w:rFonts w:ascii="宋体" w:hAnsi="宋体" w:eastAsia="宋体" w:cs="宋体"/>
          <w:spacing w:val="-3"/>
          <w:sz w:val="24"/>
          <w:szCs w:val="24"/>
        </w:rPr>
        <w:t>统生物活动所致。</w:t>
      </w:r>
      <w:r>
        <w:rPr>
          <w:rFonts w:ascii="宋体" w:hAnsi="宋体" w:eastAsia="宋体" w:cs="宋体"/>
          <w:spacing w:val="2"/>
          <w:sz w:val="24"/>
          <w:szCs w:val="24"/>
        </w:rPr>
        <w:t>根据现阶段环保要求，并结合肉羊屠宰厂的实际生产情况，本评价建议将屠宰车间</w:t>
      </w:r>
      <w:r>
        <w:rPr>
          <w:rFonts w:ascii="宋体" w:hAnsi="宋体" w:eastAsia="宋体" w:cs="宋体"/>
          <w:sz w:val="24"/>
          <w:szCs w:val="24"/>
        </w:rPr>
        <w:t>和污水处理系统产生的恶臭气体集中收集进</w:t>
      </w:r>
      <w:r>
        <w:rPr>
          <w:rFonts w:ascii="宋体" w:hAnsi="宋体" w:eastAsia="宋体" w:cs="宋体"/>
          <w:spacing w:val="-1"/>
          <w:sz w:val="24"/>
          <w:szCs w:val="24"/>
        </w:rPr>
        <w:t>行净化处理后有组织排放。</w:t>
      </w:r>
    </w:p>
    <w:p>
      <w:pPr>
        <w:spacing w:before="236" w:line="219" w:lineRule="auto"/>
        <w:ind w:left="621"/>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、有组织恶臭气体处理措施</w:t>
      </w:r>
    </w:p>
    <w:p>
      <w:pPr>
        <w:spacing w:before="234" w:line="521" w:lineRule="exact"/>
        <w:ind w:left="648"/>
        <w:rPr>
          <w:rFonts w:ascii="宋体" w:hAnsi="宋体" w:eastAsia="宋体" w:cs="宋体"/>
          <w:sz w:val="24"/>
          <w:szCs w:val="24"/>
        </w:rPr>
      </w:pPr>
      <w:r>
        <w:rPr>
          <w:rFonts w:ascii="宋体" w:hAnsi="宋体" w:eastAsia="宋体" w:cs="宋体"/>
          <w:spacing w:val="-4"/>
          <w:position w:val="21"/>
          <w:sz w:val="24"/>
          <w:szCs w:val="24"/>
        </w:rPr>
        <w:t>目前对于恶臭气体处理较为的常用方法为燃烧法、</w:t>
      </w:r>
      <w:r>
        <w:rPr>
          <w:rFonts w:ascii="Times New Roman" w:hAnsi="Times New Roman" w:eastAsia="Times New Roman" w:cs="Times New Roman"/>
          <w:spacing w:val="-4"/>
          <w:position w:val="21"/>
          <w:sz w:val="24"/>
          <w:szCs w:val="24"/>
        </w:rPr>
        <w:t xml:space="preserve">UV </w:t>
      </w:r>
      <w:r>
        <w:rPr>
          <w:rFonts w:ascii="宋体" w:hAnsi="宋体" w:eastAsia="宋体" w:cs="宋体"/>
          <w:spacing w:val="-4"/>
          <w:position w:val="21"/>
          <w:sz w:val="24"/>
          <w:szCs w:val="24"/>
        </w:rPr>
        <w:t>光氧催化法、生物法和吸</w:t>
      </w:r>
    </w:p>
    <w:p>
      <w:pPr>
        <w:spacing w:line="217" w:lineRule="auto"/>
        <w:ind w:left="141"/>
        <w:rPr>
          <w:rFonts w:ascii="宋体" w:hAnsi="宋体" w:eastAsia="宋体" w:cs="宋体"/>
          <w:sz w:val="24"/>
          <w:szCs w:val="24"/>
        </w:rPr>
      </w:pPr>
      <w:r>
        <w:rPr>
          <w:rFonts w:ascii="宋体" w:hAnsi="宋体" w:eastAsia="宋体" w:cs="宋体"/>
          <w:spacing w:val="-2"/>
          <w:sz w:val="24"/>
          <w:szCs w:val="24"/>
        </w:rPr>
        <w:t>附法等。各处理方法的特点具体见表</w:t>
      </w:r>
      <w:r>
        <w:rPr>
          <w:rFonts w:ascii="Times New Roman" w:hAnsi="Times New Roman" w:eastAsia="Times New Roman" w:cs="Times New Roman"/>
          <w:spacing w:val="-2"/>
          <w:sz w:val="24"/>
          <w:szCs w:val="24"/>
        </w:rPr>
        <w:t>6-</w:t>
      </w:r>
      <w:r>
        <w:rPr>
          <w:rFonts w:hint="eastAsia" w:ascii="Times New Roman" w:hAnsi="Times New Roman" w:eastAsia="宋体" w:cs="Times New Roman"/>
          <w:spacing w:val="-2"/>
          <w:sz w:val="24"/>
          <w:szCs w:val="24"/>
          <w:lang w:val="en-US" w:eastAsia="zh-CN"/>
        </w:rPr>
        <w:t>4</w:t>
      </w:r>
      <w:r>
        <w:rPr>
          <w:rFonts w:ascii="宋体" w:hAnsi="宋体" w:eastAsia="宋体" w:cs="宋体"/>
          <w:spacing w:val="-2"/>
          <w:sz w:val="24"/>
          <w:szCs w:val="24"/>
        </w:rPr>
        <w:t>。</w:t>
      </w:r>
    </w:p>
    <w:p>
      <w:pPr>
        <w:spacing w:before="157" w:line="219" w:lineRule="auto"/>
        <w:ind w:left="2430"/>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6-</w:t>
      </w:r>
      <w:r>
        <w:rPr>
          <w:rFonts w:hint="eastAsia" w:ascii="Times New Roman" w:hAnsi="Times New Roman" w:eastAsia="宋体" w:cs="Times New Roman"/>
          <w:b/>
          <w:bCs/>
          <w:spacing w:val="-1"/>
          <w:sz w:val="24"/>
          <w:szCs w:val="24"/>
          <w:lang w:val="en-US" w:eastAsia="zh-CN"/>
        </w:rPr>
        <w:t>4</w:t>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常见的恶臭处理方法一览表</w:t>
      </w:r>
    </w:p>
    <w:tbl>
      <w:tblPr>
        <w:tblStyle w:val="24"/>
        <w:tblW w:w="8950"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889"/>
        <w:gridCol w:w="2923"/>
        <w:gridCol w:w="1982"/>
        <w:gridCol w:w="271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27"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14:textOutline w14:w="3795" w14:cap="sq" w14:cmpd="sng">
                  <w14:solidFill>
                    <w14:srgbClr w14:val="000000"/>
                  </w14:solidFill>
                  <w14:prstDash w14:val="solid"/>
                  <w14:bevel/>
                </w14:textOutline>
              </w:rPr>
              <w:t>处理方法</w:t>
            </w:r>
          </w:p>
        </w:tc>
        <w:tc>
          <w:tcPr>
            <w:tcW w:w="29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14:textOutline w14:w="3795" w14:cap="sq" w14:cmpd="sng">
                  <w14:solidFill>
                    <w14:srgbClr w14:val="000000"/>
                  </w14:solidFill>
                  <w14:prstDash w14:val="solid"/>
                  <w14:bevel/>
                </w14:textOutline>
              </w:rPr>
              <w:t>原理</w:t>
            </w:r>
          </w:p>
        </w:tc>
        <w:tc>
          <w:tcPr>
            <w:tcW w:w="19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优点</w:t>
            </w:r>
          </w:p>
        </w:tc>
        <w:tc>
          <w:tcPr>
            <w:tcW w:w="271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14:textOutline w14:w="3795" w14:cap="sq" w14:cmpd="sng">
                  <w14:solidFill>
                    <w14:srgbClr w14:val="000000"/>
                  </w14:solidFill>
                  <w14:prstDash w14:val="solid"/>
                  <w14:bevel/>
                </w14:textOutline>
              </w:rPr>
              <w:t>缺点</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38"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燃烧法</w:t>
            </w:r>
          </w:p>
        </w:tc>
        <w:tc>
          <w:tcPr>
            <w:tcW w:w="88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直接燃</w:t>
            </w:r>
            <w:r>
              <w:rPr>
                <w:spacing w:val="5"/>
              </w:rPr>
              <w:t>烧法</w:t>
            </w:r>
          </w:p>
        </w:tc>
        <w:tc>
          <w:tcPr>
            <w:tcW w:w="29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在</w:t>
            </w:r>
            <w:r>
              <w:rPr>
                <w:rFonts w:ascii="Times New Roman" w:hAnsi="Times New Roman" w:eastAsia="Times New Roman" w:cs="Times New Roman"/>
                <w:spacing w:val="6"/>
              </w:rPr>
              <w:t>600~800</w:t>
            </w:r>
            <w:r>
              <w:rPr>
                <w:spacing w:val="6"/>
              </w:rPr>
              <w:t>℃高温氧化</w:t>
            </w:r>
          </w:p>
        </w:tc>
        <w:tc>
          <w:tcPr>
            <w:tcW w:w="19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除臭彻底，适用范</w:t>
            </w:r>
            <w:r>
              <w:rPr>
                <w:spacing w:val="-5"/>
              </w:rPr>
              <w:t>围广</w:t>
            </w:r>
          </w:p>
        </w:tc>
        <w:tc>
          <w:tcPr>
            <w:tcW w:w="271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燃烧温度高，燃料消耗大，</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适合与垃圾焚烧等配套时</w:t>
            </w:r>
            <w:r>
              <w:rPr>
                <w:spacing w:val="5"/>
              </w:rPr>
              <w:t>采用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38"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88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催化燃</w:t>
            </w:r>
            <w:r>
              <w:rPr>
                <w:spacing w:val="1"/>
              </w:rPr>
              <w:t>烧</w:t>
            </w:r>
          </w:p>
        </w:tc>
        <w:tc>
          <w:tcPr>
            <w:tcW w:w="29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利用催化剂在较低温度下</w:t>
            </w:r>
            <w:r>
              <w:t xml:space="preserve"> </w:t>
            </w:r>
            <w:r>
              <w:rPr>
                <w:spacing w:val="4"/>
              </w:rPr>
              <w:t>（</w:t>
            </w:r>
            <w:r>
              <w:rPr>
                <w:rFonts w:ascii="Times New Roman" w:hAnsi="Times New Roman" w:eastAsia="Times New Roman" w:cs="Times New Roman"/>
                <w:spacing w:val="4"/>
              </w:rPr>
              <w:t>200~400</w:t>
            </w:r>
            <w:r>
              <w:rPr>
                <w:spacing w:val="4"/>
              </w:rPr>
              <w:t>℃)</w:t>
            </w:r>
            <w:r>
              <w:rPr>
                <w:spacing w:val="27"/>
              </w:rPr>
              <w:t xml:space="preserve"> </w:t>
            </w:r>
            <w:r>
              <w:rPr>
                <w:spacing w:val="4"/>
              </w:rPr>
              <w:t>氧化分解</w:t>
            </w:r>
          </w:p>
        </w:tc>
        <w:tc>
          <w:tcPr>
            <w:tcW w:w="19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可充分利用臭气中</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有机物质热值高的</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特点，解决高温燃</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烧带来的困难</w:t>
            </w:r>
          </w:p>
        </w:tc>
        <w:tc>
          <w:tcPr>
            <w:tcW w:w="271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仅适用高浓度、有机成分高</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的臭气。臭气成分复杂，对</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催化剂技术要求高，费用</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高；运行过程中产生废</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27"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吸附法</w:t>
            </w:r>
          </w:p>
        </w:tc>
        <w:tc>
          <w:tcPr>
            <w:tcW w:w="29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主要用活性碳等对气体具有</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强吸附性能的吸附剂去除恶</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t>臭</w:t>
            </w:r>
          </w:p>
        </w:tc>
        <w:tc>
          <w:tcPr>
            <w:tcW w:w="19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管理方便；</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可回收所吸附的有</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用物质，吸附无选</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择性；负荷变化影</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1"/>
              </w:rPr>
              <w:t>响小</w:t>
            </w:r>
          </w:p>
        </w:tc>
        <w:tc>
          <w:tcPr>
            <w:tcW w:w="271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会产生二次污染，吸附剂需</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要定期更换，更换掉的活性</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炭需要做后续处理，而且活</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性炭的更换频率无法明确</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界定，运行成本和处理效率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之间难以平衡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27"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rPr>
              <w:t>UV</w:t>
            </w:r>
            <w:r>
              <w:rPr>
                <w:spacing w:val="10"/>
              </w:rPr>
              <w:t>光氧法</w:t>
            </w:r>
          </w:p>
        </w:tc>
        <w:tc>
          <w:tcPr>
            <w:tcW w:w="29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利用高能</w:t>
            </w:r>
            <w:r>
              <w:rPr>
                <w:spacing w:val="-50"/>
              </w:rPr>
              <w:t xml:space="preserve"> </w:t>
            </w:r>
            <w:r>
              <w:rPr>
                <w:rFonts w:ascii="Times New Roman" w:hAnsi="Times New Roman" w:eastAsia="Times New Roman" w:cs="Times New Roman"/>
              </w:rPr>
              <w:t>UV</w:t>
            </w:r>
            <w:r>
              <w:rPr>
                <w:rFonts w:ascii="Times New Roman" w:hAnsi="Times New Roman" w:eastAsia="Times New Roman" w:cs="Times New Roman"/>
                <w:spacing w:val="9"/>
              </w:rPr>
              <w:t xml:space="preserve"> </w:t>
            </w:r>
            <w:r>
              <w:rPr>
                <w:spacing w:val="9"/>
              </w:rPr>
              <w:t>紫外线破坏有机</w:t>
            </w:r>
            <w:r>
              <w:t xml:space="preserve"> </w:t>
            </w:r>
            <w:r>
              <w:rPr>
                <w:spacing w:val="7"/>
              </w:rPr>
              <w:t>废气分子的化学键，使之裂解</w:t>
            </w:r>
            <w:r>
              <w:rPr>
                <w:spacing w:val="8"/>
              </w:rPr>
              <w:t xml:space="preserve"> </w:t>
            </w:r>
            <w:r>
              <w:rPr>
                <w:spacing w:val="5"/>
              </w:rPr>
              <w:t>形成游离状态的原子或基团，</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同时通过裂解混合空气中的</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氧气，使之形成游离的氧原子</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并结合生成臭氧。具有强氧化</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3"/>
              </w:rPr>
              <w:t>性的臭氧（</w:t>
            </w:r>
            <w:r>
              <w:rPr>
                <w:rFonts w:ascii="Times New Roman" w:hAnsi="Times New Roman" w:eastAsia="Times New Roman" w:cs="Times New Roman"/>
                <w:spacing w:val="3"/>
              </w:rPr>
              <w:t>O</w:t>
            </w:r>
            <w:r>
              <w:rPr>
                <w:rFonts w:ascii="Times New Roman" w:hAnsi="Times New Roman" w:eastAsia="Times New Roman" w:cs="Times New Roman"/>
                <w:spacing w:val="3"/>
                <w:position w:val="-1"/>
                <w:sz w:val="13"/>
                <w:szCs w:val="13"/>
              </w:rPr>
              <w:t xml:space="preserve">3 </w:t>
            </w:r>
            <w:r>
              <w:rPr>
                <w:spacing w:val="3"/>
              </w:rPr>
              <w:t>）与有机废气分</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子被裂解生成的原子发生氧</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化反应，使恶臭气体物质降解</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转化成低分子化合物、水和二</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氧化碳的过程</w:t>
            </w:r>
          </w:p>
        </w:tc>
        <w:tc>
          <w:tcPr>
            <w:tcW w:w="19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无需日常维护，运</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行成本低。适用于</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各种浓度的有机废</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气，去除效率在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50%~90%</w:t>
            </w:r>
          </w:p>
        </w:tc>
        <w:tc>
          <w:tcPr>
            <w:tcW w:w="271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投资成本高，要求有足够的</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7"/>
              </w:rPr>
              <w:t>停留时间，否则去除效率波</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动大；运行过程中产生废</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Times New Roman" w:hAnsi="Times New Roman" w:eastAsia="Times New Roman" w:cs="Times New Roman"/>
              </w:rPr>
              <w:t>UV</w:t>
            </w:r>
            <w:r>
              <w:rPr>
                <w:rFonts w:ascii="Times New Roman" w:hAnsi="Times New Roman" w:eastAsia="Times New Roman" w:cs="Times New Roman"/>
                <w:spacing w:val="10"/>
              </w:rPr>
              <w:t xml:space="preserve"> </w:t>
            </w:r>
            <w:r>
              <w:rPr>
                <w:spacing w:val="10"/>
              </w:rPr>
              <w:t>灯管和废光触媒等危险</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废物会造成二次污染</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27"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生物法</w:t>
            </w:r>
          </w:p>
        </w:tc>
        <w:tc>
          <w:tcPr>
            <w:tcW w:w="292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9"/>
              </w:rPr>
              <w:t>利用微生物对恶臭成分的生物吸附降解功能达到脱臭目</w:t>
            </w:r>
            <w:r>
              <w:t>的</w:t>
            </w:r>
          </w:p>
        </w:tc>
        <w:tc>
          <w:tcPr>
            <w:tcW w:w="198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8"/>
              </w:rPr>
              <w:t>适用范围广；设备简单，投资省，运行费用低；无二次</w:t>
            </w:r>
            <w:r>
              <w:rPr>
                <w:spacing w:val="3"/>
              </w:rPr>
              <w:t>污染</w:t>
            </w:r>
          </w:p>
        </w:tc>
        <w:tc>
          <w:tcPr>
            <w:tcW w:w="271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6"/>
              </w:rPr>
              <w:t>需要生物培养，系统启动费</w:t>
            </w:r>
            <w:r>
              <w:rPr>
                <w:spacing w:val="5"/>
              </w:rPr>
              <w:t xml:space="preserve"> </w:t>
            </w:r>
            <w:r>
              <w:t>时</w:t>
            </w:r>
          </w:p>
        </w:tc>
      </w:tr>
    </w:tbl>
    <w:p>
      <w:pPr>
        <w:keepNext w:val="0"/>
        <w:keepLines w:val="0"/>
        <w:pageBreakBefore w:val="0"/>
        <w:widowControl/>
        <w:kinsoku/>
        <w:wordWrap/>
        <w:overflowPunct/>
        <w:topLinePunct w:val="0"/>
        <w:autoSpaceDE w:val="0"/>
        <w:autoSpaceDN w:val="0"/>
        <w:bidi w:val="0"/>
        <w:adjustRightInd w:val="0"/>
        <w:snapToGrid w:val="0"/>
        <w:spacing w:before="131" w:line="384" w:lineRule="auto"/>
        <w:ind w:left="125" w:right="113" w:firstLine="476"/>
        <w:jc w:val="both"/>
        <w:textAlignment w:val="baseline"/>
        <w:rPr>
          <w:rFonts w:ascii="宋体" w:hAnsi="宋体" w:eastAsia="宋体" w:cs="宋体"/>
          <w:sz w:val="24"/>
          <w:szCs w:val="24"/>
        </w:rPr>
      </w:pPr>
      <w:r>
        <w:rPr>
          <w:rFonts w:ascii="宋体" w:hAnsi="宋体" w:eastAsia="宋体" w:cs="宋体"/>
          <w:spacing w:val="2"/>
          <w:sz w:val="24"/>
          <w:szCs w:val="24"/>
        </w:rPr>
        <w:t>对以上除臭方法的优缺点进行比选，并经过咨询调查，生物除臭法运行过程中无需添加药剂，运行费用主要为耗电费用。因此本次评价建议恶臭气体采用生物除</w:t>
      </w:r>
      <w:r>
        <w:rPr>
          <w:rFonts w:ascii="宋体" w:hAnsi="宋体" w:eastAsia="宋体" w:cs="宋体"/>
          <w:spacing w:val="-4"/>
          <w:sz w:val="24"/>
          <w:szCs w:val="24"/>
        </w:rPr>
        <w:t>臭法。</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本项目屠宰车间、污水处理站恶臭气体经集中收集后送至生物除臭装置，经净化处理后，由一根15m高排气筒排放，排风量为</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0000m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生物除臭法是目前技术较为成熟，且实际中较为常用的臭气处理方法，除臭效率大于90%。评价建议采用生物滤塔，其处理原理为：生物滤塔除臭系统核心为有利于生物附着和生长的复合填料和微生物优势菌种。在适宜的环境条件下，滤塔中的微生物在填料表面形成生物膜，利用废气的无机和有机物作用为碳源和能源，通过降解恶臭物质维持其生命活动，将恶臭物质分解为水、二氧化碳和矿物质等无臭物，达到净化恶臭气体的目的。</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754"/>
        <w:textAlignment w:val="baseline"/>
      </w:pPr>
      <w:r>
        <w:rPr>
          <w:position w:val="-80"/>
        </w:rPr>
        <w:drawing>
          <wp:inline distT="0" distB="0" distL="0" distR="0">
            <wp:extent cx="4724400" cy="255270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74"/>
                    <a:stretch>
                      <a:fillRect/>
                    </a:stretch>
                  </pic:blipFill>
                  <pic:spPr>
                    <a:xfrm>
                      <a:off x="0" y="0"/>
                      <a:ext cx="4724400" cy="255270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8" w:line="360" w:lineRule="auto"/>
        <w:ind w:left="2874"/>
        <w:textAlignment w:val="baseline"/>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图</w:t>
      </w:r>
      <w:r>
        <w:rPr>
          <w:rFonts w:ascii="宋体" w:hAnsi="宋体" w:eastAsia="宋体" w:cs="宋体"/>
          <w:spacing w:val="-46"/>
          <w:sz w:val="24"/>
          <w:szCs w:val="24"/>
        </w:rPr>
        <w:t xml:space="preserve"> </w:t>
      </w:r>
      <w:r>
        <w:rPr>
          <w:rFonts w:ascii="Times New Roman" w:hAnsi="Times New Roman" w:eastAsia="Times New Roman" w:cs="Times New Roman"/>
          <w:b/>
          <w:bCs/>
          <w:spacing w:val="-2"/>
          <w:sz w:val="24"/>
          <w:szCs w:val="24"/>
        </w:rPr>
        <w:t xml:space="preserve">6-1        </w:t>
      </w:r>
      <w:r>
        <w:rPr>
          <w:rFonts w:ascii="宋体" w:hAnsi="宋体" w:eastAsia="宋体" w:cs="宋体"/>
          <w:spacing w:val="-2"/>
          <w:sz w:val="24"/>
          <w:szCs w:val="24"/>
          <w14:textOutline w14:w="4358" w14:cap="sq" w14:cmpd="sng">
            <w14:solidFill>
              <w14:srgbClr w14:val="000000"/>
            </w14:solidFill>
            <w14:prstDash w14:val="solid"/>
            <w14:bevel/>
          </w14:textOutline>
        </w:rPr>
        <w:t>废气处理系统示意图</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评价建议企业对屠宰车间进行封闭，负压集气；污水处理站产气单元进行加盖密闭，盖板上预留进、出气口，把处于自由扩散状态下的气体组织起来，最后将屠宰车间、污水处理站收集到的恶臭气体合用一套生物滤塔处理，处理效率在90%以上，处理后的废气经高度为15m的排气筒排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技术可行性：</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生物除臭原理：恶臭气体经过吸附在液相介质中，然后通过微生物（通过填充陶粒、微生物生长在陶粒上）在好氧条件下（有氧气存在的条件下）大部分恶臭气体被微生物降解为水、二氧化碳、硫酸盐、硝酸盐等小分子无机物质，小部分转化为剩余菌体，从而实现有机废气气体净化。和传统活性炭吸附工艺相比，生物滤塔具有以下经济和技术优势：</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①生物技术，环保卫生，无二次污染；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②可同时处理含有多种污染物的废气；</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③抗冲击能力强，废气浓度在 3-1500ppm 波动时，均可正常工作；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④处理时间短，效率高。5-10 秒即可净化完成，综合效率可达 90%以上；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⑤生物菌种一次挂膜，菌种种类多，接种时间短；</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⑥建设成本低，运行费用低，无需添加药剂，无需频繁更换填料；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 xml:space="preserve"> ⑦采用玻璃钢/不锈钢材质，外形美观，抗腐蚀性强，使用寿命长； ⑧采用复合滤料，表面积大，透气性好，不容板结，使用寿命久；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⑨采用PLC控制，自动化程度高。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由于《排污许可证申请与核发技术规范 农副食品加工工业—屠宰及肉类加工工业》(HJ860.3-2018)未明确恶臭气体处理可行技术，本评价根据行业特点参考《排污许可证申请与核发技术规范 畜禽养殖行业》(HJ 1029—2019)表7，生物法为恶臭气体处理可行技术。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参考《屠宰及肉类加工业污染防治可行技术指南》（HJ1285-2023），生物除臭适用于待宰间、屠宰间恶臭及污水处理单元产生的恶臭处理，处理效率可达到90%，本评价取90%。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本项目拟采取的恶臭治理措施为国内成熟、常用的恶臭治理方案，除臭效率可达90%以上，可保证污染物达标排放，是《排污许可证申请与核发技术规范 农副食品加工工业</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屠宰及肉类加工工业》中废气污染治理设施推荐的可行技术；除臭塔便于维护、运行稳定，投资及维护费用合理，根据预测结果，本项目有组织排放的H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S的最大落地浓度为0.000</w:t>
      </w:r>
      <w:r>
        <w:rPr>
          <w:rFonts w:hint="eastAsia" w:ascii="Times New Roman" w:hAnsi="Times New Roman" w:eastAsia="宋体" w:cs="Times New Roman"/>
          <w:sz w:val="24"/>
          <w:szCs w:val="24"/>
          <w:lang w:val="en-US" w:eastAsia="zh-CN"/>
        </w:rPr>
        <w:t>8747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的最大落地浓度为0.0</w:t>
      </w:r>
      <w:r>
        <w:rPr>
          <w:rFonts w:hint="eastAsia" w:ascii="Times New Roman" w:hAnsi="Times New Roman" w:eastAsia="宋体" w:cs="Times New Roman"/>
          <w:sz w:val="24"/>
          <w:szCs w:val="24"/>
          <w:lang w:val="en-US" w:eastAsia="zh-CN"/>
        </w:rPr>
        <w:t>1006</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，远远低于《恶臭污染物排放标准》（GB1454-93）表1中厂界标准中的二级标准限值，因此本项目采用该处理措施合理可行。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2、无组织恶臭气体</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针对项目待宰区无组织恶臭气体、屠宰车间和污水处理站未收集的无组织恶臭气体，评价要求以强化管理为主，其主要防治措施如下：</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（1）加强待宰区通风，加速粪便干燥，采用干清粪工艺，每天及时清理圈内粪便，并立即将清除的粪便运往粪便堆放场，在春、夏两季还应根据天气情况随时增加收集次数，使待宰区和</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w:t>
      </w:r>
      <w:r>
        <w:rPr>
          <w:rFonts w:hint="eastAsia" w:ascii="Times New Roman" w:hAnsi="Times New Roman" w:eastAsia="宋体" w:cs="Times New Roman"/>
          <w:sz w:val="24"/>
          <w:szCs w:val="24"/>
          <w:lang w:eastAsia="zh-CN"/>
        </w:rPr>
        <w:t>个</w:t>
      </w:r>
      <w:r>
        <w:rPr>
          <w:rFonts w:hint="default" w:ascii="Times New Roman" w:hAnsi="Times New Roman" w:cs="Times New Roman"/>
          <w:sz w:val="24"/>
          <w:szCs w:val="24"/>
        </w:rPr>
        <w:t>体保持清洁，减少粪便堆积挥发的恶臭气体排放量。在不利于污染物稀释、扩散的气象条件下，每天应增加粪便的收集次数，减少粪便堆积挥发的恶臭气体排放量；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（2）及时清理屠宰车间内的肠胃内容物等有异味的废物；定期冲洗车间地面，以保证车间的干净卫生。车间在设计时应确保地面具有一定坡度（ 一般为1.5%~3</w:t>
      </w:r>
      <w:r>
        <w:rPr>
          <w:rFonts w:hint="eastAsia" w:ascii="Times New Roman" w:hAnsi="Times New Roman" w:eastAsia="宋体" w:cs="Times New Roman"/>
          <w:sz w:val="24"/>
          <w:szCs w:val="24"/>
          <w:lang w:val="en-US" w:eastAsia="zh-CN"/>
        </w:rPr>
        <w:t>%</w:t>
      </w:r>
      <w:r>
        <w:rPr>
          <w:rFonts w:hint="default" w:ascii="Times New Roman" w:hAnsi="Times New Roman" w:cs="Times New Roman"/>
          <w:sz w:val="24"/>
          <w:szCs w:val="24"/>
        </w:rPr>
        <w:t>），并应建良好的排水管线，确保废水顺利及时排放，不造成废水淤积；</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（3）加强污水处理站必要的设备管理与监控，确保污水处理站在最佳的运行参 数下正常运作；同时考虑到污水处理站是容易滋生蚊蝇的集中场所，夏季气温高时尤盛，因此，应定期进行杀灭蚊蝇的工作；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（4）积极推进清洁生产技术和制度的实施，加强企业领导和技术人员对清洁生 产 的认识，让企业自发加强生产管理，减少“跑、冒、滴、漏 ”，使无组织废气排放最小化。为减少无组织排放，从生产管理上应加强设备的定期检查和维修管理，减少跑冒滴漏及无组织逸散；</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通过以上污染防治措施，可以控制本项目恶臭气体的影响范围，确保主要污染 物氨、硫化氢、臭气浓度的排放浓度满足《恶臭污染物排放标准》（GB14554-93）中二级标准。恶臭气体污染防治措施可行。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（二）食堂油烟</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饮食业排放的大气污染物主要为气溶胶，其中含有食用油及食品在高温下的挥 发物，以及由食用油及食品的氧化、裂解、水解而形成的醛类、酮类、链烷类、链烯类、多环芳烃等，成份较为复杂。</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项目饮食油烟采用安装符合国家有关要求的油烟净化系统（油烟净化装置），处理后的油烟排放浓度为0.</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3mg/m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eastAsia="宋体" w:cs="Times New Roman"/>
          <w:sz w:val="24"/>
          <w:szCs w:val="24"/>
          <w:lang w:eastAsia="zh-CN"/>
        </w:rPr>
        <w:t>符合</w:t>
      </w:r>
      <w:r>
        <w:rPr>
          <w:rFonts w:hint="default" w:ascii="Times New Roman" w:hAnsi="Times New Roman" w:cs="Times New Roman"/>
          <w:sz w:val="24"/>
          <w:szCs w:val="24"/>
        </w:rPr>
        <w:t>《餐饮业油烟污染物排放标准》（DB41/1604-2018）要求</w:t>
      </w:r>
      <w:r>
        <w:rPr>
          <w:rFonts w:hint="eastAsia" w:ascii="Times New Roman" w:hAnsi="Times New Roman" w:eastAsia="宋体" w:cs="Times New Roman"/>
          <w:sz w:val="24"/>
          <w:szCs w:val="24"/>
          <w:lang w:eastAsia="zh-CN"/>
        </w:rPr>
        <w:t>，实现达标排放</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本项目食堂安装经过国家主管部门认证的油烟净化设施，能满足有关环境保护标准的限值要求，所采取的措施可行。</w:t>
      </w:r>
    </w:p>
    <w:p>
      <w:pPr>
        <w:keepNext w:val="0"/>
        <w:keepLines w:val="0"/>
        <w:pageBreakBefore w:val="0"/>
        <w:widowControl/>
        <w:kinsoku w:val="0"/>
        <w:wordWrap/>
        <w:overflowPunct/>
        <w:topLinePunct w:val="0"/>
        <w:autoSpaceDE w:val="0"/>
        <w:autoSpaceDN w:val="0"/>
        <w:bidi w:val="0"/>
        <w:adjustRightInd w:val="0"/>
        <w:snapToGrid w:val="0"/>
        <w:spacing w:before="94" w:line="221" w:lineRule="auto"/>
        <w:textAlignment w:val="baseline"/>
        <w:rPr>
          <w:rFonts w:ascii="宋体" w:hAnsi="宋体" w:eastAsia="宋体" w:cs="宋体"/>
          <w:sz w:val="24"/>
          <w:szCs w:val="24"/>
        </w:rPr>
      </w:pPr>
      <w:r>
        <w:fldChar w:fldCharType="begin"/>
      </w:r>
      <w:r>
        <w:instrText xml:space="preserve"> HYPERLINK "6.2.1.4" </w:instrText>
      </w:r>
      <w:r>
        <w:fldChar w:fldCharType="separate"/>
      </w:r>
      <w:r>
        <w:rPr>
          <w:rFonts w:ascii="Times New Roman" w:hAnsi="Times New Roman" w:eastAsia="Times New Roman" w:cs="Times New Roman"/>
          <w:b/>
          <w:bCs/>
          <w:spacing w:val="-3"/>
          <w:sz w:val="24"/>
          <w:szCs w:val="24"/>
        </w:rPr>
        <w:t>6.2.1.4</w:t>
      </w:r>
      <w:r>
        <w:rPr>
          <w:rFonts w:ascii="Times New Roman" w:hAnsi="Times New Roman" w:eastAsia="Times New Roman" w:cs="Times New Roman"/>
          <w:b/>
          <w:bCs/>
          <w:spacing w:val="-3"/>
          <w:sz w:val="24"/>
          <w:szCs w:val="24"/>
        </w:rPr>
        <w:fldChar w:fldCharType="end"/>
      </w:r>
      <w:r>
        <w:rPr>
          <w:rFonts w:ascii="Times New Roman" w:hAnsi="Times New Roman" w:eastAsia="Times New Roman" w:cs="Times New Roman"/>
          <w:b/>
          <w:bCs/>
          <w:spacing w:val="17"/>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小结</w:t>
      </w:r>
    </w:p>
    <w:p>
      <w:pPr>
        <w:spacing w:before="213" w:line="384" w:lineRule="auto"/>
        <w:ind w:left="4" w:firstLine="479"/>
        <w:jc w:val="both"/>
        <w:rPr>
          <w:rFonts w:hint="eastAsia" w:eastAsia="宋体"/>
          <w:lang w:eastAsia="zh-CN"/>
        </w:rPr>
      </w:pPr>
      <w:r>
        <w:rPr>
          <w:rFonts w:ascii="宋体" w:hAnsi="宋体" w:eastAsia="宋体" w:cs="宋体"/>
          <w:spacing w:val="2"/>
          <w:sz w:val="24"/>
          <w:szCs w:val="24"/>
        </w:rPr>
        <w:t>综上所述，项目废气采取的各种治理措施均能长期稳定运行，废气治理措施工艺成熟，产生的各种污染物均能达标排放。经预测，项目建成后，环境质量能够满足功能区要求。因此，项目废气治理措施不论从经济方面还是技术方面考虑，均合</w:t>
      </w:r>
      <w:r>
        <w:rPr>
          <w:rFonts w:ascii="宋体" w:hAnsi="宋体" w:eastAsia="宋体" w:cs="宋体"/>
          <w:sz w:val="24"/>
          <w:szCs w:val="24"/>
        </w:rPr>
        <w:t>理</w:t>
      </w:r>
      <w:r>
        <w:rPr>
          <w:rFonts w:hint="eastAsia" w:ascii="宋体" w:hAnsi="宋体" w:eastAsia="宋体" w:cs="宋体"/>
          <w:sz w:val="24"/>
          <w:szCs w:val="24"/>
          <w:lang w:eastAsia="zh-CN"/>
        </w:rPr>
        <w:t>。</w:t>
      </w:r>
    </w:p>
    <w:p>
      <w:pPr>
        <w:spacing w:before="92" w:line="225" w:lineRule="auto"/>
        <w:outlineLvl w:val="3"/>
        <w:rPr>
          <w:rFonts w:ascii="楷体" w:hAnsi="楷体" w:eastAsia="楷体" w:cs="楷体"/>
          <w:b/>
          <w:bCs/>
          <w:sz w:val="28"/>
          <w:szCs w:val="28"/>
        </w:rPr>
      </w:pPr>
      <w:bookmarkStart w:id="437" w:name="bookmark111"/>
      <w:bookmarkEnd w:id="437"/>
      <w:r>
        <w:rPr>
          <w:rFonts w:ascii="Times New Roman" w:hAnsi="Times New Roman" w:eastAsia="Times New Roman" w:cs="Times New Roman"/>
          <w:b/>
          <w:bCs/>
          <w:spacing w:val="-1"/>
          <w:sz w:val="28"/>
          <w:szCs w:val="28"/>
        </w:rPr>
        <w:t>6.2.2</w:t>
      </w:r>
      <w:r>
        <w:rPr>
          <w:rFonts w:ascii="楷体" w:hAnsi="楷体" w:eastAsia="楷体" w:cs="楷体"/>
          <w:b/>
          <w:bCs/>
          <w:spacing w:val="-1"/>
          <w:sz w:val="28"/>
          <w:szCs w:val="28"/>
        </w:rPr>
        <w:t>营运期废水污染防治措施分析</w:t>
      </w:r>
    </w:p>
    <w:p>
      <w:pPr>
        <w:spacing w:before="226" w:line="500" w:lineRule="exact"/>
        <w:ind w:left="481"/>
        <w:rPr>
          <w:rFonts w:ascii="宋体" w:hAnsi="宋体" w:eastAsia="宋体" w:cs="宋体"/>
          <w:sz w:val="24"/>
          <w:szCs w:val="24"/>
        </w:rPr>
      </w:pPr>
      <w:r>
        <w:rPr>
          <w:rFonts w:ascii="宋体" w:hAnsi="宋体" w:eastAsia="宋体" w:cs="宋体"/>
          <w:spacing w:val="-1"/>
          <w:position w:val="19"/>
          <w:sz w:val="24"/>
          <w:szCs w:val="24"/>
        </w:rPr>
        <w:t>本项目产生的废水主要包括生活污水、生产废水。</w:t>
      </w:r>
    </w:p>
    <w:p>
      <w:pPr>
        <w:spacing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）项目废水产生情况</w:t>
      </w:r>
    </w:p>
    <w:p>
      <w:pPr>
        <w:spacing w:before="214" w:line="384" w:lineRule="auto"/>
        <w:ind w:firstLine="484"/>
        <w:jc w:val="both"/>
        <w:rPr>
          <w:rFonts w:ascii="宋体" w:hAnsi="宋体" w:eastAsia="宋体" w:cs="宋体"/>
          <w:spacing w:val="-1"/>
          <w:sz w:val="24"/>
          <w:szCs w:val="24"/>
        </w:rPr>
      </w:pPr>
      <w:r>
        <w:rPr>
          <w:rFonts w:ascii="宋体" w:hAnsi="宋体" w:eastAsia="宋体" w:cs="宋体"/>
          <w:spacing w:val="2"/>
          <w:sz w:val="24"/>
          <w:szCs w:val="24"/>
        </w:rPr>
        <w:t>项目营运期内产生的污水主要有屠宰生产废水和厂内生活污水组成，其中生产废水占大部分，本项目生产废水主要为屠宰过程产生的废水，包括屠宰车间及宰前</w:t>
      </w:r>
      <w:r>
        <w:rPr>
          <w:rFonts w:ascii="宋体" w:hAnsi="宋体" w:eastAsia="宋体" w:cs="宋体"/>
          <w:sz w:val="24"/>
          <w:szCs w:val="24"/>
        </w:rPr>
        <w:t>冲洗废水等过程产生的废水，有机污染物含量高，</w:t>
      </w:r>
      <w:r>
        <w:rPr>
          <w:rFonts w:ascii="宋体" w:hAnsi="宋体" w:eastAsia="宋体" w:cs="宋体"/>
          <w:spacing w:val="-1"/>
          <w:sz w:val="24"/>
          <w:szCs w:val="24"/>
        </w:rPr>
        <w:t>具有以下特点：</w:t>
      </w:r>
    </w:p>
    <w:p>
      <w:pPr>
        <w:spacing w:before="78"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、具有一定的血红色，主要为屠宰过程羊血造成；</w:t>
      </w:r>
    </w:p>
    <w:p>
      <w:pPr>
        <w:spacing w:before="214" w:line="220" w:lineRule="auto"/>
        <w:ind w:left="490"/>
        <w:rPr>
          <w:rFonts w:ascii="宋体" w:hAnsi="宋体" w:eastAsia="宋体" w:cs="宋体"/>
          <w:sz w:val="24"/>
          <w:szCs w:val="24"/>
        </w:rPr>
      </w:pPr>
      <w:r>
        <w:rPr>
          <w:rFonts w:ascii="Times New Roman" w:hAnsi="Times New Roman" w:eastAsia="Times New Roman" w:cs="Times New Roman"/>
          <w:spacing w:val="-2"/>
          <w:sz w:val="24"/>
          <w:szCs w:val="24"/>
        </w:rPr>
        <w:t>b</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、具有血腥味，主要为羊血和蛋白质分解造成；</w:t>
      </w:r>
    </w:p>
    <w:p>
      <w:pPr>
        <w:spacing w:before="213" w:line="219" w:lineRule="auto"/>
        <w:ind w:left="49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、悬浮物含量较大，主要包括待宰区粪便、</w:t>
      </w:r>
      <w:r>
        <w:rPr>
          <w:rFonts w:ascii="宋体" w:hAnsi="宋体" w:eastAsia="宋体" w:cs="宋体"/>
          <w:spacing w:val="-2"/>
          <w:sz w:val="24"/>
          <w:szCs w:val="24"/>
        </w:rPr>
        <w:t>屠宰车间肉屑等；</w:t>
      </w:r>
    </w:p>
    <w:p>
      <w:pPr>
        <w:spacing w:before="214" w:line="219" w:lineRule="auto"/>
        <w:ind w:left="498"/>
        <w:rPr>
          <w:rFonts w:ascii="宋体" w:hAnsi="宋体" w:eastAsia="宋体" w:cs="宋体"/>
          <w:sz w:val="24"/>
          <w:szCs w:val="24"/>
        </w:rPr>
      </w:pPr>
      <w:r>
        <w:rPr>
          <w:rFonts w:ascii="Times New Roman" w:hAnsi="Times New Roman" w:eastAsia="Times New Roman" w:cs="Times New Roman"/>
          <w:spacing w:val="-3"/>
          <w:sz w:val="24"/>
          <w:szCs w:val="24"/>
        </w:rPr>
        <w:t>d</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、含有较高的动物油脂；</w:t>
      </w:r>
    </w:p>
    <w:p>
      <w:pPr>
        <w:spacing w:before="214" w:line="219" w:lineRule="auto"/>
        <w:ind w:left="499"/>
        <w:rPr>
          <w:rFonts w:ascii="宋体" w:hAnsi="宋体" w:eastAsia="宋体" w:cs="宋体"/>
          <w:sz w:val="24"/>
          <w:szCs w:val="24"/>
        </w:rPr>
      </w:pPr>
      <w:r>
        <w:rPr>
          <w:rFonts w:ascii="Times New Roman" w:hAnsi="Times New Roman" w:eastAsia="Times New Roman" w:cs="Times New Roman"/>
          <w:spacing w:val="-4"/>
          <w:sz w:val="24"/>
          <w:szCs w:val="24"/>
        </w:rPr>
        <w:t>e</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、含有大量大肠杆菌。</w:t>
      </w:r>
    </w:p>
    <w:p>
      <w:pPr>
        <w:spacing w:before="214" w:line="499" w:lineRule="exact"/>
        <w:ind w:left="503"/>
        <w:rPr>
          <w:rFonts w:ascii="宋体" w:hAnsi="宋体" w:eastAsia="宋体" w:cs="宋体"/>
          <w:sz w:val="24"/>
          <w:szCs w:val="24"/>
        </w:rPr>
      </w:pPr>
      <w:r>
        <w:rPr>
          <w:rFonts w:ascii="宋体" w:hAnsi="宋体" w:eastAsia="宋体" w:cs="宋体"/>
          <w:spacing w:val="2"/>
          <w:position w:val="19"/>
          <w:sz w:val="24"/>
          <w:szCs w:val="24"/>
        </w:rPr>
        <w:t>项目综合废水通过自建污水处理站进行治理。经过工程分析确定本项目营运期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7"/>
        <w:textAlignment w:val="baseline"/>
        <w:rPr>
          <w:rFonts w:ascii="宋体" w:hAnsi="宋体" w:eastAsia="宋体" w:cs="宋体"/>
          <w:sz w:val="24"/>
          <w:szCs w:val="24"/>
        </w:rPr>
      </w:pPr>
      <w:r>
        <w:rPr>
          <w:rFonts w:ascii="宋体" w:hAnsi="宋体" w:eastAsia="宋体" w:cs="宋体"/>
          <w:spacing w:val="-2"/>
          <w:sz w:val="24"/>
          <w:szCs w:val="24"/>
        </w:rPr>
        <w:t>产生废水水质、水量详见表</w:t>
      </w:r>
      <w:r>
        <w:rPr>
          <w:rFonts w:ascii="Times New Roman" w:hAnsi="Times New Roman" w:eastAsia="Times New Roman" w:cs="Times New Roman"/>
          <w:spacing w:val="-2"/>
          <w:sz w:val="24"/>
          <w:szCs w:val="24"/>
        </w:rPr>
        <w:t>6-</w:t>
      </w:r>
      <w:r>
        <w:rPr>
          <w:rFonts w:hint="eastAsia" w:ascii="Times New Roman" w:hAnsi="Times New Roman" w:eastAsia="宋体" w:cs="Times New Roman"/>
          <w:spacing w:val="-2"/>
          <w:sz w:val="24"/>
          <w:szCs w:val="24"/>
          <w:lang w:val="en-US" w:eastAsia="zh-CN"/>
        </w:rPr>
        <w:t>5</w:t>
      </w:r>
      <w:r>
        <w:rPr>
          <w:rFonts w:ascii="宋体" w:hAnsi="宋体" w:eastAsia="宋体" w:cs="宋体"/>
          <w:spacing w:val="-2"/>
          <w:sz w:val="24"/>
          <w:szCs w:val="24"/>
        </w:rPr>
        <w:t>。</w:t>
      </w:r>
    </w:p>
    <w:p>
      <w:pPr>
        <w:jc w:val="center"/>
        <w:rPr>
          <w:rFonts w:hint="default" w:ascii="Times New Roman" w:hAnsi="Times New Roman" w:cs="Times New Roman"/>
          <w:b/>
          <w:bCs/>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6-</w:t>
      </w:r>
      <w:r>
        <w:rPr>
          <w:rFonts w:hint="eastAsia" w:ascii="Times New Roman" w:hAnsi="Times New Roman" w:eastAsia="宋体" w:cs="Times New Roman"/>
          <w:b/>
          <w:bCs/>
          <w:sz w:val="24"/>
          <w:szCs w:val="24"/>
          <w:lang w:val="en-US" w:eastAsia="zh-CN"/>
        </w:rPr>
        <w:t>5</w:t>
      </w:r>
      <w:r>
        <w:rPr>
          <w:rFonts w:ascii="Times New Roman" w:hAnsi="Times New Roman" w:eastAsia="Times New Roman" w:cs="Times New Roman"/>
          <w:b/>
          <w:bCs/>
          <w:sz w:val="24"/>
          <w:szCs w:val="24"/>
        </w:rPr>
        <w:t xml:space="preserve">              </w:t>
      </w:r>
      <w:r>
        <w:rPr>
          <w:rFonts w:hint="default" w:ascii="Times New Roman" w:hAnsi="Times New Roman" w:cs="Times New Roman"/>
          <w:b/>
          <w:bCs/>
        </w:rPr>
        <w:t>全厂废水产生源强汇总一览表</w:t>
      </w:r>
    </w:p>
    <w:tbl>
      <w:tblPr>
        <w:tblStyle w:val="24"/>
        <w:tblW w:w="9167"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282"/>
        <w:gridCol w:w="800"/>
        <w:gridCol w:w="685"/>
        <w:gridCol w:w="923"/>
        <w:gridCol w:w="919"/>
        <w:gridCol w:w="895"/>
        <w:gridCol w:w="947"/>
        <w:gridCol w:w="934"/>
        <w:gridCol w:w="810"/>
        <w:gridCol w:w="97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2"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废水名称</w:t>
            </w:r>
          </w:p>
        </w:tc>
        <w:tc>
          <w:tcPr>
            <w:tcW w:w="800"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68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9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91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89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94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93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81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97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2"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800"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68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91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89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94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93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81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97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待宰区冲洗废水</w:t>
            </w:r>
          </w:p>
        </w:tc>
        <w:tc>
          <w:tcPr>
            <w:tcW w:w="80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4.05</w:t>
            </w:r>
          </w:p>
        </w:tc>
        <w:tc>
          <w:tcPr>
            <w:tcW w:w="685"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6.5-7.5</w:t>
            </w:r>
          </w:p>
        </w:tc>
        <w:tc>
          <w:tcPr>
            <w:tcW w:w="9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p>
        </w:tc>
        <w:tc>
          <w:tcPr>
            <w:tcW w:w="91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89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94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934"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5</w:t>
            </w:r>
          </w:p>
        </w:tc>
        <w:tc>
          <w:tcPr>
            <w:tcW w:w="81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0</w:t>
            </w:r>
          </w:p>
        </w:tc>
        <w:tc>
          <w:tcPr>
            <w:tcW w:w="97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2"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屠宰废水</w:t>
            </w:r>
          </w:p>
        </w:tc>
        <w:tc>
          <w:tcPr>
            <w:tcW w:w="800"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val="en-US" w:eastAsia="zh-CN"/>
              </w:rPr>
              <w:t>246.9</w:t>
            </w:r>
          </w:p>
        </w:tc>
        <w:tc>
          <w:tcPr>
            <w:tcW w:w="685"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3"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2000</w:t>
            </w:r>
          </w:p>
        </w:tc>
        <w:tc>
          <w:tcPr>
            <w:tcW w:w="919"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900</w:t>
            </w:r>
          </w:p>
        </w:tc>
        <w:tc>
          <w:tcPr>
            <w:tcW w:w="895"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1000</w:t>
            </w:r>
          </w:p>
        </w:tc>
        <w:tc>
          <w:tcPr>
            <w:tcW w:w="947"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100</w:t>
            </w:r>
          </w:p>
        </w:tc>
        <w:tc>
          <w:tcPr>
            <w:tcW w:w="934"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12</w:t>
            </w:r>
          </w:p>
        </w:tc>
        <w:tc>
          <w:tcPr>
            <w:tcW w:w="810"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210</w:t>
            </w:r>
          </w:p>
        </w:tc>
        <w:tc>
          <w:tcPr>
            <w:tcW w:w="972"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2"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检验废水</w:t>
            </w:r>
          </w:p>
        </w:tc>
        <w:tc>
          <w:tcPr>
            <w:tcW w:w="800"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z w:val="21"/>
                <w:szCs w:val="21"/>
              </w:rPr>
              <w:t>0.09</w:t>
            </w:r>
          </w:p>
        </w:tc>
        <w:tc>
          <w:tcPr>
            <w:tcW w:w="685"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3"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300</w:t>
            </w:r>
          </w:p>
        </w:tc>
        <w:tc>
          <w:tcPr>
            <w:tcW w:w="919"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180</w:t>
            </w:r>
          </w:p>
        </w:tc>
        <w:tc>
          <w:tcPr>
            <w:tcW w:w="895"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200</w:t>
            </w:r>
          </w:p>
        </w:tc>
        <w:tc>
          <w:tcPr>
            <w:tcW w:w="947"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30</w:t>
            </w:r>
          </w:p>
        </w:tc>
        <w:tc>
          <w:tcPr>
            <w:tcW w:w="934"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w:t>
            </w:r>
          </w:p>
        </w:tc>
        <w:tc>
          <w:tcPr>
            <w:tcW w:w="810"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w:t>
            </w:r>
          </w:p>
        </w:tc>
        <w:tc>
          <w:tcPr>
            <w:tcW w:w="972" w:type="dxa"/>
            <w:tcBorders>
              <w:tl2br w:val="nil"/>
              <w:tr2bl w:val="nil"/>
            </w:tcBorders>
            <w:vAlign w:val="center"/>
          </w:tcPr>
          <w:p>
            <w:pPr>
              <w:jc w:val="center"/>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车辆冲洗废水</w:t>
            </w:r>
          </w:p>
        </w:tc>
        <w:tc>
          <w:tcPr>
            <w:tcW w:w="80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495</w:t>
            </w:r>
          </w:p>
        </w:tc>
        <w:tc>
          <w:tcPr>
            <w:tcW w:w="685"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w:t>
            </w:r>
          </w:p>
        </w:tc>
        <w:tc>
          <w:tcPr>
            <w:tcW w:w="91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550</w:t>
            </w:r>
          </w:p>
        </w:tc>
        <w:tc>
          <w:tcPr>
            <w:tcW w:w="89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550</w:t>
            </w:r>
          </w:p>
        </w:tc>
        <w:tc>
          <w:tcPr>
            <w:tcW w:w="94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34"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6</w:t>
            </w:r>
          </w:p>
        </w:tc>
        <w:tc>
          <w:tcPr>
            <w:tcW w:w="81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0</w:t>
            </w:r>
          </w:p>
        </w:tc>
        <w:tc>
          <w:tcPr>
            <w:tcW w:w="97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800"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w:t>
            </w:r>
          </w:p>
        </w:tc>
        <w:tc>
          <w:tcPr>
            <w:tcW w:w="685"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91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89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94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934"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5</w:t>
            </w:r>
          </w:p>
        </w:tc>
        <w:tc>
          <w:tcPr>
            <w:tcW w:w="81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972"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282" w:type="dxa"/>
            <w:tcBorders>
              <w:tl2br w:val="nil"/>
              <w:tr2bl w:val="nil"/>
            </w:tcBorders>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合计</w:t>
            </w:r>
          </w:p>
        </w:tc>
        <w:tc>
          <w:tcPr>
            <w:tcW w:w="80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255.54</w:t>
            </w:r>
          </w:p>
        </w:tc>
        <w:tc>
          <w:tcPr>
            <w:tcW w:w="685"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92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19</w:t>
            </w:r>
            <w:r>
              <w:rPr>
                <w:rFonts w:hint="eastAsia" w:ascii="Times New Roman" w:hAnsi="Times New Roman" w:eastAsia="宋体" w:cs="Times New Roman"/>
                <w:sz w:val="21"/>
                <w:szCs w:val="21"/>
                <w:lang w:val="en-US" w:eastAsia="zh-CN"/>
              </w:rPr>
              <w:t>18</w:t>
            </w:r>
          </w:p>
        </w:tc>
        <w:tc>
          <w:tcPr>
            <w:tcW w:w="919"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86</w:t>
            </w:r>
            <w:r>
              <w:rPr>
                <w:rFonts w:hint="eastAsia" w:ascii="Times New Roman" w:hAnsi="Times New Roman" w:eastAsia="宋体" w:cs="Times New Roman"/>
                <w:sz w:val="21"/>
                <w:szCs w:val="21"/>
                <w:lang w:val="en-US" w:eastAsia="zh-CN"/>
              </w:rPr>
              <w:t>8</w:t>
            </w:r>
          </w:p>
        </w:tc>
        <w:tc>
          <w:tcPr>
            <w:tcW w:w="89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w:t>
            </w:r>
            <w:r>
              <w:rPr>
                <w:rFonts w:hint="eastAsia" w:ascii="Times New Roman" w:hAnsi="Times New Roman" w:eastAsia="宋体" w:cs="Times New Roman"/>
                <w:sz w:val="21"/>
                <w:szCs w:val="21"/>
                <w:lang w:val="en-US" w:eastAsia="zh-CN"/>
              </w:rPr>
              <w:t>63</w:t>
            </w:r>
          </w:p>
        </w:tc>
        <w:tc>
          <w:tcPr>
            <w:tcW w:w="947"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9</w:t>
            </w:r>
            <w:r>
              <w:rPr>
                <w:rFonts w:hint="eastAsia" w:ascii="Times New Roman" w:hAnsi="Times New Roman" w:eastAsia="宋体" w:cs="Times New Roman"/>
                <w:sz w:val="21"/>
                <w:szCs w:val="21"/>
                <w:lang w:val="en-US" w:eastAsia="zh-CN"/>
              </w:rPr>
              <w:t>6</w:t>
            </w:r>
          </w:p>
        </w:tc>
        <w:tc>
          <w:tcPr>
            <w:tcW w:w="934"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w:t>
            </w:r>
          </w:p>
        </w:tc>
        <w:tc>
          <w:tcPr>
            <w:tcW w:w="81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317</w:t>
            </w:r>
          </w:p>
        </w:tc>
        <w:tc>
          <w:tcPr>
            <w:tcW w:w="972"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44</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（2）污水处理规模</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根据工程分析，本项目排入厂内污水处理站的废水排放总量为</w:t>
      </w:r>
      <w:r>
        <w:rPr>
          <w:rFonts w:hint="eastAsia" w:ascii="Times New Roman" w:hAnsi="Times New Roman" w:eastAsia="宋体" w:cs="Times New Roman"/>
          <w:sz w:val="24"/>
          <w:szCs w:val="24"/>
          <w:highlight w:val="none"/>
          <w:u w:val="single"/>
          <w:lang w:val="en-US" w:eastAsia="zh-CN"/>
        </w:rPr>
        <w:t>255.54</w:t>
      </w:r>
      <w:r>
        <w:rPr>
          <w:rFonts w:hint="default" w:ascii="Times New Roman" w:hAnsi="Times New Roman" w:cs="Times New Roman"/>
          <w:sz w:val="24"/>
          <w:szCs w:val="24"/>
          <w:u w:val="single"/>
        </w:rPr>
        <w:t>m</w:t>
      </w:r>
      <w:r>
        <w:rPr>
          <w:rFonts w:hint="default" w:ascii="Times New Roman" w:hAnsi="Times New Roman" w:cs="Times New Roman"/>
          <w:sz w:val="24"/>
          <w:szCs w:val="24"/>
          <w:u w:val="single"/>
          <w:vertAlign w:val="superscript"/>
        </w:rPr>
        <w:t>3</w:t>
      </w:r>
      <w:r>
        <w:rPr>
          <w:rFonts w:hint="default" w:ascii="Times New Roman" w:hAnsi="Times New Roman" w:cs="Times New Roman"/>
          <w:sz w:val="24"/>
          <w:szCs w:val="24"/>
          <w:u w:val="single"/>
        </w:rPr>
        <w:t>/d。结合本项目工艺特点，拟建工程污水处理站污水处理能力按废水产生量的1.</w:t>
      </w:r>
      <w:r>
        <w:rPr>
          <w:rFonts w:hint="eastAsia" w:ascii="Times New Roman" w:hAnsi="Times New Roman" w:eastAsia="宋体" w:cs="Times New Roman"/>
          <w:sz w:val="24"/>
          <w:szCs w:val="24"/>
          <w:u w:val="single"/>
          <w:lang w:val="en-US" w:eastAsia="zh-CN"/>
        </w:rPr>
        <w:t>1</w:t>
      </w:r>
      <w:r>
        <w:rPr>
          <w:rFonts w:hint="default" w:ascii="Times New Roman" w:hAnsi="Times New Roman" w:cs="Times New Roman"/>
          <w:sz w:val="24"/>
          <w:szCs w:val="24"/>
          <w:u w:val="single"/>
        </w:rPr>
        <w:t>倍进行设计，至少应需</w:t>
      </w:r>
      <w:r>
        <w:rPr>
          <w:rFonts w:hint="eastAsia" w:ascii="Times New Roman" w:hAnsi="Times New Roman" w:eastAsia="宋体" w:cs="Times New Roman"/>
          <w:sz w:val="24"/>
          <w:szCs w:val="24"/>
          <w:highlight w:val="none"/>
          <w:u w:val="single"/>
          <w:lang w:val="en-US" w:eastAsia="zh-CN"/>
        </w:rPr>
        <w:t>281</w:t>
      </w:r>
      <w:r>
        <w:rPr>
          <w:rFonts w:hint="default" w:ascii="Times New Roman" w:hAnsi="Times New Roman" w:cs="Times New Roman"/>
          <w:sz w:val="24"/>
          <w:szCs w:val="24"/>
          <w:u w:val="single"/>
        </w:rPr>
        <w:t>m</w:t>
      </w:r>
      <w:r>
        <w:rPr>
          <w:rFonts w:hint="default" w:ascii="Times New Roman" w:hAnsi="Times New Roman" w:cs="Times New Roman"/>
          <w:sz w:val="24"/>
          <w:szCs w:val="24"/>
          <w:u w:val="single"/>
          <w:vertAlign w:val="superscript"/>
        </w:rPr>
        <w:t>3</w:t>
      </w:r>
      <w:r>
        <w:rPr>
          <w:rFonts w:hint="default" w:ascii="Times New Roman" w:hAnsi="Times New Roman" w:cs="Times New Roman"/>
          <w:sz w:val="24"/>
          <w:szCs w:val="24"/>
          <w:u w:val="single"/>
        </w:rPr>
        <w:t>/d的处理能力，拟建污水处理站设计规模为</w:t>
      </w:r>
      <w:r>
        <w:rPr>
          <w:rFonts w:hint="eastAsia" w:ascii="Times New Roman" w:hAnsi="Times New Roman" w:eastAsia="宋体" w:cs="Times New Roman"/>
          <w:sz w:val="24"/>
          <w:szCs w:val="24"/>
          <w:u w:val="single"/>
          <w:lang w:val="en-US" w:eastAsia="zh-CN"/>
        </w:rPr>
        <w:t>30</w:t>
      </w:r>
      <w:r>
        <w:rPr>
          <w:rFonts w:hint="default" w:ascii="Times New Roman" w:hAnsi="Times New Roman" w:cs="Times New Roman"/>
          <w:sz w:val="24"/>
          <w:szCs w:val="24"/>
          <w:u w:val="single"/>
        </w:rPr>
        <w:t>0m</w:t>
      </w:r>
      <w:r>
        <w:rPr>
          <w:rFonts w:hint="default" w:ascii="Times New Roman" w:hAnsi="Times New Roman" w:cs="Times New Roman"/>
          <w:sz w:val="24"/>
          <w:szCs w:val="24"/>
          <w:u w:val="single"/>
          <w:vertAlign w:val="superscript"/>
        </w:rPr>
        <w:t>3</w:t>
      </w:r>
      <w:r>
        <w:rPr>
          <w:rFonts w:hint="default" w:ascii="Times New Roman" w:hAnsi="Times New Roman" w:cs="Times New Roman"/>
          <w:sz w:val="24"/>
          <w:szCs w:val="24"/>
          <w:u w:val="single"/>
        </w:rPr>
        <w:t>/d，可满足本项目废水处理需求。项目污水处理站位于厂区</w:t>
      </w:r>
      <w:r>
        <w:rPr>
          <w:rFonts w:hint="eastAsia" w:ascii="Times New Roman" w:hAnsi="Times New Roman" w:eastAsia="宋体" w:cs="Times New Roman"/>
          <w:sz w:val="24"/>
          <w:szCs w:val="24"/>
          <w:u w:val="single"/>
          <w:lang w:eastAsia="zh-CN"/>
        </w:rPr>
        <w:t>东侧</w:t>
      </w:r>
      <w:r>
        <w:rPr>
          <w:rFonts w:hint="default" w:ascii="Times New Roman" w:hAnsi="Times New Roman" w:cs="Times New Roman"/>
          <w:sz w:val="24"/>
          <w:szCs w:val="24"/>
          <w:u w:val="single"/>
        </w:rPr>
        <w:t>、屠宰车间</w:t>
      </w:r>
      <w:r>
        <w:rPr>
          <w:rFonts w:hint="eastAsia" w:ascii="Times New Roman" w:hAnsi="Times New Roman" w:eastAsia="宋体" w:cs="Times New Roman"/>
          <w:sz w:val="24"/>
          <w:szCs w:val="24"/>
          <w:u w:val="single"/>
          <w:lang w:eastAsia="zh-CN"/>
        </w:rPr>
        <w:t>外</w:t>
      </w:r>
      <w:r>
        <w:rPr>
          <w:rFonts w:hint="default" w:ascii="Times New Roman" w:hAnsi="Times New Roman" w:cs="Times New Roman"/>
          <w:sz w:val="24"/>
          <w:szCs w:val="24"/>
          <w:u w:val="single"/>
        </w:rPr>
        <w:t>，废水经厂区自建污水处理站处理后通过</w:t>
      </w:r>
      <w:r>
        <w:rPr>
          <w:rFonts w:hint="eastAsia" w:ascii="Times New Roman" w:hAnsi="Times New Roman" w:eastAsia="宋体" w:cs="Times New Roman"/>
          <w:sz w:val="24"/>
          <w:szCs w:val="24"/>
          <w:u w:val="single"/>
          <w:lang w:eastAsia="zh-CN"/>
        </w:rPr>
        <w:t>市政管网</w:t>
      </w:r>
      <w:r>
        <w:rPr>
          <w:rFonts w:hint="default" w:ascii="Times New Roman" w:hAnsi="Times New Roman" w:cs="Times New Roman"/>
          <w:sz w:val="24"/>
          <w:szCs w:val="24"/>
          <w:u w:val="single"/>
        </w:rPr>
        <w:t>排入</w:t>
      </w:r>
      <w:r>
        <w:rPr>
          <w:rFonts w:hint="default" w:ascii="Times New Roman" w:hAnsi="Times New Roman" w:cs="Times New Roman"/>
          <w:sz w:val="24"/>
          <w:szCs w:val="24"/>
          <w:u w:val="single"/>
          <w:lang w:eastAsia="zh-CN"/>
        </w:rPr>
        <w:t>叶县县城污水处理厂</w:t>
      </w:r>
      <w:r>
        <w:rPr>
          <w:rFonts w:hint="default" w:ascii="Times New Roman" w:hAnsi="Times New Roman" w:cs="Times New Roman"/>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（3）污水处理工艺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根据项目污水处理设计方案，项目污水处理工艺拟采用“</w:t>
      </w:r>
      <w:r>
        <w:rPr>
          <w:rFonts w:hint="default" w:ascii="Times New Roman" w:hAnsi="Times New Roman" w:cs="Times New Roman"/>
          <w:sz w:val="24"/>
          <w:szCs w:val="24"/>
          <w:u w:val="single"/>
          <w:lang w:eastAsia="zh-CN"/>
        </w:rPr>
        <w:t>格栅</w:t>
      </w:r>
      <w:r>
        <w:rPr>
          <w:rFonts w:hint="default" w:ascii="Times New Roman" w:hAnsi="Times New Roman" w:cs="Times New Roman"/>
          <w:sz w:val="24"/>
          <w:szCs w:val="24"/>
          <w:u w:val="single"/>
        </w:rPr>
        <w:t>气浮+水解酸化+生物接触氧化</w:t>
      </w:r>
      <w:r>
        <w:rPr>
          <w:rFonts w:hint="default" w:ascii="Times New Roman" w:hAnsi="Times New Roman" w:cs="Times New Roman"/>
          <w:sz w:val="24"/>
          <w:szCs w:val="24"/>
          <w:u w:val="single"/>
          <w:lang w:val="en-US" w:eastAsia="zh-CN"/>
        </w:rPr>
        <w:t>+消毒</w:t>
      </w:r>
      <w:r>
        <w:rPr>
          <w:rFonts w:hint="default" w:ascii="Times New Roman" w:hAnsi="Times New Roman" w:cs="Times New Roman"/>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评价通过对雨润集团下属的多家屠宰肉类加工分公司、双汇集团等屠宰类企业污水处理工艺的调查以及查阅大量资料，屠宰废水因不含有毒有害物质，可生化性好，“厌氧+好氧”生化处理工艺成为国内屠宰废水的主流处理工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以下为调查的几例国内屠宰行业常用的、技术成熟的工程实例，见表6-</w:t>
      </w:r>
      <w:r>
        <w:rPr>
          <w:rFonts w:hint="eastAsia" w:ascii="Times New Roman" w:hAnsi="Times New Roman" w:eastAsia="宋体" w:cs="Times New Roman"/>
          <w:sz w:val="24"/>
          <w:szCs w:val="24"/>
          <w:lang w:val="en-US" w:eastAsia="zh-CN"/>
        </w:rPr>
        <w:t>6</w:t>
      </w:r>
      <w:r>
        <w:rPr>
          <w:rFonts w:hint="default" w:ascii="Times New Roman" w:hAnsi="Times New Roman" w:cs="Times New Roman"/>
          <w:sz w:val="24"/>
          <w:szCs w:val="24"/>
        </w:rPr>
        <w:t>。</w:t>
      </w:r>
    </w:p>
    <w:p>
      <w:pPr>
        <w:spacing w:line="219" w:lineRule="auto"/>
        <w:ind w:left="2045"/>
        <w:rPr>
          <w:rFonts w:ascii="宋体" w:hAnsi="宋体" w:eastAsia="宋体" w:cs="宋体"/>
          <w:spacing w:val="-3"/>
          <w:sz w:val="24"/>
          <w:szCs w:val="24"/>
          <w:u w:val="none" w:color="auto"/>
          <w14:textOutline w14:w="4358" w14:cap="sq" w14:cmpd="sng">
            <w14:solidFill>
              <w14:srgbClr w14:val="000000"/>
            </w14:solidFill>
            <w14:prstDash w14:val="solid"/>
            <w14:bevel/>
          </w14:textOutline>
        </w:rPr>
      </w:pPr>
    </w:p>
    <w:p>
      <w:pPr>
        <w:spacing w:line="219" w:lineRule="auto"/>
        <w:ind w:left="2045"/>
        <w:rPr>
          <w:rFonts w:ascii="宋体" w:hAnsi="宋体" w:eastAsia="宋体" w:cs="宋体"/>
          <w:spacing w:val="-3"/>
          <w:sz w:val="24"/>
          <w:szCs w:val="24"/>
          <w:u w:val="none" w:color="auto"/>
          <w14:textOutline w14:w="4358" w14:cap="sq" w14:cmpd="sng">
            <w14:solidFill>
              <w14:srgbClr w14:val="000000"/>
            </w14:solidFill>
            <w14:prstDash w14:val="solid"/>
            <w14:bevel/>
          </w14:textOutline>
        </w:rPr>
      </w:pPr>
    </w:p>
    <w:p>
      <w:pPr>
        <w:spacing w:line="219" w:lineRule="auto"/>
        <w:ind w:left="2045"/>
        <w:rPr>
          <w:rFonts w:ascii="宋体" w:hAnsi="宋体" w:eastAsia="宋体" w:cs="宋体"/>
          <w:spacing w:val="-3"/>
          <w:sz w:val="24"/>
          <w:szCs w:val="24"/>
          <w:u w:val="none" w:color="auto"/>
          <w14:textOutline w14:w="4358" w14:cap="sq" w14:cmpd="sng">
            <w14:solidFill>
              <w14:srgbClr w14:val="000000"/>
            </w14:solidFill>
            <w14:prstDash w14:val="solid"/>
            <w14:bevel/>
          </w14:textOutline>
        </w:rPr>
      </w:pPr>
    </w:p>
    <w:p>
      <w:pPr>
        <w:spacing w:line="219" w:lineRule="auto"/>
        <w:ind w:left="2045"/>
        <w:rPr>
          <w:rFonts w:ascii="宋体" w:hAnsi="宋体" w:eastAsia="宋体" w:cs="宋体"/>
          <w:spacing w:val="-3"/>
          <w:sz w:val="24"/>
          <w:szCs w:val="24"/>
          <w:u w:val="none" w:color="auto"/>
          <w14:textOutline w14:w="4358" w14:cap="sq" w14:cmpd="sng">
            <w14:solidFill>
              <w14:srgbClr w14:val="000000"/>
            </w14:solidFill>
            <w14:prstDash w14:val="solid"/>
            <w14:bevel/>
          </w14:textOutline>
        </w:rPr>
      </w:pPr>
    </w:p>
    <w:p>
      <w:pPr>
        <w:spacing w:line="219" w:lineRule="auto"/>
        <w:ind w:left="2045"/>
        <w:rPr>
          <w:rFonts w:ascii="宋体" w:hAnsi="宋体" w:eastAsia="宋体" w:cs="宋体"/>
          <w:spacing w:val="-3"/>
          <w:sz w:val="24"/>
          <w:szCs w:val="24"/>
          <w:u w:val="none" w:color="auto"/>
          <w14:textOutline w14:w="4358" w14:cap="sq" w14:cmpd="sng">
            <w14:solidFill>
              <w14:srgbClr w14:val="000000"/>
            </w14:solidFill>
            <w14:prstDash w14:val="solid"/>
            <w14:bevel/>
          </w14:textOutline>
        </w:rPr>
      </w:pPr>
    </w:p>
    <w:p>
      <w:pPr>
        <w:spacing w:line="219" w:lineRule="auto"/>
        <w:ind w:left="2045"/>
        <w:rPr>
          <w:rFonts w:ascii="宋体" w:hAnsi="宋体" w:eastAsia="宋体" w:cs="宋体"/>
          <w:spacing w:val="-3"/>
          <w:sz w:val="24"/>
          <w:szCs w:val="24"/>
          <w:u w:val="none" w:color="auto"/>
          <w14:textOutline w14:w="4358" w14:cap="sq" w14:cmpd="sng">
            <w14:solidFill>
              <w14:srgbClr w14:val="000000"/>
            </w14:solidFill>
            <w14:prstDash w14:val="solid"/>
            <w14:bevel/>
          </w14:textOutline>
        </w:rPr>
      </w:pPr>
    </w:p>
    <w:p>
      <w:pPr>
        <w:spacing w:line="219" w:lineRule="auto"/>
        <w:ind w:left="2045"/>
      </w:pPr>
      <w:r>
        <w:rPr>
          <w:rFonts w:ascii="宋体" w:hAnsi="宋体" w:eastAsia="宋体" w:cs="宋体"/>
          <w:spacing w:val="-3"/>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3"/>
          <w:sz w:val="24"/>
          <w:szCs w:val="24"/>
          <w:u w:val="none" w:color="auto"/>
        </w:rPr>
        <w:t>6-</w:t>
      </w:r>
      <w:r>
        <w:rPr>
          <w:rFonts w:hint="eastAsia" w:ascii="Times New Roman" w:hAnsi="Times New Roman" w:eastAsia="宋体" w:cs="Times New Roman"/>
          <w:b/>
          <w:bCs/>
          <w:spacing w:val="-3"/>
          <w:sz w:val="24"/>
          <w:szCs w:val="24"/>
          <w:u w:val="none" w:color="auto"/>
          <w:lang w:val="en-US" w:eastAsia="zh-CN"/>
        </w:rPr>
        <w:t>6</w:t>
      </w:r>
      <w:r>
        <w:rPr>
          <w:rFonts w:ascii="Times New Roman" w:hAnsi="Times New Roman" w:eastAsia="Times New Roman" w:cs="Times New Roman"/>
          <w:b/>
          <w:bCs/>
          <w:spacing w:val="2"/>
          <w:sz w:val="24"/>
          <w:szCs w:val="24"/>
          <w:u w:val="none" w:color="auto"/>
        </w:rPr>
        <w:t xml:space="preserve">              </w:t>
      </w:r>
      <w:r>
        <w:rPr>
          <w:rFonts w:ascii="宋体" w:hAnsi="宋体" w:eastAsia="宋体" w:cs="宋体"/>
          <w:spacing w:val="-3"/>
          <w:sz w:val="24"/>
          <w:szCs w:val="24"/>
          <w:u w:val="none" w:color="auto"/>
          <w14:textOutline w14:w="4358" w14:cap="sq" w14:cmpd="sng">
            <w14:solidFill>
              <w14:srgbClr w14:val="000000"/>
            </w14:solidFill>
            <w14:prstDash w14:val="solid"/>
            <w14:bevel/>
          </w14:textOutline>
        </w:rPr>
        <w:t>国内屠宰行业废水处理工程实例</w:t>
      </w:r>
    </w:p>
    <w:tbl>
      <w:tblPr>
        <w:tblStyle w:val="24"/>
        <w:tblW w:w="9132"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1777"/>
        <w:gridCol w:w="624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7" w:hRule="atLeast"/>
        </w:trPr>
        <w:tc>
          <w:tcPr>
            <w:tcW w:w="11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废水种类</w:t>
            </w:r>
          </w:p>
        </w:tc>
        <w:tc>
          <w:tcPr>
            <w:tcW w:w="177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处理技术</w:t>
            </w:r>
          </w:p>
        </w:tc>
        <w:tc>
          <w:tcPr>
            <w:tcW w:w="624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应用实例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308" w:hRule="atLeast"/>
        </w:trPr>
        <w:tc>
          <w:tcPr>
            <w:tcW w:w="11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屠宰</w:t>
            </w:r>
          </w:p>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177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格栅</w:t>
            </w:r>
            <w:r>
              <w:rPr>
                <w:rFonts w:hint="default" w:ascii="Times New Roman" w:hAnsi="Times New Roman" w:cs="Times New Roman"/>
                <w:sz w:val="21"/>
                <w:szCs w:val="21"/>
              </w:rPr>
              <w:t>气浮+水解酸化+生物接触氧化</w:t>
            </w:r>
            <w:r>
              <w:rPr>
                <w:rFonts w:hint="default" w:ascii="Times New Roman" w:hAnsi="Times New Roman" w:cs="Times New Roman"/>
                <w:sz w:val="21"/>
                <w:szCs w:val="21"/>
                <w:lang w:val="en-US" w:eastAsia="zh-CN"/>
              </w:rPr>
              <w:t>+消毒</w:t>
            </w:r>
          </w:p>
        </w:tc>
        <w:tc>
          <w:tcPr>
            <w:tcW w:w="624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正阳牧原肉食品有限公司，屠宰生猪废水采用“车间隔油池+格栅+调节池+气浮池+水解酸化+AO+二沉池+消毒 ”处理工艺处理后，排水水质满足《肉类加工工业水污染物排放标准》（GB13457-92）表3标准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460" w:hRule="atLeast"/>
        </w:trPr>
        <w:tc>
          <w:tcPr>
            <w:tcW w:w="11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屠宰</w:t>
            </w:r>
          </w:p>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177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隔油沉淀池</w:t>
            </w:r>
          </w:p>
          <w:p>
            <w:pPr>
              <w:jc w:val="center"/>
              <w:rPr>
                <w:rFonts w:hint="default" w:ascii="Times New Roman" w:hAnsi="Times New Roman" w:cs="Times New Roman"/>
                <w:sz w:val="21"/>
                <w:szCs w:val="21"/>
              </w:rPr>
            </w:pPr>
            <w:r>
              <w:rPr>
                <w:rFonts w:hint="default" w:ascii="Times New Roman" w:hAnsi="Times New Roman" w:cs="Times New Roman"/>
                <w:sz w:val="21"/>
                <w:szCs w:val="21"/>
              </w:rPr>
              <w:t>+UASB+接触氧</w:t>
            </w:r>
          </w:p>
          <w:p>
            <w:pPr>
              <w:jc w:val="center"/>
              <w:rPr>
                <w:rFonts w:hint="default" w:ascii="Times New Roman" w:hAnsi="Times New Roman" w:cs="Times New Roman"/>
                <w:sz w:val="21"/>
                <w:szCs w:val="21"/>
              </w:rPr>
            </w:pPr>
            <w:r>
              <w:rPr>
                <w:rFonts w:hint="default" w:ascii="Times New Roman" w:hAnsi="Times New Roman" w:cs="Times New Roman"/>
                <w:sz w:val="21"/>
                <w:szCs w:val="21"/>
              </w:rPr>
              <w:t>化处理工艺</w:t>
            </w:r>
          </w:p>
        </w:tc>
        <w:tc>
          <w:tcPr>
            <w:tcW w:w="624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漯河双汇集团实业有限公司，屠宰生猪废水水质 COD</w:t>
            </w:r>
            <w:r>
              <w:rPr>
                <w:rFonts w:hint="eastAsia" w:ascii="Times New Roman" w:hAnsi="Times New Roman" w:eastAsia="宋体" w:cs="Times New Roman"/>
                <w:sz w:val="21"/>
                <w:szCs w:val="21"/>
                <w:lang w:val="en-US" w:eastAsia="zh-CN"/>
              </w:rPr>
              <w:t xml:space="preserve"> </w:t>
            </w:r>
            <w:r>
              <w:rPr>
                <w:rFonts w:hint="default" w:ascii="Times New Roman" w:hAnsi="Times New Roman" w:cs="Times New Roman"/>
                <w:sz w:val="21"/>
                <w:szCs w:val="21"/>
              </w:rPr>
              <w:t>2510mg/L、BOD</w:t>
            </w:r>
            <w:r>
              <w:rPr>
                <w:rFonts w:hint="default" w:ascii="Times New Roman" w:hAnsi="Times New Roman" w:cs="Times New Roman"/>
                <w:sz w:val="21"/>
                <w:szCs w:val="21"/>
                <w:vertAlign w:val="subscript"/>
              </w:rPr>
              <w:t>5</w:t>
            </w:r>
            <w:r>
              <w:rPr>
                <w:rFonts w:hint="eastAsia" w:ascii="Times New Roman" w:hAnsi="Times New Roman" w:eastAsia="宋体" w:cs="Times New Roman"/>
                <w:sz w:val="21"/>
                <w:szCs w:val="21"/>
                <w:lang w:val="en-US" w:eastAsia="zh-CN"/>
              </w:rPr>
              <w:t xml:space="preserve"> </w:t>
            </w:r>
            <w:r>
              <w:rPr>
                <w:rFonts w:hint="default" w:ascii="Times New Roman" w:hAnsi="Times New Roman" w:cs="Times New Roman"/>
                <w:sz w:val="21"/>
                <w:szCs w:val="21"/>
              </w:rPr>
              <w:t>1480mg/L，采用“隔油沉淀池+UASB+接触氧化+消毒”处理工艺处理后，COD去除率96.6%、BOD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去除率97.6% ，排水水质满足《肉类加工工业水污染物排放标准》（GB13457-92）表3标准。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199" w:hRule="atLeast"/>
        </w:trPr>
        <w:tc>
          <w:tcPr>
            <w:tcW w:w="11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屠宰</w:t>
            </w:r>
          </w:p>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177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气浮+水解酸化</w:t>
            </w:r>
          </w:p>
          <w:p>
            <w:pPr>
              <w:jc w:val="center"/>
              <w:rPr>
                <w:rFonts w:hint="default" w:ascii="Times New Roman" w:hAnsi="Times New Roman" w:cs="Times New Roman"/>
                <w:sz w:val="21"/>
                <w:szCs w:val="21"/>
              </w:rPr>
            </w:pPr>
            <w:r>
              <w:rPr>
                <w:rFonts w:hint="default" w:ascii="Times New Roman" w:hAnsi="Times New Roman" w:cs="Times New Roman"/>
                <w:sz w:val="21"/>
                <w:szCs w:val="21"/>
              </w:rPr>
              <w:t>+SBR+消毒处理</w:t>
            </w:r>
          </w:p>
          <w:p>
            <w:pPr>
              <w:jc w:val="center"/>
              <w:rPr>
                <w:rFonts w:hint="default" w:ascii="Times New Roman" w:hAnsi="Times New Roman" w:cs="Times New Roman"/>
                <w:sz w:val="21"/>
                <w:szCs w:val="21"/>
              </w:rPr>
            </w:pPr>
            <w:r>
              <w:rPr>
                <w:rFonts w:hint="default" w:ascii="Times New Roman" w:hAnsi="Times New Roman" w:cs="Times New Roman"/>
                <w:sz w:val="21"/>
                <w:szCs w:val="21"/>
              </w:rPr>
              <w:t>工艺</w:t>
            </w:r>
          </w:p>
        </w:tc>
        <w:tc>
          <w:tcPr>
            <w:tcW w:w="624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河南腾海食品有限公司，屠宰肉羊废水采用“格栅＋隔油池+调节</w:t>
            </w:r>
          </w:p>
          <w:p>
            <w:pPr>
              <w:jc w:val="center"/>
              <w:rPr>
                <w:rFonts w:hint="default" w:ascii="Times New Roman" w:hAnsi="Times New Roman" w:cs="Times New Roman"/>
                <w:sz w:val="21"/>
                <w:szCs w:val="21"/>
              </w:rPr>
            </w:pPr>
            <w:r>
              <w:rPr>
                <w:rFonts w:hint="default" w:ascii="Times New Roman" w:hAnsi="Times New Roman" w:cs="Times New Roman"/>
                <w:sz w:val="21"/>
                <w:szCs w:val="21"/>
              </w:rPr>
              <w:t>池+气浮+水解酸化+SBR+消毒 ”处理工艺处理后，排水水质满足《肉</w:t>
            </w:r>
          </w:p>
          <w:p>
            <w:pPr>
              <w:jc w:val="center"/>
              <w:rPr>
                <w:rFonts w:hint="default" w:ascii="Times New Roman" w:hAnsi="Times New Roman" w:cs="Times New Roman"/>
                <w:sz w:val="21"/>
                <w:szCs w:val="21"/>
              </w:rPr>
            </w:pPr>
            <w:r>
              <w:rPr>
                <w:rFonts w:hint="default" w:ascii="Times New Roman" w:hAnsi="Times New Roman" w:cs="Times New Roman"/>
                <w:sz w:val="21"/>
                <w:szCs w:val="21"/>
              </w:rPr>
              <w:t>类加工工业水污染物排放标准》（GB13457－92）表 3 标准。</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根据国内屠宰项目废水处理工艺的实际情况，综合考虑《屠宰与肉类加工废水 治理工程技术规范》（HJ2004-2010）</w:t>
      </w:r>
      <w:r>
        <w:rPr>
          <w:rFonts w:hint="eastAsia" w:ascii="Times New Roman" w:hAnsi="Times New Roman" w:eastAsia="宋体" w:cs="Times New Roman"/>
          <w:sz w:val="24"/>
          <w:szCs w:val="24"/>
          <w:lang w:eastAsia="zh-CN"/>
        </w:rPr>
        <w:t>以及</w:t>
      </w:r>
      <w:r>
        <w:rPr>
          <w:rFonts w:hint="eastAsia" w:ascii="Times New Roman" w:hAnsi="Times New Roman" w:eastAsia="宋体" w:cs="Times New Roman"/>
          <w:sz w:val="24"/>
          <w:szCs w:val="24"/>
          <w:lang w:val="en-US" w:eastAsia="zh-CN"/>
        </w:rPr>
        <w:t>《屠宰及肉类加工业污染防治可行技术指南》（HJ 1285—2023）的</w:t>
      </w:r>
      <w:r>
        <w:rPr>
          <w:rFonts w:hint="default" w:ascii="Times New Roman" w:hAnsi="Times New Roman" w:cs="Times New Roman"/>
          <w:sz w:val="24"/>
          <w:szCs w:val="24"/>
        </w:rPr>
        <w:t>要求，评价认为项目废水采用“</w:t>
      </w:r>
      <w:r>
        <w:rPr>
          <w:rFonts w:hint="default" w:ascii="Times New Roman" w:hAnsi="Times New Roman" w:cs="Times New Roman"/>
          <w:sz w:val="24"/>
          <w:szCs w:val="24"/>
          <w:lang w:eastAsia="zh-CN"/>
        </w:rPr>
        <w:t>格栅</w:t>
      </w:r>
      <w:r>
        <w:rPr>
          <w:rFonts w:hint="default" w:ascii="Times New Roman" w:hAnsi="Times New Roman" w:cs="Times New Roman"/>
          <w:sz w:val="24"/>
          <w:szCs w:val="24"/>
        </w:rPr>
        <w:t>气浮+水解酸化+生物接触氧化</w:t>
      </w:r>
      <w:r>
        <w:rPr>
          <w:rFonts w:hint="default" w:ascii="Times New Roman" w:hAnsi="Times New Roman" w:cs="Times New Roman"/>
          <w:sz w:val="24"/>
          <w:szCs w:val="24"/>
          <w:lang w:val="en-US" w:eastAsia="zh-CN"/>
        </w:rPr>
        <w:t>+消毒</w:t>
      </w:r>
      <w:r>
        <w:rPr>
          <w:rFonts w:hint="default" w:ascii="Times New Roman" w:hAnsi="Times New Roman" w:cs="Times New Roman"/>
          <w:sz w:val="24"/>
          <w:szCs w:val="24"/>
        </w:rPr>
        <w:t xml:space="preserve"> ”工艺处理是可行的。具体设计处理工艺流程见图6-</w:t>
      </w:r>
      <w:r>
        <w:rPr>
          <w:rFonts w:hint="eastAsia" w:ascii="Times New Roman" w:hAnsi="Times New Roman" w:eastAsia="宋体" w:cs="Times New Roman"/>
          <w:sz w:val="24"/>
          <w:szCs w:val="24"/>
          <w:lang w:val="en-US" w:eastAsia="zh-CN"/>
        </w:rPr>
        <w:t>2</w:t>
      </w:r>
      <w:r>
        <w:rPr>
          <w:rFonts w:hint="default" w:ascii="Times New Roman" w:hAnsi="Times New Roman" w:cs="Times New Roman"/>
          <w:sz w:val="24"/>
          <w:szCs w:val="24"/>
        </w:rPr>
        <w:t>。</w:t>
      </w:r>
    </w:p>
    <w:p>
      <w:pPr>
        <w:pStyle w:val="22"/>
      </w:pPr>
    </w:p>
    <w:p>
      <w:pPr>
        <w:spacing w:line="219" w:lineRule="auto"/>
        <w:rPr>
          <w:rFonts w:ascii="宋体" w:hAnsi="宋体" w:eastAsia="宋体" w:cs="宋体"/>
          <w:sz w:val="24"/>
          <w:szCs w:val="24"/>
        </w:rPr>
        <w:sectPr>
          <w:pgSz w:w="11906" w:h="16839"/>
          <w:pgMar w:top="1431" w:right="1270" w:bottom="1278" w:left="1498" w:header="567" w:footer="850" w:gutter="0"/>
          <w:pgBorders>
            <w:top w:val="none" w:sz="0" w:space="0"/>
            <w:left w:val="none" w:sz="0" w:space="0"/>
            <w:bottom w:val="none" w:sz="0" w:space="0"/>
            <w:right w:val="none" w:sz="0" w:space="0"/>
          </w:pgBorders>
          <w:pgNumType w:fmt="numberInDash"/>
          <w:cols w:space="720" w:num="1"/>
        </w:sectPr>
      </w:pPr>
    </w:p>
    <w:p>
      <w:pPr>
        <w:spacing w:before="22"/>
      </w:pPr>
      <w:r>
        <w:pict>
          <v:rect id="_x0000_s1151" o:spid="_x0000_s1151" o:spt="1" style="position:absolute;left:0pt;margin-left:334.45pt;margin-top:400.8pt;height:36.9pt;width:2.7pt;mso-position-horizontal-relative:page;mso-position-vertical-relative:page;z-index:251702272;mso-width-relative:page;mso-height-relative:page;" fillcolor="#000000" filled="t" stroked="f" coordsize="21600,21600" o:allowincell="f">
            <v:path/>
            <v:fill on="t" focussize="0,0"/>
            <v:stroke on="f"/>
            <v:imagedata o:title=""/>
            <o:lock v:ext="edit"/>
          </v:rect>
        </w:pict>
      </w:r>
      <w:r>
        <w:pict>
          <v:shape id="_x0000_s1152" o:spid="_x0000_s1152" o:spt="202" type="#_x0000_t202" style="position:absolute;left:0pt;margin-left:238.05pt;margin-top:432.85pt;height:50pt;width:16.5pt;mso-position-horizontal-relative:page;mso-position-vertical-relative:page;z-index:251704320;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16" w:lineRule="auto"/>
                    <w:ind w:left="20"/>
                    <w:rPr>
                      <w:rFonts w:ascii="宋体" w:hAnsi="宋体" w:eastAsia="宋体" w:cs="宋体"/>
                      <w:sz w:val="24"/>
                      <w:szCs w:val="24"/>
                    </w:rPr>
                  </w:pPr>
                  <w:r>
                    <w:rPr>
                      <w:rFonts w:ascii="宋体" w:hAnsi="宋体" w:eastAsia="宋体" w:cs="宋体"/>
                      <w:sz w:val="24"/>
                      <w:szCs w:val="24"/>
                    </w:rPr>
                    <w:t>剩余污泥</w:t>
                  </w:r>
                </w:p>
              </w:txbxContent>
            </v:textbox>
          </v:shape>
        </w:pict>
      </w:r>
      <w:r>
        <w:pict>
          <v:shape id="_x0000_s1153" o:spid="_x0000_s1153" o:spt="202" type="#_x0000_t202" style="position:absolute;left:0pt;margin-left:174.65pt;margin-top:399.25pt;height:62pt;width:16.55pt;mso-position-horizontal-relative:page;mso-position-vertical-relative:page;z-index:251705344;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217" w:lineRule="auto"/>
                    <w:ind w:left="20"/>
                    <w:rPr>
                      <w:rFonts w:ascii="宋体" w:hAnsi="宋体" w:eastAsia="宋体" w:cs="宋体"/>
                      <w:sz w:val="24"/>
                      <w:szCs w:val="24"/>
                    </w:rPr>
                  </w:pPr>
                  <w:r>
                    <w:rPr>
                      <w:rFonts w:ascii="宋体" w:hAnsi="宋体" w:eastAsia="宋体" w:cs="宋体"/>
                      <w:sz w:val="24"/>
                      <w:szCs w:val="24"/>
                    </w:rPr>
                    <w:t>上清液回流</w:t>
                  </w:r>
                </w:p>
              </w:txbxContent>
            </v:textbox>
          </v:shape>
        </w:pict>
      </w:r>
      <w:r>
        <w:pict>
          <v:group id="_x0000_s1154" o:spid="_x0000_s1154" o:spt="203" style="position:absolute;left:0pt;margin-left:374.4pt;margin-top:160.1pt;height:19.6pt;width:75.75pt;mso-position-horizontal-relative:page;mso-position-vertical-relative:page;z-index:251673600;mso-width-relative:page;mso-height-relative:page;" coordsize="1515,392" o:allowincell="f">
            <o:lock v:ext="edit"/>
            <v:shape id="_x0000_s1155" o:spid="_x0000_s1155" o:spt="75" type="#_x0000_t75" style="position:absolute;left:0;top:0;height:392;width:1515;" filled="f" stroked="f" coordsize="21600,21600">
              <v:path/>
              <v:fill on="f" focussize="0,0"/>
              <v:stroke on="f"/>
              <v:imagedata r:id="rId75" o:title=""/>
              <o:lock v:ext="edit" aspectratio="t"/>
            </v:shape>
            <v:shape id="_x0000_s1156" o:spid="_x0000_s1156" o:spt="202" type="#_x0000_t202" style="position:absolute;left:-20;top:-20;height:480;width:1555;" filled="f" stroked="f" coordsize="21600,21600">
              <v:path/>
              <v:fill on="f" focussize="0,0"/>
              <v:stroke on="f"/>
              <v:imagedata o:title=""/>
              <o:lock v:ext="edit" aspectratio="f"/>
              <v:textbox inset="0mm,0mm,0mm,0mm">
                <w:txbxContent>
                  <w:p>
                    <w:pPr>
                      <w:spacing w:before="71" w:line="221" w:lineRule="auto"/>
                      <w:ind w:left="898"/>
                      <w:rPr>
                        <w:rFonts w:ascii="宋体" w:hAnsi="宋体" w:eastAsia="宋体" w:cs="宋体"/>
                        <w:sz w:val="24"/>
                        <w:szCs w:val="24"/>
                      </w:rPr>
                    </w:pPr>
                    <w:r>
                      <w:rPr>
                        <w:rFonts w:ascii="宋体" w:hAnsi="宋体" w:eastAsia="宋体" w:cs="宋体"/>
                        <w:spacing w:val="-5"/>
                        <w:sz w:val="24"/>
                        <w:szCs w:val="24"/>
                      </w:rPr>
                      <w:t>排渣</w:t>
                    </w:r>
                  </w:p>
                </w:txbxContent>
              </v:textbox>
            </v:shape>
          </v:group>
        </w:pict>
      </w:r>
      <w:r>
        <w:pict>
          <v:shape id="_x0000_s1157" o:spid="_x0000_s1157" o:spt="202" type="#_x0000_t202" style="position:absolute;left:0pt;margin-left:410.8pt;margin-top:198.75pt;height:20.3pt;width:36.95pt;mso-position-horizontal-relative:page;mso-position-vertical-relative:page;z-index:25168281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24"/>
                    <w:tblW w:w="673" w:type="dxa"/>
                    <w:tblInd w:w="32" w:type="dxa"/>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
                  <w:tblGrid>
                    <w:gridCol w:w="673"/>
                  </w:tblGrid>
                  <w:tr>
                    <w:tblPrEx>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673" w:type="dxa"/>
                        <w:vAlign w:val="top"/>
                      </w:tcPr>
                      <w:p>
                        <w:pPr>
                          <w:pStyle w:val="25"/>
                          <w:spacing w:before="26" w:line="214" w:lineRule="auto"/>
                          <w:ind w:left="92"/>
                          <w:rPr>
                            <w:sz w:val="24"/>
                            <w:szCs w:val="24"/>
                          </w:rPr>
                        </w:pPr>
                        <w:r>
                          <w:rPr>
                            <w:spacing w:val="-5"/>
                            <w:sz w:val="24"/>
                            <w:szCs w:val="24"/>
                          </w:rPr>
                          <w:t>排渣</w:t>
                        </w:r>
                      </w:p>
                    </w:tc>
                  </w:tr>
                </w:tbl>
                <w:p>
                  <w:pPr>
                    <w:pStyle w:val="8"/>
                  </w:pPr>
                </w:p>
              </w:txbxContent>
            </v:textbox>
          </v:shape>
        </w:pict>
      </w:r>
      <w:r>
        <w:drawing>
          <wp:anchor distT="0" distB="0" distL="0" distR="0" simplePos="0" relativeHeight="251685888" behindDoc="0" locked="0" layoutInCell="0" allowOverlap="1">
            <wp:simplePos x="0" y="0"/>
            <wp:positionH relativeFrom="page">
              <wp:posOffset>4759325</wp:posOffset>
            </wp:positionH>
            <wp:positionV relativeFrom="page">
              <wp:posOffset>2638425</wp:posOffset>
            </wp:positionV>
            <wp:extent cx="452120" cy="7620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76"/>
                    <a:stretch>
                      <a:fillRect/>
                    </a:stretch>
                  </pic:blipFill>
                  <pic:spPr>
                    <a:xfrm>
                      <a:off x="0" y="0"/>
                      <a:ext cx="452120" cy="76200"/>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2510155</wp:posOffset>
            </wp:positionH>
            <wp:positionV relativeFrom="page">
              <wp:posOffset>3283585</wp:posOffset>
            </wp:positionV>
            <wp:extent cx="76200" cy="330644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77"/>
                    <a:stretch>
                      <a:fillRect/>
                    </a:stretch>
                  </pic:blipFill>
                  <pic:spPr>
                    <a:xfrm>
                      <a:off x="0" y="0"/>
                      <a:ext cx="76200" cy="3306445"/>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1877695</wp:posOffset>
            </wp:positionH>
            <wp:positionV relativeFrom="page">
              <wp:posOffset>3283585</wp:posOffset>
            </wp:positionV>
            <wp:extent cx="76200" cy="401828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78"/>
                    <a:stretch>
                      <a:fillRect/>
                    </a:stretch>
                  </pic:blipFill>
                  <pic:spPr>
                    <a:xfrm>
                      <a:off x="0" y="0"/>
                      <a:ext cx="76200" cy="4018280"/>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1919605</wp:posOffset>
            </wp:positionH>
            <wp:positionV relativeFrom="page">
              <wp:posOffset>3245485</wp:posOffset>
            </wp:positionV>
            <wp:extent cx="1940560" cy="7620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79"/>
                    <a:stretch>
                      <a:fillRect/>
                    </a:stretch>
                  </pic:blipFill>
                  <pic:spPr>
                    <a:xfrm>
                      <a:off x="0" y="0"/>
                      <a:ext cx="1940560" cy="76200"/>
                    </a:xfrm>
                    <a:prstGeom prst="rect">
                      <a:avLst/>
                    </a:prstGeom>
                  </pic:spPr>
                </pic:pic>
              </a:graphicData>
            </a:graphic>
          </wp:anchor>
        </w:drawing>
      </w:r>
      <w:r>
        <w:pict>
          <v:shape id="_x0000_s1158" o:spid="_x0000_s1158" o:spt="202" type="#_x0000_t202" style="position:absolute;left:0pt;margin-left:249.15pt;margin-top:306.95pt;height:16.4pt;width:25.45pt;mso-position-horizontal-relative:page;mso-position-vertical-relative:page;z-index:251684864;mso-width-relative:page;mso-height-relative:page;" filled="f" stroked="f" coordsize="21600,21600" o:allowincell="f">
            <v:path/>
            <v:fill on="f" focussize="0,0"/>
            <v:stroke on="f"/>
            <v:imagedata o:title=""/>
            <o:lock v:ext="edit" aspectratio="f"/>
            <v:textbox inset="0mm,0mm,0mm,0mm">
              <w:txbxContent>
                <w:p>
                  <w:pPr>
                    <w:spacing w:before="19" w:line="221" w:lineRule="auto"/>
                    <w:ind w:left="20"/>
                    <w:rPr>
                      <w:rFonts w:ascii="宋体" w:hAnsi="宋体" w:eastAsia="宋体" w:cs="宋体"/>
                      <w:sz w:val="24"/>
                      <w:szCs w:val="24"/>
                    </w:rPr>
                  </w:pPr>
                  <w:r>
                    <w:rPr>
                      <w:rFonts w:ascii="宋体" w:hAnsi="宋体" w:eastAsia="宋体" w:cs="宋体"/>
                      <w:spacing w:val="-6"/>
                      <w:sz w:val="24"/>
                      <w:szCs w:val="24"/>
                    </w:rPr>
                    <w:t>浮渣</w:t>
                  </w:r>
                </w:p>
              </w:txbxContent>
            </v:textbox>
          </v:shape>
        </w:pict>
      </w:r>
      <w:r>
        <w:drawing>
          <wp:anchor distT="0" distB="0" distL="0" distR="0" simplePos="0" relativeHeight="251677696" behindDoc="0" locked="0" layoutInCell="0" allowOverlap="1">
            <wp:simplePos x="0" y="0"/>
            <wp:positionH relativeFrom="page">
              <wp:posOffset>2844800</wp:posOffset>
            </wp:positionH>
            <wp:positionV relativeFrom="page">
              <wp:posOffset>3768725</wp:posOffset>
            </wp:positionV>
            <wp:extent cx="996950" cy="7620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80"/>
                    <a:stretch>
                      <a:fillRect/>
                    </a:stretch>
                  </pic:blipFill>
                  <pic:spPr>
                    <a:xfrm>
                      <a:off x="0" y="0"/>
                      <a:ext cx="996950" cy="76200"/>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2807335</wp:posOffset>
            </wp:positionH>
            <wp:positionV relativeFrom="page">
              <wp:posOffset>3827780</wp:posOffset>
            </wp:positionV>
            <wp:extent cx="76200" cy="276225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81"/>
                    <a:stretch>
                      <a:fillRect/>
                    </a:stretch>
                  </pic:blipFill>
                  <pic:spPr>
                    <a:xfrm>
                      <a:off x="0" y="0"/>
                      <a:ext cx="76200" cy="2762250"/>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3098165</wp:posOffset>
            </wp:positionH>
            <wp:positionV relativeFrom="page">
              <wp:posOffset>3817620</wp:posOffset>
            </wp:positionV>
            <wp:extent cx="447675" cy="255905"/>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82"/>
                    <a:stretch>
                      <a:fillRect/>
                    </a:stretch>
                  </pic:blipFill>
                  <pic:spPr>
                    <a:xfrm>
                      <a:off x="0" y="0"/>
                      <a:ext cx="447675" cy="255905"/>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3331210</wp:posOffset>
            </wp:positionH>
            <wp:positionV relativeFrom="page">
              <wp:posOffset>4816475</wp:posOffset>
            </wp:positionV>
            <wp:extent cx="76200" cy="183578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83"/>
                    <a:stretch>
                      <a:fillRect/>
                    </a:stretch>
                  </pic:blipFill>
                  <pic:spPr>
                    <a:xfrm>
                      <a:off x="0" y="0"/>
                      <a:ext cx="76200" cy="1835784"/>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3366770</wp:posOffset>
            </wp:positionH>
            <wp:positionV relativeFrom="page">
              <wp:posOffset>4951730</wp:posOffset>
            </wp:positionV>
            <wp:extent cx="444500" cy="22225"/>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84"/>
                    <a:stretch>
                      <a:fillRect/>
                    </a:stretch>
                  </pic:blipFill>
                  <pic:spPr>
                    <a:xfrm>
                      <a:off x="0" y="0"/>
                      <a:ext cx="444500" cy="22225"/>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3672840</wp:posOffset>
            </wp:positionH>
            <wp:positionV relativeFrom="page">
              <wp:posOffset>4716145</wp:posOffset>
            </wp:positionV>
            <wp:extent cx="77470" cy="353695"/>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85"/>
                    <a:stretch>
                      <a:fillRect/>
                    </a:stretch>
                  </pic:blipFill>
                  <pic:spPr>
                    <a:xfrm>
                      <a:off x="0" y="0"/>
                      <a:ext cx="77787" cy="354012"/>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2182495</wp:posOffset>
            </wp:positionH>
            <wp:positionV relativeFrom="page">
              <wp:posOffset>4966335</wp:posOffset>
            </wp:positionV>
            <wp:extent cx="296545" cy="996315"/>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86"/>
                    <a:stretch>
                      <a:fillRect/>
                    </a:stretch>
                  </pic:blipFill>
                  <pic:spPr>
                    <a:xfrm>
                      <a:off x="0" y="0"/>
                      <a:ext cx="296544" cy="996314"/>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3820160</wp:posOffset>
            </wp:positionH>
            <wp:positionV relativeFrom="page">
              <wp:posOffset>4924425</wp:posOffset>
            </wp:positionV>
            <wp:extent cx="82550" cy="7620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87"/>
                    <a:stretch>
                      <a:fillRect/>
                    </a:stretch>
                  </pic:blipFill>
                  <pic:spPr>
                    <a:xfrm>
                      <a:off x="0" y="0"/>
                      <a:ext cx="82550" cy="76200"/>
                    </a:xfrm>
                    <a:prstGeom prst="rect">
                      <a:avLst/>
                    </a:prstGeom>
                  </pic:spPr>
                </pic:pic>
              </a:graphicData>
            </a:graphic>
          </wp:anchor>
        </w:drawing>
      </w:r>
      <w:r>
        <w:pict>
          <v:shape id="_x0000_s1160" o:spid="_x0000_s1160" o:spt="202" type="#_x0000_t202" style="position:absolute;left:0pt;margin-left:121.7pt;margin-top:418.15pt;height:71.15pt;width:24.8pt;mso-position-horizontal-relative:page;mso-position-vertical-relative:page;z-index:25167155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24"/>
                    <w:tblW w:w="430" w:type="dxa"/>
                    <w:tblInd w:w="32" w:type="dxa"/>
                    <w:tblBorders>
                      <w:top w:val="single" w:color="FFFFFF" w:sz="8" w:space="0"/>
                      <w:left w:val="single" w:color="FFFFFF" w:sz="10" w:space="0"/>
                      <w:bottom w:val="single" w:color="FFFFFF" w:sz="8"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
                  <w:tblGrid>
                    <w:gridCol w:w="430"/>
                  </w:tblGrid>
                  <w:tr>
                    <w:tblPrEx>
                      <w:tblBorders>
                        <w:top w:val="single" w:color="FFFFFF" w:sz="8" w:space="0"/>
                        <w:left w:val="single" w:color="FFFFFF" w:sz="10" w:space="0"/>
                        <w:bottom w:val="single" w:color="FFFFFF" w:sz="8"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Ex>
                    <w:trPr>
                      <w:trHeight w:val="1342" w:hRule="atLeast"/>
                    </w:trPr>
                    <w:tc>
                      <w:tcPr>
                        <w:tcW w:w="430" w:type="dxa"/>
                        <w:textDirection w:val="tbRlV"/>
                        <w:vAlign w:val="top"/>
                      </w:tcPr>
                      <w:p>
                        <w:pPr>
                          <w:pStyle w:val="25"/>
                          <w:spacing w:before="74" w:line="217" w:lineRule="auto"/>
                          <w:ind w:left="191"/>
                          <w:rPr>
                            <w:sz w:val="24"/>
                            <w:szCs w:val="24"/>
                          </w:rPr>
                        </w:pPr>
                        <w:r>
                          <w:rPr>
                            <w:sz w:val="24"/>
                            <w:szCs w:val="24"/>
                          </w:rPr>
                          <w:t>滤液回流</w:t>
                        </w:r>
                      </w:p>
                    </w:tc>
                  </w:tr>
                </w:tbl>
                <w:p>
                  <w:pPr>
                    <w:pStyle w:val="8"/>
                  </w:pPr>
                </w:p>
              </w:txbxContent>
            </v:textbox>
          </v:shape>
        </w:pict>
      </w:r>
      <w:r>
        <w:drawing>
          <wp:anchor distT="0" distB="0" distL="0" distR="0" simplePos="0" relativeHeight="251699200" behindDoc="0" locked="0" layoutInCell="0" allowOverlap="1">
            <wp:simplePos x="0" y="0"/>
            <wp:positionH relativeFrom="page">
              <wp:posOffset>3672840</wp:posOffset>
            </wp:positionH>
            <wp:positionV relativeFrom="page">
              <wp:posOffset>5734050</wp:posOffset>
            </wp:positionV>
            <wp:extent cx="15875" cy="60325"/>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88"/>
                    <a:stretch>
                      <a:fillRect/>
                    </a:stretch>
                  </pic:blipFill>
                  <pic:spPr>
                    <a:xfrm>
                      <a:off x="0" y="0"/>
                      <a:ext cx="15875" cy="60325"/>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3020060</wp:posOffset>
            </wp:positionH>
            <wp:positionV relativeFrom="page">
              <wp:posOffset>5406390</wp:posOffset>
            </wp:positionV>
            <wp:extent cx="264160" cy="81534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89"/>
                    <a:stretch>
                      <a:fillRect/>
                    </a:stretch>
                  </pic:blipFill>
                  <pic:spPr>
                    <a:xfrm>
                      <a:off x="0" y="0"/>
                      <a:ext cx="264159" cy="815339"/>
                    </a:xfrm>
                    <a:prstGeom prst="rect">
                      <a:avLst/>
                    </a:prstGeom>
                  </pic:spPr>
                </pic:pic>
              </a:graphicData>
            </a:graphic>
          </wp:anchor>
        </w:drawing>
      </w:r>
      <w:r>
        <w:pict>
          <v:shape id="_x0000_s1161" o:spid="_x0000_s1161" o:spt="202" type="#_x0000_t202" style="position:absolute;left:0pt;margin-left:173.3pt;margin-top:525.95pt;height:40.75pt;width:61.4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pPr>
                    <w:spacing w:before="20" w:line="489" w:lineRule="exact"/>
                    <w:ind w:left="20"/>
                    <w:rPr>
                      <w:rFonts w:ascii="宋体" w:hAnsi="宋体" w:eastAsia="宋体" w:cs="宋体"/>
                      <w:sz w:val="24"/>
                      <w:szCs w:val="24"/>
                    </w:rPr>
                  </w:pPr>
                  <w:r>
                    <w:rPr>
                      <w:rFonts w:ascii="宋体" w:hAnsi="宋体" w:eastAsia="宋体" w:cs="宋体"/>
                      <w:spacing w:val="-3"/>
                      <w:position w:val="19"/>
                      <w:sz w:val="24"/>
                      <w:szCs w:val="24"/>
                    </w:rPr>
                    <w:t>污泥浓缩池</w:t>
                  </w:r>
                </w:p>
                <w:p>
                  <w:pPr>
                    <w:spacing w:line="219" w:lineRule="auto"/>
                    <w:ind w:left="871"/>
                    <w:rPr>
                      <w:rFonts w:ascii="宋体" w:hAnsi="宋体" w:eastAsia="宋体" w:cs="宋体"/>
                      <w:sz w:val="24"/>
                      <w:szCs w:val="24"/>
                    </w:rPr>
                  </w:pPr>
                  <w:r>
                    <w:rPr>
                      <w:rFonts w:ascii="宋体" w:hAnsi="宋体" w:eastAsia="宋体" w:cs="宋体"/>
                      <w:sz w:val="24"/>
                      <w:szCs w:val="24"/>
                    </w:rPr>
                    <w:t>泵</w:t>
                  </w:r>
                </w:p>
              </w:txbxContent>
            </v:textbox>
          </v:shape>
        </w:pict>
      </w:r>
      <w:r>
        <w:drawing>
          <wp:anchor distT="0" distB="0" distL="0" distR="0" simplePos="0" relativeHeight="251687936" behindDoc="0" locked="0" layoutInCell="0" allowOverlap="1">
            <wp:simplePos x="0" y="0"/>
            <wp:positionH relativeFrom="page">
              <wp:posOffset>3134995</wp:posOffset>
            </wp:positionH>
            <wp:positionV relativeFrom="page">
              <wp:posOffset>6732270</wp:posOffset>
            </wp:positionV>
            <wp:extent cx="704850" cy="3556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90"/>
                    <a:stretch>
                      <a:fillRect/>
                    </a:stretch>
                  </pic:blipFill>
                  <pic:spPr>
                    <a:xfrm>
                      <a:off x="0" y="0"/>
                      <a:ext cx="704951" cy="35712"/>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2137410</wp:posOffset>
            </wp:positionH>
            <wp:positionV relativeFrom="page">
              <wp:posOffset>6595110</wp:posOffset>
            </wp:positionV>
            <wp:extent cx="998220" cy="30480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91"/>
                    <a:stretch>
                      <a:fillRect/>
                    </a:stretch>
                  </pic:blipFill>
                  <pic:spPr>
                    <a:xfrm>
                      <a:off x="0" y="0"/>
                      <a:ext cx="998384" cy="304800"/>
                    </a:xfrm>
                    <a:prstGeom prst="rect">
                      <a:avLst/>
                    </a:prstGeom>
                  </pic:spPr>
                </pic:pic>
              </a:graphicData>
            </a:graphic>
          </wp:anchor>
        </w:drawing>
      </w:r>
      <w:r>
        <w:pict>
          <v:shape id="_x0000_s1162" o:spid="_x0000_s1162" o:spt="202" type="#_x0000_t202" style="position:absolute;left:0pt;margin-left:261.75pt;margin-top:543pt;height:16.4pt;width:25.45pt;mso-position-horizontal-relative:page;mso-position-vertical-relative:page;z-index:251683840;mso-width-relative:page;mso-height-relative:page;" filled="f" stroked="f" coordsize="21600,21600" o:allowincell="f">
            <v:path/>
            <v:fill on="f" focussize="0,0"/>
            <v:stroke on="f"/>
            <v:imagedata o:title=""/>
            <o:lock v:ext="edit" aspectratio="f"/>
            <v:textbox inset="0mm,0mm,0mm,0mm">
              <w:txbxContent>
                <w:p>
                  <w:pPr>
                    <w:spacing w:before="20" w:line="221" w:lineRule="auto"/>
                    <w:ind w:left="20"/>
                    <w:rPr>
                      <w:rFonts w:ascii="宋体" w:hAnsi="宋体" w:eastAsia="宋体" w:cs="宋体"/>
                      <w:sz w:val="24"/>
                      <w:szCs w:val="24"/>
                    </w:rPr>
                  </w:pPr>
                  <w:r>
                    <w:rPr>
                      <w:rFonts w:ascii="宋体" w:hAnsi="宋体" w:eastAsia="宋体" w:cs="宋体"/>
                      <w:spacing w:val="-6"/>
                      <w:sz w:val="24"/>
                      <w:szCs w:val="24"/>
                    </w:rPr>
                    <w:t>污泥</w:t>
                  </w:r>
                </w:p>
              </w:txbxContent>
            </v:textbox>
          </v:shape>
        </w:pict>
      </w:r>
      <w:r>
        <w:pict>
          <v:shape id="_x0000_s1163" o:spid="_x0000_s1163" o:spt="202" type="#_x0000_t202" style="position:absolute;left:0pt;margin-left:167.3pt;margin-top:565.15pt;height:26pt;width:73.1pt;mso-position-horizontal-relative:page;mso-position-vertical-relative:page;z-index:25167052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24"/>
                    <w:tblW w:w="1401"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0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Ex>
                    <w:trPr>
                      <w:trHeight w:val="440" w:hRule="atLeast"/>
                    </w:trPr>
                    <w:tc>
                      <w:tcPr>
                        <w:tcW w:w="1401" w:type="dxa"/>
                        <w:vAlign w:val="top"/>
                      </w:tcPr>
                      <w:p>
                        <w:pPr>
                          <w:pStyle w:val="25"/>
                          <w:spacing w:before="132" w:line="219" w:lineRule="auto"/>
                          <w:ind w:left="99"/>
                          <w:rPr>
                            <w:sz w:val="24"/>
                            <w:szCs w:val="24"/>
                          </w:rPr>
                        </w:pPr>
                        <w:r>
                          <w:rPr>
                            <w:spacing w:val="-3"/>
                            <w:sz w:val="24"/>
                            <w:szCs w:val="24"/>
                          </w:rPr>
                          <w:t>板框压滤机</w:t>
                        </w:r>
                      </w:p>
                    </w:tc>
                  </w:tr>
                </w:tbl>
                <w:p>
                  <w:pPr>
                    <w:pStyle w:val="8"/>
                  </w:pPr>
                </w:p>
              </w:txbxContent>
            </v:textbox>
          </v:shape>
        </w:pict>
      </w:r>
      <w:r>
        <w:drawing>
          <wp:anchor distT="0" distB="0" distL="0" distR="0" simplePos="0" relativeHeight="251695104" behindDoc="0" locked="0" layoutInCell="0" allowOverlap="1">
            <wp:simplePos x="0" y="0"/>
            <wp:positionH relativeFrom="page">
              <wp:posOffset>2473325</wp:posOffset>
            </wp:positionH>
            <wp:positionV relativeFrom="page">
              <wp:posOffset>6900545</wp:posOffset>
            </wp:positionV>
            <wp:extent cx="28575" cy="193675"/>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92"/>
                    <a:stretch>
                      <a:fillRect/>
                    </a:stretch>
                  </pic:blipFill>
                  <pic:spPr>
                    <a:xfrm>
                      <a:off x="0" y="0"/>
                      <a:ext cx="28575" cy="193675"/>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2013585</wp:posOffset>
            </wp:positionH>
            <wp:positionV relativeFrom="page">
              <wp:posOffset>7312025</wp:posOffset>
            </wp:positionV>
            <wp:extent cx="111125" cy="22225"/>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93"/>
                    <a:stretch>
                      <a:fillRect/>
                    </a:stretch>
                  </pic:blipFill>
                  <pic:spPr>
                    <a:xfrm>
                      <a:off x="0" y="0"/>
                      <a:ext cx="111125" cy="22225"/>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2447925</wp:posOffset>
            </wp:positionH>
            <wp:positionV relativeFrom="page">
              <wp:posOffset>7094220</wp:posOffset>
            </wp:positionV>
            <wp:extent cx="76200" cy="94615"/>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94"/>
                    <a:stretch>
                      <a:fillRect/>
                    </a:stretch>
                  </pic:blipFill>
                  <pic:spPr>
                    <a:xfrm>
                      <a:off x="0" y="0"/>
                      <a:ext cx="76200" cy="94615"/>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2601595</wp:posOffset>
            </wp:positionH>
            <wp:positionV relativeFrom="page">
              <wp:posOffset>6910070</wp:posOffset>
            </wp:positionV>
            <wp:extent cx="445135" cy="267970"/>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95"/>
                    <a:stretch>
                      <a:fillRect/>
                    </a:stretch>
                  </pic:blipFill>
                  <pic:spPr>
                    <a:xfrm>
                      <a:off x="0" y="0"/>
                      <a:ext cx="445134" cy="267970"/>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1896110</wp:posOffset>
            </wp:positionH>
            <wp:positionV relativeFrom="page">
              <wp:posOffset>7284720</wp:posOffset>
            </wp:positionV>
            <wp:extent cx="101600" cy="76200"/>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96"/>
                    <a:stretch>
                      <a:fillRect/>
                    </a:stretch>
                  </pic:blipFill>
                  <pic:spPr>
                    <a:xfrm>
                      <a:off x="0" y="0"/>
                      <a:ext cx="101600" cy="76200"/>
                    </a:xfrm>
                    <a:prstGeom prst="rect">
                      <a:avLst/>
                    </a:prstGeom>
                  </pic:spPr>
                </pic:pic>
              </a:graphicData>
            </a:graphic>
          </wp:anchor>
        </w:drawing>
      </w:r>
      <w:r>
        <w:pict>
          <v:shape id="_x0000_s1164" o:spid="_x0000_s1164" o:spt="202" type="#_x0000_t202" style="position:absolute;left:0pt;margin-left:168.55pt;margin-top:609.55pt;height:27.25pt;width:58pt;mso-position-horizontal-relative:page;mso-position-vertical-relative:page;z-index:25167462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24"/>
                    <w:tblW w:w="1095" w:type="dxa"/>
                    <w:tblInd w:w="32" w:type="dxa"/>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
                  <w:tblGrid>
                    <w:gridCol w:w="1095"/>
                  </w:tblGrid>
                  <w:tr>
                    <w:tblPrEx>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PrEx>
                    <w:trPr>
                      <w:trHeight w:val="455" w:hRule="atLeast"/>
                    </w:trPr>
                    <w:tc>
                      <w:tcPr>
                        <w:tcW w:w="1095" w:type="dxa"/>
                        <w:vAlign w:val="top"/>
                      </w:tcPr>
                      <w:p>
                        <w:pPr>
                          <w:pStyle w:val="25"/>
                          <w:spacing w:before="122" w:line="220" w:lineRule="auto"/>
                          <w:ind w:left="65"/>
                          <w:rPr>
                            <w:sz w:val="24"/>
                            <w:szCs w:val="24"/>
                          </w:rPr>
                        </w:pPr>
                        <w:r>
                          <w:rPr>
                            <w:spacing w:val="-3"/>
                            <w:sz w:val="24"/>
                            <w:szCs w:val="24"/>
                          </w:rPr>
                          <w:t>泥饼外运</w:t>
                        </w:r>
                      </w:p>
                    </w:tc>
                  </w:tr>
                </w:tbl>
                <w:p>
                  <w:pPr>
                    <w:pStyle w:val="8"/>
                  </w:pPr>
                </w:p>
              </w:txbxContent>
            </v:textbox>
          </v:shape>
        </w:pict>
      </w:r>
      <w:r>
        <w:drawing>
          <wp:anchor distT="0" distB="0" distL="0" distR="0" simplePos="0" relativeHeight="251698176" behindDoc="0" locked="0" layoutInCell="0" allowOverlap="1">
            <wp:simplePos x="0" y="0"/>
            <wp:positionH relativeFrom="page">
              <wp:posOffset>3672840</wp:posOffset>
            </wp:positionH>
            <wp:positionV relativeFrom="page">
              <wp:posOffset>6096000</wp:posOffset>
            </wp:positionV>
            <wp:extent cx="15875" cy="60325"/>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88"/>
                    <a:stretch>
                      <a:fillRect/>
                    </a:stretch>
                  </pic:blipFill>
                  <pic:spPr>
                    <a:xfrm>
                      <a:off x="0" y="0"/>
                      <a:ext cx="15875" cy="60325"/>
                    </a:xfrm>
                    <a:prstGeom prst="rect">
                      <a:avLst/>
                    </a:prstGeom>
                  </pic:spPr>
                </pic:pic>
              </a:graphicData>
            </a:graphic>
          </wp:anchor>
        </w:drawing>
      </w:r>
      <w:r>
        <w:drawing>
          <wp:anchor distT="0" distB="0" distL="0" distR="0" simplePos="0" relativeHeight="251700224" behindDoc="0" locked="0" layoutInCell="0" allowOverlap="1">
            <wp:simplePos x="0" y="0"/>
            <wp:positionH relativeFrom="page">
              <wp:posOffset>3672840</wp:posOffset>
            </wp:positionH>
            <wp:positionV relativeFrom="page">
              <wp:posOffset>5915025</wp:posOffset>
            </wp:positionV>
            <wp:extent cx="15875" cy="60325"/>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88"/>
                    <a:stretch>
                      <a:fillRect/>
                    </a:stretch>
                  </pic:blipFill>
                  <pic:spPr>
                    <a:xfrm>
                      <a:off x="0" y="0"/>
                      <a:ext cx="15875" cy="60325"/>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3779520</wp:posOffset>
            </wp:positionH>
            <wp:positionV relativeFrom="page">
              <wp:posOffset>6163945</wp:posOffset>
            </wp:positionV>
            <wp:extent cx="60325" cy="15875"/>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97"/>
                    <a:stretch>
                      <a:fillRect/>
                    </a:stretch>
                  </pic:blipFill>
                  <pic:spPr>
                    <a:xfrm>
                      <a:off x="0" y="0"/>
                      <a:ext cx="60324" cy="15875"/>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2462530</wp:posOffset>
            </wp:positionH>
            <wp:positionV relativeFrom="page">
              <wp:posOffset>7486650</wp:posOffset>
            </wp:positionV>
            <wp:extent cx="28575" cy="193675"/>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98"/>
                    <a:stretch>
                      <a:fillRect/>
                    </a:stretch>
                  </pic:blipFill>
                  <pic:spPr>
                    <a:xfrm>
                      <a:off x="0" y="0"/>
                      <a:ext cx="28575" cy="193675"/>
                    </a:xfrm>
                    <a:prstGeom prst="rect">
                      <a:avLst/>
                    </a:prstGeom>
                  </pic:spPr>
                </pic:pic>
              </a:graphicData>
            </a:graphic>
          </wp:anchor>
        </w:drawing>
      </w:r>
      <w:r>
        <w:drawing>
          <wp:anchor distT="0" distB="0" distL="0" distR="0" simplePos="0" relativeHeight="251696128" behindDoc="0" locked="0" layoutInCell="0" allowOverlap="1">
            <wp:simplePos x="0" y="0"/>
            <wp:positionH relativeFrom="page">
              <wp:posOffset>4141470</wp:posOffset>
            </wp:positionH>
            <wp:positionV relativeFrom="page">
              <wp:posOffset>6163945</wp:posOffset>
            </wp:positionV>
            <wp:extent cx="241300" cy="15875"/>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99"/>
                    <a:stretch>
                      <a:fillRect/>
                    </a:stretch>
                  </pic:blipFill>
                  <pic:spPr>
                    <a:xfrm>
                      <a:off x="0" y="0"/>
                      <a:ext cx="241300" cy="15875"/>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2437130</wp:posOffset>
            </wp:positionH>
            <wp:positionV relativeFrom="page">
              <wp:posOffset>7680325</wp:posOffset>
            </wp:positionV>
            <wp:extent cx="76200" cy="94615"/>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00"/>
                    <a:stretch>
                      <a:fillRect/>
                    </a:stretch>
                  </pic:blipFill>
                  <pic:spPr>
                    <a:xfrm>
                      <a:off x="0" y="0"/>
                      <a:ext cx="76200" cy="94615"/>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4244340</wp:posOffset>
            </wp:positionH>
            <wp:positionV relativeFrom="page">
              <wp:posOffset>7464425</wp:posOffset>
            </wp:positionV>
            <wp:extent cx="34290" cy="299085"/>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01"/>
                    <a:stretch>
                      <a:fillRect/>
                    </a:stretch>
                  </pic:blipFill>
                  <pic:spPr>
                    <a:xfrm>
                      <a:off x="0" y="0"/>
                      <a:ext cx="34213" cy="299084"/>
                    </a:xfrm>
                    <a:prstGeom prst="rect">
                      <a:avLst/>
                    </a:prstGeom>
                  </pic:spPr>
                </pic:pic>
              </a:graphicData>
            </a:graphic>
          </wp:anchor>
        </w:drawing>
      </w:r>
    </w:p>
    <w:p>
      <w:pPr>
        <w:spacing w:before="22"/>
      </w:pPr>
    </w:p>
    <w:p>
      <w:pPr>
        <w:spacing w:before="22"/>
      </w:pPr>
    </w:p>
    <w:p>
      <w:pPr>
        <w:spacing w:before="21"/>
      </w:pPr>
    </w:p>
    <w:tbl>
      <w:tblPr>
        <w:tblStyle w:val="24"/>
        <w:tblW w:w="1024" w:type="dxa"/>
        <w:tblInd w:w="4419" w:type="dxa"/>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
      <w:tblGrid>
        <w:gridCol w:w="1024"/>
      </w:tblGrid>
      <w:tr>
        <w:tblPrEx>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Ex>
        <w:trPr>
          <w:trHeight w:val="273" w:hRule="atLeast"/>
        </w:trPr>
        <w:tc>
          <w:tcPr>
            <w:tcW w:w="1024" w:type="dxa"/>
            <w:vAlign w:val="top"/>
          </w:tcPr>
          <w:p>
            <w:pPr>
              <w:pStyle w:val="25"/>
              <w:spacing w:before="26" w:line="182" w:lineRule="auto"/>
              <w:ind w:left="268"/>
              <w:rPr>
                <w:sz w:val="24"/>
                <w:szCs w:val="24"/>
              </w:rPr>
            </w:pPr>
            <w:r>
              <w:rPr>
                <w:spacing w:val="-5"/>
                <w:sz w:val="24"/>
                <w:szCs w:val="24"/>
              </w:rPr>
              <w:t>废水</w:t>
            </w:r>
          </w:p>
        </w:tc>
      </w:tr>
    </w:tbl>
    <w:p>
      <w:pPr>
        <w:spacing w:before="6" w:line="332" w:lineRule="exact"/>
        <w:ind w:firstLine="4804"/>
      </w:pPr>
      <w:r>
        <w:rPr>
          <w:position w:val="-6"/>
        </w:rPr>
        <w:drawing>
          <wp:inline distT="0" distB="0" distL="0" distR="0">
            <wp:extent cx="33655" cy="210185"/>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02"/>
                    <a:stretch>
                      <a:fillRect/>
                    </a:stretch>
                  </pic:blipFill>
                  <pic:spPr>
                    <a:xfrm>
                      <a:off x="0" y="0"/>
                      <a:ext cx="34214" cy="210343"/>
                    </a:xfrm>
                    <a:prstGeom prst="rect">
                      <a:avLst/>
                    </a:prstGeom>
                  </pic:spPr>
                </pic:pic>
              </a:graphicData>
            </a:graphic>
          </wp:inline>
        </w:drawing>
      </w:r>
    </w:p>
    <w:tbl>
      <w:tblPr>
        <w:tblStyle w:val="24"/>
        <w:tblW w:w="1401" w:type="dxa"/>
        <w:tblInd w:w="4293"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0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401" w:type="dxa"/>
            <w:vAlign w:val="top"/>
          </w:tcPr>
          <w:p>
            <w:pPr>
              <w:pStyle w:val="25"/>
              <w:spacing w:before="118" w:line="205" w:lineRule="auto"/>
              <w:ind w:left="340"/>
              <w:rPr>
                <w:sz w:val="24"/>
                <w:szCs w:val="24"/>
              </w:rPr>
            </w:pPr>
            <w:r>
              <w:rPr>
                <w:spacing w:val="-4"/>
                <w:sz w:val="24"/>
                <w:szCs w:val="24"/>
              </w:rPr>
              <w:t>格栅渠</w:t>
            </w:r>
          </w:p>
        </w:tc>
      </w:tr>
    </w:tbl>
    <w:p>
      <w:pPr>
        <w:spacing w:line="386" w:lineRule="exact"/>
        <w:ind w:firstLine="4895"/>
      </w:pPr>
      <w:r>
        <w:rPr>
          <w:position w:val="-7"/>
        </w:rPr>
        <w:drawing>
          <wp:inline distT="0" distB="0" distL="0" distR="0">
            <wp:extent cx="33655" cy="24511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03"/>
                    <a:stretch>
                      <a:fillRect/>
                    </a:stretch>
                  </pic:blipFill>
                  <pic:spPr>
                    <a:xfrm>
                      <a:off x="0" y="0"/>
                      <a:ext cx="34214" cy="245428"/>
                    </a:xfrm>
                    <a:prstGeom prst="rect">
                      <a:avLst/>
                    </a:prstGeom>
                  </pic:spPr>
                </pic:pic>
              </a:graphicData>
            </a:graphic>
          </wp:inline>
        </w:drawing>
      </w:r>
    </w:p>
    <w:p>
      <w:pPr>
        <w:spacing w:line="104" w:lineRule="auto"/>
        <w:rPr>
          <w:rFonts w:ascii="Arial"/>
          <w:sz w:val="2"/>
        </w:rPr>
      </w:pPr>
    </w:p>
    <w:tbl>
      <w:tblPr>
        <w:tblStyle w:val="24"/>
        <w:tblW w:w="1401" w:type="dxa"/>
        <w:tblInd w:w="4281"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0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Ex>
        <w:trPr>
          <w:trHeight w:val="393" w:hRule="atLeast"/>
        </w:trPr>
        <w:tc>
          <w:tcPr>
            <w:tcW w:w="1401" w:type="dxa"/>
            <w:vAlign w:val="top"/>
          </w:tcPr>
          <w:p>
            <w:pPr>
              <w:pStyle w:val="25"/>
              <w:spacing w:before="133" w:line="192" w:lineRule="auto"/>
              <w:ind w:left="342"/>
              <w:rPr>
                <w:sz w:val="24"/>
                <w:szCs w:val="24"/>
              </w:rPr>
            </w:pPr>
            <w:r>
              <w:rPr>
                <w:spacing w:val="-4"/>
                <w:sz w:val="24"/>
                <w:szCs w:val="24"/>
              </w:rPr>
              <w:t>预沉池</w:t>
            </w:r>
          </w:p>
        </w:tc>
      </w:tr>
    </w:tbl>
    <w:p>
      <w:pPr>
        <w:spacing w:line="437" w:lineRule="exact"/>
        <w:ind w:firstLine="4857"/>
      </w:pPr>
      <w:r>
        <w:rPr>
          <w:position w:val="-8"/>
        </w:rPr>
        <w:drawing>
          <wp:inline distT="0" distB="0" distL="0" distR="0">
            <wp:extent cx="33655" cy="27749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04"/>
                    <a:stretch>
                      <a:fillRect/>
                    </a:stretch>
                  </pic:blipFill>
                  <pic:spPr>
                    <a:xfrm>
                      <a:off x="0" y="0"/>
                      <a:ext cx="34213" cy="277812"/>
                    </a:xfrm>
                    <a:prstGeom prst="rect">
                      <a:avLst/>
                    </a:prstGeom>
                  </pic:spPr>
                </pic:pic>
              </a:graphicData>
            </a:graphic>
          </wp:inline>
        </w:drawing>
      </w:r>
    </w:p>
    <w:p>
      <w:pPr>
        <w:spacing w:before="45" w:line="830" w:lineRule="exact"/>
        <w:ind w:firstLine="4271"/>
      </w:pPr>
      <w:r>
        <w:rPr>
          <w:position w:val="-16"/>
        </w:rPr>
        <w:pict>
          <v:group id="_x0000_s1165" o:spid="_x0000_s1165" o:spt="203" style="height:41.55pt;width:71.1pt;" coordsize="1421,830">
            <o:lock v:ext="edit"/>
            <v:shape id="_x0000_s1166" o:spid="_x0000_s1166" o:spt="75" type="#_x0000_t75" style="position:absolute;left:0;top:0;height:830;width:1421;" filled="f" stroked="f" coordsize="21600,21600">
              <v:path/>
              <v:fill on="f" focussize="0,0"/>
              <v:stroke on="f"/>
              <v:imagedata r:id="rId105" o:title=""/>
              <o:lock v:ext="edit" aspectratio="t"/>
            </v:shape>
            <v:shape id="_x0000_s1167" o:spid="_x0000_s1167" o:spt="202" type="#_x0000_t202" style="position:absolute;left:-20;top:-20;height:870;width:1461;" filled="f" stroked="f" coordsize="21600,21600">
              <v:path/>
              <v:fill on="f" focussize="0,0"/>
              <v:stroke on="f"/>
              <v:imagedata o:title=""/>
              <o:lock v:ext="edit" aspectratio="f"/>
              <v:textbox inset="0mm,0mm,0mm,0mm">
                <w:txbxContent>
                  <w:p>
                    <w:pPr>
                      <w:spacing w:before="172" w:line="220" w:lineRule="auto"/>
                      <w:ind w:left="382"/>
                      <w:rPr>
                        <w:rFonts w:ascii="宋体" w:hAnsi="宋体" w:eastAsia="宋体" w:cs="宋体"/>
                        <w:sz w:val="24"/>
                        <w:szCs w:val="24"/>
                      </w:rPr>
                    </w:pPr>
                    <w:r>
                      <w:rPr>
                        <w:rFonts w:ascii="宋体" w:hAnsi="宋体" w:eastAsia="宋体" w:cs="宋体"/>
                        <w:spacing w:val="-4"/>
                        <w:sz w:val="24"/>
                        <w:szCs w:val="24"/>
                      </w:rPr>
                      <w:t>调节池</w:t>
                    </w:r>
                  </w:p>
                </w:txbxContent>
              </v:textbox>
            </v:shape>
            <w10:wrap type="none"/>
            <w10:anchorlock/>
          </v:group>
        </w:pict>
      </w:r>
    </w:p>
    <w:p>
      <w:pPr>
        <w:spacing w:line="27" w:lineRule="exact"/>
      </w:pPr>
    </w:p>
    <w:tbl>
      <w:tblPr>
        <w:tblStyle w:val="24"/>
        <w:tblW w:w="1401" w:type="dxa"/>
        <w:tblInd w:w="4281"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0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Ex>
        <w:trPr>
          <w:trHeight w:val="423" w:hRule="atLeast"/>
        </w:trPr>
        <w:tc>
          <w:tcPr>
            <w:tcW w:w="1401" w:type="dxa"/>
            <w:vAlign w:val="top"/>
          </w:tcPr>
          <w:p>
            <w:pPr>
              <w:pStyle w:val="25"/>
              <w:spacing w:before="133" w:line="215" w:lineRule="auto"/>
              <w:ind w:left="341"/>
              <w:rPr>
                <w:sz w:val="24"/>
                <w:szCs w:val="24"/>
              </w:rPr>
            </w:pPr>
            <w:r>
              <w:rPr>
                <w:spacing w:val="-4"/>
                <w:sz w:val="24"/>
                <w:szCs w:val="24"/>
              </w:rPr>
              <w:t>气浮机</w:t>
            </w:r>
          </w:p>
        </w:tc>
      </w:tr>
    </w:tbl>
    <w:p>
      <w:pPr>
        <w:spacing w:line="455" w:lineRule="exact"/>
        <w:ind w:firstLine="4901"/>
      </w:pPr>
      <w:r>
        <w:rPr>
          <w:position w:val="-9"/>
        </w:rPr>
        <w:drawing>
          <wp:inline distT="0" distB="0" distL="0" distR="0">
            <wp:extent cx="33655" cy="28829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06"/>
                    <a:stretch>
                      <a:fillRect/>
                    </a:stretch>
                  </pic:blipFill>
                  <pic:spPr>
                    <a:xfrm>
                      <a:off x="0" y="0"/>
                      <a:ext cx="34214" cy="288607"/>
                    </a:xfrm>
                    <a:prstGeom prst="rect">
                      <a:avLst/>
                    </a:prstGeom>
                  </pic:spPr>
                </pic:pic>
              </a:graphicData>
            </a:graphic>
          </wp:inline>
        </w:drawing>
      </w:r>
    </w:p>
    <w:p>
      <w:pPr>
        <w:spacing w:line="21" w:lineRule="exact"/>
      </w:pPr>
    </w:p>
    <w:tbl>
      <w:tblPr>
        <w:tblStyle w:val="24"/>
        <w:tblW w:w="1400" w:type="dxa"/>
        <w:tblInd w:w="4298"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0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Ex>
        <w:trPr>
          <w:trHeight w:val="440" w:hRule="atLeast"/>
        </w:trPr>
        <w:tc>
          <w:tcPr>
            <w:tcW w:w="1400" w:type="dxa"/>
            <w:vAlign w:val="top"/>
          </w:tcPr>
          <w:p>
            <w:pPr>
              <w:pStyle w:val="25"/>
              <w:spacing w:before="133" w:line="219" w:lineRule="auto"/>
              <w:ind w:left="103"/>
              <w:rPr>
                <w:sz w:val="24"/>
                <w:szCs w:val="24"/>
              </w:rPr>
            </w:pPr>
            <w:r>
              <w:drawing>
                <wp:anchor distT="0" distB="0" distL="0" distR="0" simplePos="0" relativeHeight="251664384" behindDoc="1" locked="0" layoutInCell="1" allowOverlap="1">
                  <wp:simplePos x="0" y="0"/>
                  <wp:positionH relativeFrom="column">
                    <wp:posOffset>356870</wp:posOffset>
                  </wp:positionH>
                  <wp:positionV relativeFrom="paragraph">
                    <wp:posOffset>217170</wp:posOffset>
                  </wp:positionV>
                  <wp:extent cx="34290" cy="29908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07"/>
                          <a:stretch>
                            <a:fillRect/>
                          </a:stretch>
                        </pic:blipFill>
                        <pic:spPr>
                          <a:xfrm>
                            <a:off x="0" y="0"/>
                            <a:ext cx="34213" cy="299085"/>
                          </a:xfrm>
                          <a:prstGeom prst="rect">
                            <a:avLst/>
                          </a:prstGeom>
                        </pic:spPr>
                      </pic:pic>
                    </a:graphicData>
                  </a:graphic>
                </wp:anchor>
              </w:drawing>
            </w:r>
            <w:r>
              <w:rPr>
                <w:spacing w:val="-3"/>
                <w:sz w:val="24"/>
                <w:szCs w:val="24"/>
              </w:rPr>
              <w:t>水解酸化池</w:t>
            </w:r>
          </w:p>
        </w:tc>
      </w:tr>
    </w:tbl>
    <w:p>
      <w:pPr>
        <w:pStyle w:val="8"/>
        <w:spacing w:line="254" w:lineRule="auto"/>
      </w:pPr>
    </w:p>
    <w:p>
      <w:pPr>
        <w:spacing w:before="1" w:line="25" w:lineRule="exact"/>
        <w:ind w:firstLine="4596"/>
      </w:pPr>
      <w:r>
        <w:drawing>
          <wp:inline distT="0" distB="0" distL="0" distR="0">
            <wp:extent cx="603250" cy="15875"/>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08"/>
                    <a:stretch>
                      <a:fillRect/>
                    </a:stretch>
                  </pic:blipFill>
                  <pic:spPr>
                    <a:xfrm>
                      <a:off x="0" y="0"/>
                      <a:ext cx="603250" cy="15875"/>
                    </a:xfrm>
                    <a:prstGeom prst="rect">
                      <a:avLst/>
                    </a:prstGeom>
                  </pic:spPr>
                </pic:pic>
              </a:graphicData>
            </a:graphic>
          </wp:inline>
        </w:drawing>
      </w:r>
    </w:p>
    <w:p>
      <w:pPr>
        <w:spacing w:line="134" w:lineRule="exact"/>
      </w:pPr>
    </w:p>
    <w:tbl>
      <w:tblPr>
        <w:tblStyle w:val="24"/>
        <w:tblW w:w="1362" w:type="dxa"/>
        <w:tblInd w:w="436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36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1362" w:type="dxa"/>
            <w:vAlign w:val="top"/>
          </w:tcPr>
          <w:p>
            <w:pPr>
              <w:pStyle w:val="25"/>
              <w:spacing w:before="136" w:line="219" w:lineRule="auto"/>
              <w:ind w:left="323"/>
              <w:rPr>
                <w:sz w:val="24"/>
                <w:szCs w:val="24"/>
              </w:rPr>
            </w:pPr>
            <w:r>
              <w:rPr>
                <w:spacing w:val="-4"/>
                <w:sz w:val="24"/>
                <w:szCs w:val="24"/>
              </w:rPr>
              <w:t>缺氧池</w:t>
            </w:r>
          </w:p>
        </w:tc>
      </w:tr>
    </w:tbl>
    <w:p>
      <w:pPr>
        <w:spacing w:before="108" w:line="95" w:lineRule="exact"/>
        <w:ind w:firstLine="3998"/>
      </w:pPr>
      <w:r>
        <w:rPr>
          <w:position w:val="-1"/>
        </w:rPr>
        <w:drawing>
          <wp:inline distT="0" distB="0" distL="0" distR="0">
            <wp:extent cx="15875" cy="6032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88"/>
                    <a:stretch>
                      <a:fillRect/>
                    </a:stretch>
                  </pic:blipFill>
                  <pic:spPr>
                    <a:xfrm>
                      <a:off x="0" y="0"/>
                      <a:ext cx="15875" cy="60325"/>
                    </a:xfrm>
                    <a:prstGeom prst="rect">
                      <a:avLst/>
                    </a:prstGeom>
                  </pic:spPr>
                </pic:pic>
              </a:graphicData>
            </a:graphic>
          </wp:inline>
        </w:drawing>
      </w:r>
    </w:p>
    <w:p>
      <w:pPr>
        <w:spacing w:before="45" w:line="95" w:lineRule="exact"/>
        <w:ind w:firstLine="5968"/>
      </w:pPr>
      <w:r>
        <w:rPr>
          <w:position w:val="-1"/>
        </w:rPr>
        <w:drawing>
          <wp:inline distT="0" distB="0" distL="0" distR="0">
            <wp:extent cx="15875" cy="6032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09"/>
                    <a:stretch>
                      <a:fillRect/>
                    </a:stretch>
                  </pic:blipFill>
                  <pic:spPr>
                    <a:xfrm>
                      <a:off x="0" y="0"/>
                      <a:ext cx="15875" cy="60325"/>
                    </a:xfrm>
                    <a:prstGeom prst="rect">
                      <a:avLst/>
                    </a:prstGeom>
                  </pic:spPr>
                </pic:pic>
              </a:graphicData>
            </a:graphic>
          </wp:inline>
        </w:drawing>
      </w:r>
    </w:p>
    <w:p>
      <w:pPr>
        <w:spacing w:before="50" w:line="95" w:lineRule="exact"/>
        <w:ind w:firstLine="3998"/>
      </w:pPr>
      <w:r>
        <w:rPr>
          <w:position w:val="-1"/>
        </w:rPr>
        <w:drawing>
          <wp:inline distT="0" distB="0" distL="0" distR="0">
            <wp:extent cx="15875" cy="6032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88"/>
                    <a:stretch>
                      <a:fillRect/>
                    </a:stretch>
                  </pic:blipFill>
                  <pic:spPr>
                    <a:xfrm>
                      <a:off x="0" y="0"/>
                      <a:ext cx="15875" cy="60325"/>
                    </a:xfrm>
                    <a:prstGeom prst="rect">
                      <a:avLst/>
                    </a:prstGeom>
                  </pic:spPr>
                </pic:pic>
              </a:graphicData>
            </a:graphic>
          </wp:inline>
        </w:drawing>
      </w:r>
    </w:p>
    <w:p>
      <w:pPr>
        <w:spacing w:before="45" w:line="95" w:lineRule="exact"/>
        <w:ind w:firstLine="5968"/>
      </w:pPr>
      <w:r>
        <w:rPr>
          <w:position w:val="-1"/>
        </w:rPr>
        <w:drawing>
          <wp:inline distT="0" distB="0" distL="0" distR="0">
            <wp:extent cx="15875" cy="6032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09"/>
                    <a:stretch>
                      <a:fillRect/>
                    </a:stretch>
                  </pic:blipFill>
                  <pic:spPr>
                    <a:xfrm>
                      <a:off x="0" y="0"/>
                      <a:ext cx="15875" cy="60325"/>
                    </a:xfrm>
                    <a:prstGeom prst="rect">
                      <a:avLst/>
                    </a:prstGeom>
                  </pic:spPr>
                </pic:pic>
              </a:graphicData>
            </a:graphic>
          </wp:inline>
        </w:drawing>
      </w:r>
    </w:p>
    <w:p>
      <w:pPr>
        <w:spacing w:before="50" w:line="88" w:lineRule="exact"/>
        <w:ind w:firstLine="3998"/>
      </w:pPr>
      <w:r>
        <w:rPr>
          <w:position w:val="-1"/>
        </w:rPr>
        <w:drawing>
          <wp:inline distT="0" distB="0" distL="0" distR="0">
            <wp:extent cx="15875" cy="5524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88"/>
                    <a:stretch>
                      <a:fillRect/>
                    </a:stretch>
                  </pic:blipFill>
                  <pic:spPr>
                    <a:xfrm>
                      <a:off x="0" y="0"/>
                      <a:ext cx="15875" cy="55879"/>
                    </a:xfrm>
                    <a:prstGeom prst="rect">
                      <a:avLst/>
                    </a:prstGeom>
                  </pic:spPr>
                </pic:pic>
              </a:graphicData>
            </a:graphic>
          </wp:inline>
        </w:drawing>
      </w:r>
    </w:p>
    <w:tbl>
      <w:tblPr>
        <w:tblStyle w:val="24"/>
        <w:tblW w:w="1401" w:type="dxa"/>
        <w:tblInd w:w="4281"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0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Ex>
        <w:trPr>
          <w:trHeight w:val="426" w:hRule="atLeast"/>
        </w:trPr>
        <w:tc>
          <w:tcPr>
            <w:tcW w:w="1401" w:type="dxa"/>
            <w:vAlign w:val="top"/>
          </w:tcPr>
          <w:p>
            <w:pPr>
              <w:pStyle w:val="25"/>
              <w:spacing w:before="126" w:line="219" w:lineRule="auto"/>
              <w:jc w:val="center"/>
              <w:rPr>
                <w:sz w:val="24"/>
                <w:szCs w:val="24"/>
              </w:rPr>
            </w:pPr>
            <w:r>
              <w:rPr>
                <w:rFonts w:hint="eastAsia"/>
                <w:spacing w:val="-4"/>
                <w:sz w:val="24"/>
                <w:szCs w:val="24"/>
                <w:lang w:eastAsia="zh-CN"/>
              </w:rPr>
              <w:t>接触氧化</w:t>
            </w:r>
            <w:r>
              <w:rPr>
                <w:spacing w:val="-4"/>
                <w:sz w:val="24"/>
                <w:szCs w:val="24"/>
              </w:rPr>
              <w:t>池</w:t>
            </w:r>
          </w:p>
        </w:tc>
      </w:tr>
    </w:tbl>
    <w:p>
      <w:pPr>
        <w:spacing w:line="1071" w:lineRule="exact"/>
        <w:ind w:firstLine="4898"/>
      </w:pPr>
      <w:r>
        <w:rPr>
          <w:position w:val="-21"/>
        </w:rPr>
        <w:drawing>
          <wp:inline distT="0" distB="0" distL="0" distR="0">
            <wp:extent cx="33655" cy="67945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10"/>
                    <a:stretch>
                      <a:fillRect/>
                    </a:stretch>
                  </pic:blipFill>
                  <pic:spPr>
                    <a:xfrm>
                      <a:off x="0" y="0"/>
                      <a:ext cx="34213" cy="679767"/>
                    </a:xfrm>
                    <a:prstGeom prst="rect">
                      <a:avLst/>
                    </a:prstGeom>
                  </pic:spPr>
                </pic:pic>
              </a:graphicData>
            </a:graphic>
          </wp:inline>
        </w:drawing>
      </w:r>
    </w:p>
    <w:p>
      <w:pPr>
        <w:spacing w:line="17" w:lineRule="exact"/>
      </w:pPr>
    </w:p>
    <w:tbl>
      <w:tblPr>
        <w:tblStyle w:val="24"/>
        <w:tblW w:w="1401" w:type="dxa"/>
        <w:tblInd w:w="4281"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0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Ex>
        <w:trPr>
          <w:trHeight w:val="440" w:hRule="atLeast"/>
        </w:trPr>
        <w:tc>
          <w:tcPr>
            <w:tcW w:w="1401" w:type="dxa"/>
            <w:vAlign w:val="top"/>
          </w:tcPr>
          <w:p>
            <w:pPr>
              <w:pStyle w:val="25"/>
              <w:spacing w:before="132" w:line="220" w:lineRule="auto"/>
              <w:ind w:left="344"/>
              <w:rPr>
                <w:sz w:val="24"/>
                <w:szCs w:val="24"/>
              </w:rPr>
            </w:pPr>
            <w:r>
              <w:drawing>
                <wp:anchor distT="0" distB="0" distL="0" distR="0" simplePos="0" relativeHeight="251681792" behindDoc="0" locked="0" layoutInCell="0" allowOverlap="1">
                  <wp:simplePos x="0" y="0"/>
                  <wp:positionH relativeFrom="page">
                    <wp:posOffset>-561975</wp:posOffset>
                  </wp:positionH>
                  <wp:positionV relativeFrom="page">
                    <wp:posOffset>223520</wp:posOffset>
                  </wp:positionV>
                  <wp:extent cx="495300" cy="26416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11"/>
                          <a:stretch>
                            <a:fillRect/>
                          </a:stretch>
                        </pic:blipFill>
                        <pic:spPr>
                          <a:xfrm>
                            <a:off x="0" y="0"/>
                            <a:ext cx="495300" cy="264159"/>
                          </a:xfrm>
                          <a:prstGeom prst="rect">
                            <a:avLst/>
                          </a:prstGeom>
                        </pic:spPr>
                      </pic:pic>
                    </a:graphicData>
                  </a:graphic>
                </wp:anchor>
              </w:drawing>
            </w:r>
            <w:r>
              <w:rPr>
                <w:spacing w:val="-5"/>
                <w:sz w:val="24"/>
                <w:szCs w:val="24"/>
              </w:rPr>
              <w:t>二沉池</w:t>
            </w:r>
          </w:p>
        </w:tc>
      </w:tr>
    </w:tbl>
    <w:p>
      <w:pPr>
        <w:pStyle w:val="8"/>
        <w:spacing w:before="1" w:line="935" w:lineRule="exact"/>
        <w:ind w:firstLine="4271"/>
      </w:pPr>
      <w:r>
        <w:rPr>
          <w:position w:val="-18"/>
        </w:rPr>
        <w:pict>
          <v:group id="_x0000_s1168" o:spid="_x0000_s1168" o:spt="203" style="height:46.75pt;width:71.1pt;" coordsize="1421,935">
            <o:lock v:ext="edit"/>
            <v:shape id="_x0000_s1169" o:spid="_x0000_s1169" o:spt="75" type="#_x0000_t75" style="position:absolute;left:0;top:0;height:935;width:1421;" filled="f" stroked="f" coordsize="21600,21600">
              <v:path/>
              <v:fill on="f" focussize="0,0"/>
              <v:stroke on="f"/>
              <v:imagedata r:id="rId112" o:title=""/>
              <o:lock v:ext="edit" aspectratio="t"/>
            </v:shape>
            <v:shape id="_x0000_s1170" o:spid="_x0000_s1170" o:spt="202" type="#_x0000_t202" style="position:absolute;left:-20;top:-20;height:975;width:1461;" filled="f" stroked="f" coordsize="21600,21600">
              <v:path/>
              <v:fill on="f" focussize="0,0"/>
              <v:stroke on="f"/>
              <v:imagedata o:title=""/>
              <o:lock v:ext="edit" aspectratio="f"/>
              <v:textbox inset="0mm,0mm,0mm,0mm">
                <w:txbxContent>
                  <w:p>
                    <w:pPr>
                      <w:spacing w:line="273" w:lineRule="auto"/>
                      <w:rPr>
                        <w:rFonts w:ascii="Arial"/>
                        <w:sz w:val="21"/>
                      </w:rPr>
                    </w:pPr>
                  </w:p>
                  <w:p>
                    <w:pPr>
                      <w:spacing w:line="273" w:lineRule="auto"/>
                      <w:rPr>
                        <w:rFonts w:ascii="Arial"/>
                        <w:sz w:val="21"/>
                      </w:rPr>
                    </w:pPr>
                  </w:p>
                  <w:p>
                    <w:pPr>
                      <w:spacing w:before="78" w:line="219" w:lineRule="auto"/>
                      <w:ind w:left="385"/>
                      <w:rPr>
                        <w:rFonts w:ascii="宋体" w:hAnsi="宋体" w:eastAsia="宋体" w:cs="宋体"/>
                        <w:sz w:val="24"/>
                        <w:szCs w:val="24"/>
                      </w:rPr>
                    </w:pPr>
                    <w:r>
                      <w:rPr>
                        <w:rFonts w:ascii="宋体" w:hAnsi="宋体" w:eastAsia="宋体" w:cs="宋体"/>
                        <w:spacing w:val="-5"/>
                        <w:sz w:val="24"/>
                        <w:szCs w:val="24"/>
                      </w:rPr>
                      <w:t>消毒池</w:t>
                    </w:r>
                  </w:p>
                </w:txbxContent>
              </v:textbox>
            </v:shape>
            <w10:wrap type="none"/>
            <w10:anchorlock/>
          </v:group>
        </w:pict>
      </w:r>
    </w:p>
    <w:p>
      <w:pPr>
        <w:spacing w:before="220"/>
      </w:pPr>
    </w:p>
    <w:tbl>
      <w:tblPr>
        <w:tblStyle w:val="24"/>
        <w:tblW w:w="1047" w:type="dxa"/>
        <w:tblInd w:w="4421" w:type="dxa"/>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
      <w:tblGrid>
        <w:gridCol w:w="1047"/>
      </w:tblGrid>
      <w:tr>
        <w:tblPrEx>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1047" w:type="dxa"/>
            <w:vAlign w:val="top"/>
          </w:tcPr>
          <w:p>
            <w:pPr>
              <w:pStyle w:val="25"/>
              <w:spacing w:before="121" w:line="214" w:lineRule="auto"/>
              <w:ind w:left="40"/>
              <w:rPr>
                <w:sz w:val="24"/>
                <w:szCs w:val="24"/>
              </w:rPr>
            </w:pPr>
            <w:r>
              <w:rPr>
                <w:spacing w:val="-3"/>
                <w:sz w:val="24"/>
                <w:szCs w:val="24"/>
              </w:rPr>
              <w:t>达标排放</w:t>
            </w:r>
          </w:p>
        </w:tc>
      </w:tr>
    </w:tbl>
    <w:p>
      <w:pPr>
        <w:spacing w:before="59" w:line="219" w:lineRule="auto"/>
        <w:ind w:left="2324"/>
        <w:rPr>
          <w:rFonts w:hint="eastAsia" w:ascii="宋体" w:hAnsi="宋体" w:eastAsia="宋体" w:cs="宋体"/>
          <w:sz w:val="24"/>
          <w:szCs w:val="24"/>
          <w:highlight w:val="yellow"/>
          <w:u w:val="none" w:color="auto"/>
          <w:lang w:eastAsia="zh-CN"/>
        </w:rPr>
      </w:pPr>
      <w:r>
        <w:rPr>
          <w:rFonts w:ascii="宋体" w:hAnsi="宋体" w:eastAsia="宋体" w:cs="宋体"/>
          <w:spacing w:val="-2"/>
          <w:sz w:val="24"/>
          <w:szCs w:val="24"/>
          <w:u w:val="none" w:color="auto"/>
          <w14:textOutline w14:w="4358" w14:cap="sq" w14:cmpd="sng">
            <w14:solidFill>
              <w14:srgbClr w14:val="000000"/>
            </w14:solidFill>
            <w14:prstDash w14:val="solid"/>
            <w14:bevel/>
          </w14:textOutline>
        </w:rPr>
        <w:t>图</w:t>
      </w:r>
      <w:r>
        <w:rPr>
          <w:rFonts w:ascii="Times New Roman" w:hAnsi="Times New Roman" w:eastAsia="Times New Roman" w:cs="Times New Roman"/>
          <w:b/>
          <w:bCs/>
          <w:spacing w:val="-2"/>
          <w:sz w:val="24"/>
          <w:szCs w:val="24"/>
          <w:u w:val="none" w:color="auto"/>
        </w:rPr>
        <w:t>6-</w:t>
      </w:r>
      <w:r>
        <w:rPr>
          <w:rFonts w:hint="eastAsia" w:ascii="Times New Roman" w:hAnsi="Times New Roman" w:eastAsia="宋体" w:cs="Times New Roman"/>
          <w:b/>
          <w:bCs/>
          <w:spacing w:val="-2"/>
          <w:sz w:val="24"/>
          <w:szCs w:val="24"/>
          <w:u w:val="none" w:color="auto"/>
          <w:lang w:val="en-US" w:eastAsia="zh-CN"/>
        </w:rPr>
        <w:t>2</w:t>
      </w:r>
      <w:r>
        <w:rPr>
          <w:rFonts w:ascii="Times New Roman" w:hAnsi="Times New Roman" w:eastAsia="Times New Roman" w:cs="Times New Roman"/>
          <w:b/>
          <w:bCs/>
          <w:spacing w:val="-2"/>
          <w:sz w:val="24"/>
          <w:szCs w:val="24"/>
          <w:u w:val="none" w:color="auto"/>
        </w:rPr>
        <w:t xml:space="preserve">        </w:t>
      </w:r>
      <w:r>
        <w:rPr>
          <w:rFonts w:ascii="宋体" w:hAnsi="宋体" w:eastAsia="宋体" w:cs="宋体"/>
          <w:spacing w:val="-2"/>
          <w:sz w:val="24"/>
          <w:szCs w:val="24"/>
          <w:highlight w:val="none"/>
          <w:u w:val="none" w:color="auto"/>
          <w14:textOutline w14:w="4358" w14:cap="sq" w14:cmpd="sng">
            <w14:solidFill>
              <w14:srgbClr w14:val="000000"/>
            </w14:solidFill>
            <w14:prstDash w14:val="solid"/>
            <w14:bevel/>
          </w14:textOutline>
        </w:rPr>
        <w:t>项目废水治理工艺流程图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污水处理站工艺流程概述：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①格栅渠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由于项目生产废水中含有一定量的大块漂浮物（血污、碎肉、内脏杂物等污染物），因此，格栅渠内设置机械格栅，用于去除较大悬浮物，以保护水泵及后续处理单元的正常运行。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②预沉池</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预沉池主要用于去除废水中易沉淀、较细小的悬浮物（比如泥沙、内脏残留物等），并兼顾隔油池的作用，利用油、水、渣的密度差进行重力分离，构筑物采用平流式，主要用于截留动物油脂和沉淀物质；本项目采取预沉池和隔油池合建一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③调节池</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经预沉池沉淀隔油后的出水进入调节池，调节池主要用于储存高峰期的车间排水，调节水质、均衡水量，确保后续系统的连续稳定运行。同时作为应急池，收集事故废水。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④气浮</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调节池废水经泵提升至气浮设备，气浮设备采用加压溶气原理，即在加压条件下，使空气溶于水中，形成空气过饱和状态，然后减至常压，使空气析出，以微小气泡释放于水中，实现气浮。此法形成气泡小，约20~100μm，处理效果好。气浮设备可分离废水中90%以上的悬浮物，同时对COD等具有较好的处理效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⑤水解酸化反应</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由于废水COD浓度较高，且废水中的有机物多为大分子有机物，无法直接为微生物菌种所利用。因此废水在生化处理前需要先进行水解酸化处理。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水解酸化处理作为生物预处理技术在国内外已多有研究和应用，主要目的是可利用水解酸化池内的水解菌和产酸菌对废水进行水解和酸化，将废水中大分子物质降解为小分子物质，难降解物质转化为易降解物质，如血红素分解成小分子可降解物质，进一步提高废水的可生化性，从而为后续的好氧生物处理创造良好的条件，降低后续生物处理负荷；也可对进水负荷的变化起缓冲作用，为后续工段提供稳定的进水条件。大量的试验研究结果以及国内的一些工程运行实例的效果表明，水解酸化最佳水力停留时间为一般在8-10h。</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highlight w:val="yellow"/>
          <w:lang w:eastAsia="zh-CN"/>
        </w:rPr>
      </w:pPr>
      <w:r>
        <w:rPr>
          <w:rFonts w:hint="default" w:ascii="Times New Roman" w:hAnsi="Times New Roman" w:cs="Times New Roman"/>
          <w:sz w:val="24"/>
          <w:szCs w:val="24"/>
          <w:highlight w:val="none"/>
        </w:rPr>
        <w:t>⑥</w:t>
      </w:r>
      <w:r>
        <w:rPr>
          <w:rFonts w:hint="eastAsia" w:ascii="Times New Roman" w:hAnsi="Times New Roman" w:eastAsia="宋体" w:cs="Times New Roman"/>
          <w:sz w:val="24"/>
          <w:szCs w:val="24"/>
          <w:highlight w:val="none"/>
          <w:lang w:eastAsia="zh-CN"/>
        </w:rPr>
        <w:t>接触氧化池</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经</w:t>
      </w:r>
      <w:r>
        <w:rPr>
          <w:rFonts w:hint="eastAsia" w:ascii="Times New Roman" w:hAnsi="Times New Roman" w:eastAsia="宋体" w:cs="Times New Roman"/>
          <w:sz w:val="24"/>
          <w:szCs w:val="24"/>
          <w:lang w:eastAsia="zh-CN"/>
        </w:rPr>
        <w:t>水解酸化</w:t>
      </w:r>
      <w:r>
        <w:rPr>
          <w:rFonts w:hint="default" w:ascii="Times New Roman" w:hAnsi="Times New Roman" w:cs="Times New Roman"/>
          <w:sz w:val="24"/>
          <w:szCs w:val="24"/>
        </w:rPr>
        <w:t>处理后的废水</w:t>
      </w:r>
      <w:r>
        <w:rPr>
          <w:rFonts w:hint="eastAsia" w:ascii="Times New Roman" w:hAnsi="Times New Roman" w:eastAsia="宋体" w:cs="Times New Roman"/>
          <w:sz w:val="24"/>
          <w:szCs w:val="24"/>
          <w:lang w:eastAsia="zh-CN"/>
        </w:rPr>
        <w:t>接触氧化池</w:t>
      </w:r>
      <w:r>
        <w:rPr>
          <w:rFonts w:hint="default" w:ascii="Times New Roman" w:hAnsi="Times New Roman" w:cs="Times New Roman"/>
          <w:sz w:val="24"/>
          <w:szCs w:val="24"/>
        </w:rPr>
        <w:t>，在曝气池中设置填料，将其作为生物膜的载体。待处理的废水经充氧后以一定流速流经填料，与生物膜接触，生物膜与悬浮的活性污泥共同作用，达到净化废水的作用。。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⑦二沉池</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废水经</w:t>
      </w:r>
      <w:r>
        <w:rPr>
          <w:rFonts w:hint="eastAsia" w:ascii="Times New Roman" w:hAnsi="Times New Roman" w:eastAsia="宋体" w:cs="Times New Roman"/>
          <w:sz w:val="24"/>
          <w:szCs w:val="24"/>
          <w:lang w:eastAsia="zh-CN"/>
        </w:rPr>
        <w:t>解除氧化处理后</w:t>
      </w:r>
      <w:r>
        <w:rPr>
          <w:rFonts w:hint="default" w:ascii="Times New Roman" w:hAnsi="Times New Roman" w:cs="Times New Roman"/>
          <w:sz w:val="24"/>
          <w:szCs w:val="24"/>
        </w:rPr>
        <w:t>进入二沉池，活性污泥经抱团、絮凝，沉淀在池底，并经污泥回流泵提升至</w:t>
      </w:r>
      <w:r>
        <w:rPr>
          <w:rFonts w:hint="eastAsia" w:ascii="Times New Roman" w:hAnsi="Times New Roman" w:eastAsia="宋体" w:cs="Times New Roman"/>
          <w:sz w:val="24"/>
          <w:szCs w:val="24"/>
          <w:lang w:eastAsia="zh-CN"/>
        </w:rPr>
        <w:t>水解酸化池</w:t>
      </w:r>
      <w:r>
        <w:rPr>
          <w:rFonts w:hint="default" w:ascii="Times New Roman" w:hAnsi="Times New Roman" w:cs="Times New Roman"/>
          <w:sz w:val="24"/>
          <w:szCs w:val="24"/>
        </w:rPr>
        <w:t>，维持系统的活性污泥浓度。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⑧消毒池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二沉池处理后的废水进入消毒池，经次氯酸钠消毒后达标排放。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⑨污泥浓缩池</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污水处理系统产生的污泥排入污泥浓缩池，污泥经浓缩处理后，由板框压滤机进行污泥脱水处理，在污泥进入板框压滤机前，由加药泵加入配置好的聚氯化铝（PAC）或聚丙烯酰胺（PAM），经处理后的污泥含水率低于</w:t>
      </w:r>
      <w:r>
        <w:rPr>
          <w:rFonts w:hint="eastAsia" w:ascii="Times New Roman" w:hAnsi="Times New Roman" w:eastAsia="宋体" w:cs="Times New Roman"/>
          <w:sz w:val="24"/>
          <w:szCs w:val="24"/>
          <w:lang w:val="en-US" w:eastAsia="zh-CN"/>
        </w:rPr>
        <w:t>8</w:t>
      </w:r>
      <w:r>
        <w:rPr>
          <w:rFonts w:hint="default" w:ascii="Times New Roman" w:hAnsi="Times New Roman" w:cs="Times New Roman"/>
          <w:sz w:val="24"/>
          <w:szCs w:val="24"/>
        </w:rPr>
        <w:t>0%可以</w:t>
      </w:r>
      <w:r>
        <w:rPr>
          <w:rFonts w:hint="eastAsia" w:ascii="Times New Roman" w:hAnsi="Times New Roman" w:eastAsia="宋体" w:cs="Times New Roman"/>
          <w:sz w:val="24"/>
          <w:szCs w:val="24"/>
          <w:lang w:val="en-US" w:eastAsia="zh-CN"/>
        </w:rPr>
        <w:t>外售生产有机肥</w:t>
      </w:r>
      <w:r>
        <w:rPr>
          <w:rFonts w:hint="default" w:ascii="Times New Roman" w:hAnsi="Times New Roman" w:cs="Times New Roman"/>
          <w:sz w:val="24"/>
          <w:szCs w:val="24"/>
        </w:rPr>
        <w:t>；上清液回流至调节池继续处理。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（4）项目污水处理设施达标可行性分析</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根据工程分析可知，本项目进入污水处理站的废水量为</w:t>
      </w:r>
      <w:r>
        <w:rPr>
          <w:rFonts w:hint="eastAsia" w:ascii="Times New Roman" w:hAnsi="Times New Roman" w:eastAsia="宋体" w:cs="Times New Roman"/>
          <w:sz w:val="24"/>
          <w:szCs w:val="24"/>
          <w:highlight w:val="none"/>
          <w:u w:val="single"/>
          <w:lang w:val="en-US" w:eastAsia="zh-CN"/>
        </w:rPr>
        <w:t>255.54</w:t>
      </w:r>
      <w:r>
        <w:rPr>
          <w:rFonts w:hint="default" w:ascii="Times New Roman" w:hAnsi="Times New Roman" w:cs="Times New Roman"/>
          <w:sz w:val="24"/>
          <w:szCs w:val="24"/>
          <w:u w:val="single"/>
        </w:rPr>
        <w:t>m</w:t>
      </w:r>
      <w:r>
        <w:rPr>
          <w:rFonts w:hint="default" w:ascii="Times New Roman" w:hAnsi="Times New Roman" w:cs="Times New Roman"/>
          <w:sz w:val="24"/>
          <w:szCs w:val="24"/>
          <w:u w:val="single"/>
          <w:vertAlign w:val="superscript"/>
        </w:rPr>
        <w:t>3</w:t>
      </w:r>
      <w:r>
        <w:rPr>
          <w:rFonts w:hint="default" w:ascii="Times New Roman" w:hAnsi="Times New Roman" w:cs="Times New Roman"/>
          <w:sz w:val="24"/>
          <w:szCs w:val="24"/>
          <w:u w:val="single"/>
        </w:rPr>
        <w:t>/d，进水水质为COD</w:t>
      </w:r>
      <w:r>
        <w:rPr>
          <w:rFonts w:hint="eastAsia" w:ascii="Times New Roman" w:hAnsi="Times New Roman" w:eastAsia="宋体" w:cs="Times New Roman"/>
          <w:sz w:val="24"/>
          <w:szCs w:val="24"/>
          <w:u w:val="single"/>
          <w:lang w:val="en-US" w:eastAsia="zh-CN"/>
        </w:rPr>
        <w:t xml:space="preserve"> </w:t>
      </w:r>
      <w:r>
        <w:rPr>
          <w:rFonts w:hint="default" w:ascii="Times New Roman" w:hAnsi="Times New Roman" w:cs="Times New Roman"/>
          <w:sz w:val="24"/>
          <w:szCs w:val="24"/>
          <w:u w:val="single"/>
        </w:rPr>
        <w:t>19</w:t>
      </w:r>
      <w:r>
        <w:rPr>
          <w:rFonts w:hint="eastAsia" w:ascii="Times New Roman" w:hAnsi="Times New Roman" w:eastAsia="宋体" w:cs="Times New Roman"/>
          <w:sz w:val="24"/>
          <w:szCs w:val="24"/>
          <w:u w:val="single"/>
          <w:lang w:val="en-US" w:eastAsia="zh-CN"/>
        </w:rPr>
        <w:t>18</w:t>
      </w:r>
      <w:r>
        <w:rPr>
          <w:rFonts w:hint="default" w:ascii="Times New Roman" w:hAnsi="Times New Roman" w:cs="Times New Roman"/>
          <w:sz w:val="24"/>
          <w:szCs w:val="24"/>
          <w:u w:val="single"/>
        </w:rPr>
        <w:t>mg/L、BOD</w:t>
      </w:r>
      <w:r>
        <w:rPr>
          <w:rFonts w:hint="default" w:ascii="Times New Roman" w:hAnsi="Times New Roman" w:cs="Times New Roman"/>
          <w:sz w:val="24"/>
          <w:szCs w:val="24"/>
          <w:u w:val="single"/>
          <w:vertAlign w:val="subscript"/>
        </w:rPr>
        <w:t>5</w:t>
      </w:r>
      <w:r>
        <w:rPr>
          <w:rFonts w:hint="eastAsia" w:ascii="Times New Roman" w:hAnsi="Times New Roman" w:eastAsia="宋体" w:cs="Times New Roman"/>
          <w:sz w:val="24"/>
          <w:szCs w:val="24"/>
          <w:u w:val="single"/>
          <w:lang w:val="en-US" w:eastAsia="zh-CN"/>
        </w:rPr>
        <w:t xml:space="preserve"> </w:t>
      </w:r>
      <w:r>
        <w:rPr>
          <w:rFonts w:hint="default" w:ascii="Times New Roman" w:hAnsi="Times New Roman" w:cs="Times New Roman"/>
          <w:sz w:val="24"/>
          <w:szCs w:val="24"/>
          <w:u w:val="single"/>
        </w:rPr>
        <w:t>86</w:t>
      </w:r>
      <w:r>
        <w:rPr>
          <w:rFonts w:hint="eastAsia" w:ascii="Times New Roman" w:hAnsi="Times New Roman" w:eastAsia="宋体" w:cs="Times New Roman"/>
          <w:sz w:val="24"/>
          <w:szCs w:val="24"/>
          <w:u w:val="single"/>
          <w:lang w:val="en-US" w:eastAsia="zh-CN"/>
        </w:rPr>
        <w:t>8</w:t>
      </w:r>
      <w:r>
        <w:rPr>
          <w:rFonts w:hint="default" w:ascii="Times New Roman" w:hAnsi="Times New Roman" w:cs="Times New Roman"/>
          <w:sz w:val="24"/>
          <w:szCs w:val="24"/>
          <w:u w:val="single"/>
        </w:rPr>
        <w:t>mg/L、SS 9</w:t>
      </w:r>
      <w:r>
        <w:rPr>
          <w:rFonts w:hint="eastAsia" w:ascii="Times New Roman" w:hAnsi="Times New Roman" w:eastAsia="宋体" w:cs="Times New Roman"/>
          <w:sz w:val="24"/>
          <w:szCs w:val="24"/>
          <w:u w:val="single"/>
          <w:lang w:val="en-US" w:eastAsia="zh-CN"/>
        </w:rPr>
        <w:t>63</w:t>
      </w:r>
      <w:r>
        <w:rPr>
          <w:rFonts w:hint="default" w:ascii="Times New Roman" w:hAnsi="Times New Roman" w:cs="Times New Roman"/>
          <w:sz w:val="24"/>
          <w:szCs w:val="24"/>
          <w:u w:val="single"/>
        </w:rPr>
        <w:t>mg/L、NH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-N 9</w:t>
      </w:r>
      <w:r>
        <w:rPr>
          <w:rFonts w:hint="eastAsia" w:ascii="Times New Roman" w:hAnsi="Times New Roman" w:eastAsia="宋体" w:cs="Times New Roman"/>
          <w:sz w:val="24"/>
          <w:szCs w:val="24"/>
          <w:u w:val="single"/>
          <w:lang w:val="en-US" w:eastAsia="zh-CN"/>
        </w:rPr>
        <w:t>6</w:t>
      </w:r>
      <w:r>
        <w:rPr>
          <w:rFonts w:hint="default" w:ascii="Times New Roman" w:hAnsi="Times New Roman" w:cs="Times New Roman"/>
          <w:sz w:val="24"/>
          <w:szCs w:val="24"/>
          <w:u w:val="single"/>
        </w:rPr>
        <w:t>mg/L、总磷1</w:t>
      </w:r>
      <w:r>
        <w:rPr>
          <w:rFonts w:hint="eastAsia" w:ascii="Times New Roman" w:hAnsi="Times New Roman" w:eastAsia="宋体" w:cs="Times New Roman"/>
          <w:sz w:val="24"/>
          <w:szCs w:val="24"/>
          <w:u w:val="single"/>
          <w:lang w:val="en-US" w:eastAsia="zh-CN"/>
        </w:rPr>
        <w:t>1.6</w:t>
      </w:r>
      <w:r>
        <w:rPr>
          <w:rFonts w:hint="default" w:ascii="Times New Roman" w:hAnsi="Times New Roman" w:cs="Times New Roman"/>
          <w:sz w:val="24"/>
          <w:szCs w:val="24"/>
          <w:u w:val="single"/>
        </w:rPr>
        <w:t xml:space="preserve">mg/L、总氮 </w:t>
      </w:r>
      <w:r>
        <w:rPr>
          <w:rFonts w:hint="eastAsia" w:ascii="Times New Roman" w:hAnsi="Times New Roman" w:eastAsia="宋体" w:cs="Times New Roman"/>
          <w:sz w:val="24"/>
          <w:szCs w:val="24"/>
          <w:u w:val="single"/>
          <w:lang w:val="en-US" w:eastAsia="zh-CN"/>
        </w:rPr>
        <w:t>204</w:t>
      </w:r>
      <w:r>
        <w:rPr>
          <w:rFonts w:hint="default" w:ascii="Times New Roman" w:hAnsi="Times New Roman" w:cs="Times New Roman"/>
          <w:sz w:val="24"/>
          <w:szCs w:val="24"/>
          <w:u w:val="single"/>
        </w:rPr>
        <w:t>mg/L、动植物油1</w:t>
      </w:r>
      <w:r>
        <w:rPr>
          <w:rFonts w:hint="eastAsia" w:ascii="Times New Roman" w:hAnsi="Times New Roman" w:eastAsia="宋体" w:cs="Times New Roman"/>
          <w:sz w:val="24"/>
          <w:szCs w:val="24"/>
          <w:u w:val="single"/>
          <w:lang w:val="en-US" w:eastAsia="zh-CN"/>
        </w:rPr>
        <w:t>44</w:t>
      </w:r>
      <w:r>
        <w:rPr>
          <w:rFonts w:hint="default" w:ascii="Times New Roman" w:hAnsi="Times New Roman" w:cs="Times New Roman"/>
          <w:sz w:val="24"/>
          <w:szCs w:val="24"/>
          <w:u w:val="single"/>
        </w:rPr>
        <w:t>mg/L。</w:t>
      </w:r>
    </w:p>
    <w:p>
      <w:pPr>
        <w:keepNext w:val="0"/>
        <w:keepLines w:val="0"/>
        <w:pageBreakBefore w:val="0"/>
        <w:widowControl/>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ascii="宋体" w:hAnsi="宋体" w:eastAsia="宋体" w:cs="宋体"/>
          <w:sz w:val="24"/>
          <w:szCs w:val="24"/>
          <w:u w:val="single"/>
        </w:rPr>
      </w:pPr>
      <w:r>
        <w:rPr>
          <w:rFonts w:hint="default" w:ascii="Times New Roman" w:hAnsi="Times New Roman" w:cs="Times New Roman"/>
          <w:sz w:val="24"/>
          <w:szCs w:val="24"/>
          <w:u w:val="single"/>
        </w:rPr>
        <w:t>项目废水经厂区拟建污水处理站处理后，污染物排放浓度分别为COD 222mg/L 、BOD</w:t>
      </w:r>
      <w:r>
        <w:rPr>
          <w:rFonts w:hint="eastAsia" w:ascii="Times New Roman" w:hAnsi="Times New Roman" w:eastAsia="宋体" w:cs="Times New Roman"/>
          <w:sz w:val="24"/>
          <w:szCs w:val="24"/>
          <w:u w:val="single"/>
          <w:lang w:val="en-US" w:eastAsia="zh-CN"/>
        </w:rPr>
        <w:t xml:space="preserve"> </w:t>
      </w:r>
      <w:r>
        <w:rPr>
          <w:rFonts w:hint="default" w:ascii="Times New Roman" w:hAnsi="Times New Roman" w:cs="Times New Roman"/>
          <w:sz w:val="24"/>
          <w:szCs w:val="24"/>
          <w:u w:val="single"/>
        </w:rPr>
        <w:t>10</w:t>
      </w:r>
      <w:r>
        <w:rPr>
          <w:rFonts w:hint="eastAsia" w:ascii="Times New Roman" w:hAnsi="Times New Roman" w:eastAsia="宋体" w:cs="Times New Roman"/>
          <w:sz w:val="24"/>
          <w:szCs w:val="24"/>
          <w:u w:val="single"/>
          <w:lang w:val="en-US" w:eastAsia="zh-CN"/>
        </w:rPr>
        <w:t>4</w:t>
      </w:r>
      <w:r>
        <w:rPr>
          <w:rFonts w:hint="default" w:ascii="Times New Roman" w:hAnsi="Times New Roman" w:cs="Times New Roman"/>
          <w:sz w:val="24"/>
          <w:szCs w:val="24"/>
          <w:u w:val="single"/>
        </w:rPr>
        <w:t>mg/L 、SS</w:t>
      </w:r>
      <w:r>
        <w:rPr>
          <w:rFonts w:hint="eastAsia" w:ascii="Times New Roman" w:hAnsi="Times New Roman" w:eastAsia="宋体" w:cs="Times New Roman"/>
          <w:sz w:val="24"/>
          <w:szCs w:val="24"/>
          <w:u w:val="single"/>
          <w:lang w:val="en-US" w:eastAsia="zh-CN"/>
        </w:rPr>
        <w:t xml:space="preserve"> </w:t>
      </w:r>
      <w:r>
        <w:rPr>
          <w:rFonts w:hint="default" w:ascii="Times New Roman" w:hAnsi="Times New Roman" w:cs="Times New Roman"/>
          <w:sz w:val="24"/>
          <w:szCs w:val="24"/>
          <w:u w:val="single"/>
        </w:rPr>
        <w:t>9</w:t>
      </w:r>
      <w:r>
        <w:rPr>
          <w:rFonts w:hint="eastAsia" w:ascii="Times New Roman" w:hAnsi="Times New Roman" w:eastAsia="宋体" w:cs="Times New Roman"/>
          <w:sz w:val="24"/>
          <w:szCs w:val="24"/>
          <w:u w:val="single"/>
          <w:lang w:val="en-US" w:eastAsia="zh-CN"/>
        </w:rPr>
        <w:t>2.4</w:t>
      </w:r>
      <w:r>
        <w:rPr>
          <w:rFonts w:hint="default" w:ascii="Times New Roman" w:hAnsi="Times New Roman" w:cs="Times New Roman"/>
          <w:sz w:val="24"/>
          <w:szCs w:val="24"/>
          <w:u w:val="single"/>
        </w:rPr>
        <w:t>mg/L、NH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-N</w:t>
      </w:r>
      <w:r>
        <w:rPr>
          <w:rFonts w:hint="eastAsia" w:ascii="Times New Roman" w:hAnsi="Times New Roman" w:eastAsia="宋体" w:cs="Times New Roman"/>
          <w:sz w:val="24"/>
          <w:szCs w:val="24"/>
          <w:u w:val="single"/>
          <w:lang w:val="en-US" w:eastAsia="zh-CN"/>
        </w:rPr>
        <w:t xml:space="preserve"> 18.2</w:t>
      </w:r>
      <w:r>
        <w:rPr>
          <w:rFonts w:hint="default" w:ascii="Times New Roman" w:hAnsi="Times New Roman" w:cs="Times New Roman"/>
          <w:sz w:val="24"/>
          <w:szCs w:val="24"/>
          <w:u w:val="single"/>
        </w:rPr>
        <w:t>mg/L、总磷 1.</w:t>
      </w:r>
      <w:r>
        <w:rPr>
          <w:rFonts w:hint="eastAsia" w:ascii="Times New Roman" w:hAnsi="Times New Roman" w:eastAsia="宋体" w:cs="Times New Roman"/>
          <w:sz w:val="24"/>
          <w:szCs w:val="24"/>
          <w:u w:val="single"/>
          <w:lang w:val="en-US" w:eastAsia="zh-CN"/>
        </w:rPr>
        <w:t>8</w:t>
      </w:r>
      <w:r>
        <w:rPr>
          <w:rFonts w:hint="default" w:ascii="Times New Roman" w:hAnsi="Times New Roman" w:cs="Times New Roman"/>
          <w:sz w:val="24"/>
          <w:szCs w:val="24"/>
          <w:u w:val="single"/>
        </w:rPr>
        <w:t xml:space="preserve">mg/L、总氮 </w:t>
      </w:r>
      <w:r>
        <w:rPr>
          <w:rFonts w:hint="eastAsia" w:ascii="Times New Roman" w:hAnsi="Times New Roman" w:eastAsia="宋体" w:cs="Times New Roman"/>
          <w:sz w:val="24"/>
          <w:szCs w:val="24"/>
          <w:u w:val="single"/>
          <w:lang w:val="en-US" w:eastAsia="zh-CN"/>
        </w:rPr>
        <w:t>30.6</w:t>
      </w:r>
      <w:r>
        <w:rPr>
          <w:rFonts w:hint="default" w:ascii="Times New Roman" w:hAnsi="Times New Roman" w:cs="Times New Roman"/>
          <w:sz w:val="24"/>
          <w:szCs w:val="24"/>
          <w:u w:val="single"/>
        </w:rPr>
        <w:t>mg/L、动植物油</w:t>
      </w:r>
      <w:r>
        <w:rPr>
          <w:rFonts w:hint="eastAsia" w:ascii="Times New Roman" w:hAnsi="Times New Roman" w:eastAsia="宋体" w:cs="Times New Roman"/>
          <w:sz w:val="24"/>
          <w:szCs w:val="24"/>
          <w:u w:val="single"/>
          <w:lang w:val="en-US" w:eastAsia="zh-CN"/>
        </w:rPr>
        <w:t>27.2</w:t>
      </w:r>
      <w:r>
        <w:rPr>
          <w:rFonts w:hint="default" w:ascii="Times New Roman" w:hAnsi="Times New Roman" w:cs="Times New Roman"/>
          <w:sz w:val="24"/>
          <w:szCs w:val="24"/>
          <w:u w:val="single"/>
        </w:rPr>
        <w:t>mg/L，均能满足《肉类加工工业水污染 物排放标准》（GB13457－92）表3中畜类屠宰加工三级标准限值（pH：6.0-8.5、COD：500mg/L、BOD</w:t>
      </w:r>
      <w:r>
        <w:rPr>
          <w:rFonts w:hint="default" w:ascii="Times New Roman" w:hAnsi="Times New Roman" w:cs="Times New Roman"/>
          <w:sz w:val="24"/>
          <w:szCs w:val="24"/>
          <w:u w:val="single"/>
          <w:vertAlign w:val="subscript"/>
        </w:rPr>
        <w:t>5</w:t>
      </w:r>
      <w:r>
        <w:rPr>
          <w:rFonts w:hint="default" w:ascii="Times New Roman" w:hAnsi="Times New Roman" w:cs="Times New Roman"/>
          <w:sz w:val="24"/>
          <w:szCs w:val="24"/>
          <w:u w:val="single"/>
        </w:rPr>
        <w:t>：300mg/L、SS：400mg/L、NH</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-N：-、动植物油：60mg/L），同时能满足</w:t>
      </w:r>
      <w:r>
        <w:rPr>
          <w:rFonts w:hint="default" w:ascii="Times New Roman" w:hAnsi="Times New Roman" w:cs="Times New Roman"/>
          <w:sz w:val="24"/>
          <w:szCs w:val="24"/>
          <w:highlight w:val="none"/>
          <w:u w:val="single"/>
          <w:lang w:eastAsia="zh-CN"/>
        </w:rPr>
        <w:t>叶县县城污水处理厂</w:t>
      </w:r>
      <w:r>
        <w:rPr>
          <w:rFonts w:hint="default" w:ascii="Times New Roman" w:hAnsi="Times New Roman" w:cs="Times New Roman"/>
          <w:sz w:val="24"/>
          <w:szCs w:val="24"/>
          <w:highlight w:val="none"/>
          <w:u w:val="single"/>
        </w:rPr>
        <w:t>进水指标要求</w:t>
      </w:r>
      <w:r>
        <w:rPr>
          <w:rFonts w:hint="default" w:ascii="Times New Roman" w:hAnsi="Times New Roman" w:cs="Times New Roman"/>
          <w:sz w:val="24"/>
          <w:szCs w:val="24"/>
          <w:u w:val="single"/>
        </w:rPr>
        <w:t>（</w:t>
      </w:r>
      <w:r>
        <w:rPr>
          <w:rFonts w:ascii="Times New Roman" w:hAnsi="Times New Roman" w:eastAsia="Times New Roman" w:cs="Times New Roman"/>
          <w:spacing w:val="0"/>
          <w:w w:val="100"/>
          <w:position w:val="0"/>
          <w:sz w:val="24"/>
          <w:szCs w:val="24"/>
          <w:u w:val="single"/>
        </w:rPr>
        <w:t>COD</w:t>
      </w:r>
      <w:r>
        <w:rPr>
          <w:rFonts w:ascii="宋体" w:hAnsi="宋体" w:eastAsia="宋体" w:cs="宋体"/>
          <w:spacing w:val="0"/>
          <w:w w:val="100"/>
          <w:position w:val="0"/>
          <w:sz w:val="24"/>
          <w:szCs w:val="24"/>
          <w:u w:val="single"/>
        </w:rPr>
        <w:t>：</w:t>
      </w:r>
      <w:r>
        <w:rPr>
          <w:rFonts w:hint="eastAsia" w:ascii="Times New Roman" w:hAnsi="Times New Roman" w:eastAsia="宋体" w:cs="Times New Roman"/>
          <w:spacing w:val="0"/>
          <w:w w:val="100"/>
          <w:position w:val="0"/>
          <w:sz w:val="24"/>
          <w:szCs w:val="24"/>
          <w:u w:val="single"/>
          <w:lang w:val="en-US" w:eastAsia="zh-CN"/>
        </w:rPr>
        <w:t>35</w:t>
      </w:r>
      <w:r>
        <w:rPr>
          <w:rFonts w:ascii="Times New Roman" w:hAnsi="Times New Roman" w:eastAsia="Times New Roman" w:cs="Times New Roman"/>
          <w:spacing w:val="0"/>
          <w:w w:val="100"/>
          <w:position w:val="0"/>
          <w:sz w:val="24"/>
          <w:szCs w:val="24"/>
          <w:u w:val="single"/>
        </w:rPr>
        <w:t>0mg/L</w:t>
      </w:r>
      <w:r>
        <w:rPr>
          <w:rFonts w:ascii="宋体" w:hAnsi="宋体" w:eastAsia="宋体" w:cs="宋体"/>
          <w:spacing w:val="0"/>
          <w:w w:val="100"/>
          <w:position w:val="0"/>
          <w:sz w:val="24"/>
          <w:szCs w:val="24"/>
          <w:u w:val="single"/>
        </w:rPr>
        <w:t>、</w:t>
      </w:r>
      <w:r>
        <w:rPr>
          <w:rFonts w:ascii="Times New Roman" w:hAnsi="Times New Roman" w:eastAsia="Times New Roman" w:cs="Times New Roman"/>
          <w:spacing w:val="0"/>
          <w:w w:val="100"/>
          <w:position w:val="0"/>
          <w:sz w:val="24"/>
          <w:szCs w:val="24"/>
          <w:u w:val="single"/>
        </w:rPr>
        <w:t>BOD</w:t>
      </w:r>
      <w:r>
        <w:rPr>
          <w:rFonts w:ascii="Times New Roman" w:hAnsi="Times New Roman" w:eastAsia="Times New Roman" w:cs="Times New Roman"/>
          <w:spacing w:val="0"/>
          <w:w w:val="100"/>
          <w:position w:val="0"/>
          <w:sz w:val="15"/>
          <w:szCs w:val="15"/>
          <w:u w:val="single"/>
        </w:rPr>
        <w:t>5</w:t>
      </w:r>
      <w:r>
        <w:rPr>
          <w:rFonts w:ascii="宋体" w:hAnsi="宋体" w:eastAsia="宋体" w:cs="宋体"/>
          <w:spacing w:val="0"/>
          <w:w w:val="100"/>
          <w:position w:val="0"/>
          <w:sz w:val="24"/>
          <w:szCs w:val="24"/>
          <w:u w:val="single"/>
        </w:rPr>
        <w:t>：</w:t>
      </w:r>
      <w:r>
        <w:rPr>
          <w:rFonts w:hint="eastAsia" w:ascii="Times New Roman" w:hAnsi="Times New Roman" w:eastAsia="宋体" w:cs="Times New Roman"/>
          <w:spacing w:val="0"/>
          <w:w w:val="100"/>
          <w:position w:val="0"/>
          <w:sz w:val="24"/>
          <w:szCs w:val="24"/>
          <w:u w:val="single"/>
          <w:lang w:val="en-US" w:eastAsia="zh-CN"/>
        </w:rPr>
        <w:t>16</w:t>
      </w:r>
      <w:r>
        <w:rPr>
          <w:rFonts w:ascii="Times New Roman" w:hAnsi="Times New Roman" w:eastAsia="Times New Roman" w:cs="Times New Roman"/>
          <w:spacing w:val="0"/>
          <w:w w:val="100"/>
          <w:position w:val="0"/>
          <w:sz w:val="24"/>
          <w:szCs w:val="24"/>
          <w:u w:val="single"/>
        </w:rPr>
        <w:t>0mg/L</w:t>
      </w:r>
      <w:r>
        <w:rPr>
          <w:rFonts w:ascii="宋体" w:hAnsi="宋体" w:eastAsia="宋体" w:cs="宋体"/>
          <w:spacing w:val="0"/>
          <w:w w:val="100"/>
          <w:position w:val="0"/>
          <w:sz w:val="24"/>
          <w:szCs w:val="24"/>
          <w:u w:val="single"/>
        </w:rPr>
        <w:t>、</w:t>
      </w:r>
      <w:r>
        <w:rPr>
          <w:rFonts w:ascii="Times New Roman" w:hAnsi="Times New Roman" w:eastAsia="Times New Roman" w:cs="Times New Roman"/>
          <w:spacing w:val="0"/>
          <w:w w:val="100"/>
          <w:position w:val="0"/>
          <w:sz w:val="24"/>
          <w:szCs w:val="24"/>
          <w:u w:val="single"/>
        </w:rPr>
        <w:t>SS</w:t>
      </w:r>
      <w:r>
        <w:rPr>
          <w:rFonts w:ascii="宋体" w:hAnsi="宋体" w:eastAsia="宋体" w:cs="宋体"/>
          <w:spacing w:val="0"/>
          <w:w w:val="100"/>
          <w:position w:val="0"/>
          <w:sz w:val="24"/>
          <w:szCs w:val="24"/>
          <w:u w:val="single"/>
        </w:rPr>
        <w:t>：</w:t>
      </w:r>
      <w:r>
        <w:rPr>
          <w:rFonts w:hint="eastAsia" w:ascii="Times New Roman" w:hAnsi="Times New Roman" w:eastAsia="宋体" w:cs="Times New Roman"/>
          <w:spacing w:val="0"/>
          <w:w w:val="100"/>
          <w:position w:val="0"/>
          <w:sz w:val="24"/>
          <w:szCs w:val="24"/>
          <w:u w:val="single"/>
          <w:lang w:val="en-US" w:eastAsia="zh-CN"/>
        </w:rPr>
        <w:t>18</w:t>
      </w:r>
      <w:r>
        <w:rPr>
          <w:rFonts w:ascii="Times New Roman" w:hAnsi="Times New Roman" w:eastAsia="Times New Roman" w:cs="Times New Roman"/>
          <w:spacing w:val="0"/>
          <w:w w:val="100"/>
          <w:position w:val="0"/>
          <w:sz w:val="24"/>
          <w:szCs w:val="24"/>
          <w:u w:val="single"/>
        </w:rPr>
        <w:t>0mg/L</w:t>
      </w:r>
      <w:r>
        <w:rPr>
          <w:rFonts w:ascii="宋体" w:hAnsi="宋体" w:eastAsia="宋体" w:cs="宋体"/>
          <w:spacing w:val="0"/>
          <w:w w:val="100"/>
          <w:position w:val="0"/>
          <w:sz w:val="24"/>
          <w:szCs w:val="24"/>
          <w:u w:val="single"/>
        </w:rPr>
        <w:t>、</w:t>
      </w:r>
      <w:r>
        <w:rPr>
          <w:rFonts w:ascii="Times New Roman" w:hAnsi="Times New Roman" w:eastAsia="Times New Roman" w:cs="Times New Roman"/>
          <w:spacing w:val="0"/>
          <w:w w:val="100"/>
          <w:position w:val="0"/>
          <w:sz w:val="24"/>
          <w:szCs w:val="24"/>
          <w:u w:val="single"/>
        </w:rPr>
        <w:t>NH</w:t>
      </w:r>
      <w:r>
        <w:rPr>
          <w:rFonts w:ascii="Times New Roman" w:hAnsi="Times New Roman" w:eastAsia="Times New Roman" w:cs="Times New Roman"/>
          <w:spacing w:val="0"/>
          <w:w w:val="100"/>
          <w:position w:val="0"/>
          <w:sz w:val="15"/>
          <w:szCs w:val="15"/>
          <w:u w:val="single"/>
        </w:rPr>
        <w:t>3</w:t>
      </w:r>
      <w:r>
        <w:rPr>
          <w:rFonts w:ascii="Times New Roman" w:hAnsi="Times New Roman" w:eastAsia="Times New Roman" w:cs="Times New Roman"/>
          <w:spacing w:val="0"/>
          <w:w w:val="100"/>
          <w:position w:val="0"/>
          <w:sz w:val="24"/>
          <w:szCs w:val="24"/>
          <w:u w:val="single"/>
        </w:rPr>
        <w:t>-N</w:t>
      </w:r>
      <w:r>
        <w:rPr>
          <w:rFonts w:ascii="宋体" w:hAnsi="宋体" w:eastAsia="宋体" w:cs="宋体"/>
          <w:spacing w:val="0"/>
          <w:w w:val="100"/>
          <w:position w:val="0"/>
          <w:sz w:val="24"/>
          <w:szCs w:val="24"/>
          <w:u w:val="single"/>
        </w:rPr>
        <w:t>：</w:t>
      </w:r>
      <w:r>
        <w:rPr>
          <w:rFonts w:ascii="Times New Roman" w:hAnsi="Times New Roman" w:eastAsia="Times New Roman" w:cs="Times New Roman"/>
          <w:spacing w:val="0"/>
          <w:w w:val="100"/>
          <w:position w:val="0"/>
          <w:sz w:val="24"/>
          <w:szCs w:val="24"/>
          <w:u w:val="single"/>
        </w:rPr>
        <w:t>3</w:t>
      </w:r>
      <w:r>
        <w:rPr>
          <w:rFonts w:hint="eastAsia" w:ascii="Times New Roman" w:hAnsi="Times New Roman" w:eastAsia="宋体" w:cs="Times New Roman"/>
          <w:spacing w:val="0"/>
          <w:w w:val="100"/>
          <w:position w:val="0"/>
          <w:sz w:val="24"/>
          <w:szCs w:val="24"/>
          <w:u w:val="single"/>
          <w:lang w:val="en-US" w:eastAsia="zh-CN"/>
        </w:rPr>
        <w:t>0</w:t>
      </w:r>
      <w:r>
        <w:rPr>
          <w:rFonts w:ascii="Times New Roman" w:hAnsi="Times New Roman" w:eastAsia="Times New Roman" w:cs="Times New Roman"/>
          <w:spacing w:val="0"/>
          <w:w w:val="100"/>
          <w:position w:val="0"/>
          <w:sz w:val="24"/>
          <w:szCs w:val="24"/>
          <w:u w:val="single"/>
        </w:rPr>
        <w:t>mg/L</w:t>
      </w:r>
      <w:r>
        <w:rPr>
          <w:rFonts w:hint="eastAsia" w:ascii="Times New Roman" w:hAnsi="Times New Roman" w:eastAsia="宋体" w:cs="Times New Roman"/>
          <w:spacing w:val="0"/>
          <w:w w:val="100"/>
          <w:position w:val="0"/>
          <w:sz w:val="24"/>
          <w:szCs w:val="24"/>
          <w:u w:val="single"/>
          <w:lang w:eastAsia="zh-CN"/>
        </w:rPr>
        <w:t>、</w:t>
      </w:r>
      <w:r>
        <w:rPr>
          <w:rFonts w:hint="eastAsia" w:ascii="Times New Roman" w:hAnsi="Times New Roman" w:eastAsia="宋体" w:cs="Times New Roman"/>
          <w:spacing w:val="0"/>
          <w:w w:val="100"/>
          <w:position w:val="0"/>
          <w:sz w:val="24"/>
          <w:szCs w:val="24"/>
          <w:u w:val="single"/>
          <w:lang w:val="en-US" w:eastAsia="zh-CN"/>
        </w:rPr>
        <w:t>TP 4</w:t>
      </w:r>
      <w:r>
        <w:rPr>
          <w:rFonts w:ascii="Times New Roman" w:hAnsi="Times New Roman" w:eastAsia="Times New Roman" w:cs="Times New Roman"/>
          <w:spacing w:val="0"/>
          <w:w w:val="100"/>
          <w:position w:val="0"/>
          <w:sz w:val="24"/>
          <w:szCs w:val="24"/>
          <w:u w:val="single"/>
        </w:rPr>
        <w:t>mg/L</w:t>
      </w:r>
      <w:r>
        <w:rPr>
          <w:rFonts w:hint="eastAsia" w:ascii="Times New Roman" w:hAnsi="Times New Roman" w:eastAsia="宋体" w:cs="Times New Roman"/>
          <w:spacing w:val="0"/>
          <w:w w:val="100"/>
          <w:position w:val="0"/>
          <w:sz w:val="24"/>
          <w:szCs w:val="24"/>
          <w:u w:val="single"/>
          <w:lang w:eastAsia="zh-CN"/>
        </w:rPr>
        <w:t>、</w:t>
      </w:r>
      <w:r>
        <w:rPr>
          <w:rFonts w:hint="eastAsia" w:ascii="Times New Roman" w:hAnsi="Times New Roman" w:eastAsia="宋体" w:cs="Times New Roman"/>
          <w:spacing w:val="0"/>
          <w:w w:val="100"/>
          <w:position w:val="0"/>
          <w:sz w:val="24"/>
          <w:szCs w:val="24"/>
          <w:u w:val="single"/>
          <w:lang w:val="en-US" w:eastAsia="zh-CN"/>
        </w:rPr>
        <w:t>TN 40</w:t>
      </w:r>
      <w:r>
        <w:rPr>
          <w:rFonts w:ascii="Times New Roman" w:hAnsi="Times New Roman" w:eastAsia="Times New Roman" w:cs="Times New Roman"/>
          <w:spacing w:val="0"/>
          <w:w w:val="100"/>
          <w:position w:val="0"/>
          <w:sz w:val="24"/>
          <w:szCs w:val="24"/>
          <w:u w:val="single"/>
        </w:rPr>
        <w:t>mg/L</w:t>
      </w:r>
      <w:r>
        <w:rPr>
          <w:rFonts w:hint="default" w:ascii="Times New Roman" w:hAnsi="Times New Roman" w:cs="Times New Roman"/>
          <w:sz w:val="24"/>
          <w:szCs w:val="24"/>
          <w:u w:val="single"/>
        </w:rPr>
        <w:t>）。</w:t>
      </w:r>
      <w:r>
        <w:rPr>
          <w:rFonts w:ascii="宋体" w:hAnsi="宋体" w:eastAsia="宋体" w:cs="宋体"/>
          <w:spacing w:val="-1"/>
          <w:sz w:val="24"/>
          <w:szCs w:val="24"/>
          <w:u w:val="single"/>
        </w:rPr>
        <w:t>污染物排放总量和单位活屠量排水情况见表</w:t>
      </w:r>
      <w:r>
        <w:rPr>
          <w:rFonts w:ascii="Times New Roman" w:hAnsi="Times New Roman" w:eastAsia="Times New Roman" w:cs="Times New Roman"/>
          <w:spacing w:val="-1"/>
          <w:sz w:val="24"/>
          <w:szCs w:val="24"/>
          <w:u w:val="single"/>
        </w:rPr>
        <w:t>6-</w:t>
      </w:r>
      <w:r>
        <w:rPr>
          <w:rFonts w:hint="eastAsia" w:ascii="Times New Roman" w:hAnsi="Times New Roman" w:eastAsia="宋体" w:cs="Times New Roman"/>
          <w:spacing w:val="-1"/>
          <w:sz w:val="24"/>
          <w:szCs w:val="24"/>
          <w:u w:val="single"/>
          <w:lang w:val="en-US" w:eastAsia="zh-CN"/>
        </w:rPr>
        <w:t>7</w:t>
      </w:r>
      <w:r>
        <w:rPr>
          <w:rFonts w:ascii="宋体" w:hAnsi="宋体" w:eastAsia="宋体" w:cs="宋体"/>
          <w:spacing w:val="-1"/>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219" w:lineRule="auto"/>
        <w:ind w:left="1706"/>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6-</w:t>
      </w:r>
      <w:r>
        <w:rPr>
          <w:rFonts w:hint="eastAsia" w:ascii="Times New Roman" w:hAnsi="Times New Roman" w:eastAsia="宋体" w:cs="Times New Roman"/>
          <w:b/>
          <w:bCs/>
          <w:sz w:val="24"/>
          <w:szCs w:val="24"/>
          <w:lang w:val="en-US" w:eastAsia="zh-CN"/>
        </w:rPr>
        <w:t>7</w:t>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排放总量和单位活屠量排水量情况一览表</w:t>
      </w:r>
    </w:p>
    <w:tbl>
      <w:tblPr>
        <w:tblStyle w:val="24"/>
        <w:tblW w:w="8990"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965"/>
        <w:gridCol w:w="788"/>
        <w:gridCol w:w="940"/>
        <w:gridCol w:w="744"/>
        <w:gridCol w:w="1111"/>
        <w:gridCol w:w="845"/>
        <w:gridCol w:w="159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29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8"/>
                <w14:textOutline w14:w="3795" w14:cap="sq" w14:cmpd="sng">
                  <w14:solidFill>
                    <w14:srgbClr w14:val="000000"/>
                  </w14:solidFill>
                  <w14:prstDash w14:val="solid"/>
                  <w14:bevel/>
                </w14:textOutline>
              </w:rPr>
              <w:t>污染源名称</w:t>
            </w:r>
          </w:p>
        </w:tc>
        <w:tc>
          <w:tcPr>
            <w:tcW w:w="7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pacing w:val="4"/>
                <w:sz w:val="20"/>
                <w:szCs w:val="20"/>
              </w:rPr>
              <w:t>COD</w:t>
            </w:r>
          </w:p>
        </w:tc>
        <w:tc>
          <w:tcPr>
            <w:tcW w:w="94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13"/>
                <w:szCs w:val="13"/>
              </w:rPr>
            </w:pPr>
            <w:r>
              <w:rPr>
                <w:rFonts w:hint="default" w:ascii="Times New Roman" w:hAnsi="Times New Roman" w:eastAsia="Times New Roman" w:cs="Times New Roman"/>
                <w:b/>
                <w:bCs/>
                <w:spacing w:val="5"/>
                <w:sz w:val="20"/>
                <w:szCs w:val="20"/>
              </w:rPr>
              <w:t>BOD</w:t>
            </w:r>
            <w:r>
              <w:rPr>
                <w:rFonts w:hint="default" w:ascii="Times New Roman" w:hAnsi="Times New Roman" w:eastAsia="Times New Roman" w:cs="Times New Roman"/>
                <w:b/>
                <w:bCs/>
                <w:spacing w:val="5"/>
                <w:position w:val="-1"/>
                <w:sz w:val="13"/>
                <w:szCs w:val="13"/>
              </w:rPr>
              <w:t>5</w:t>
            </w:r>
          </w:p>
        </w:tc>
        <w:tc>
          <w:tcPr>
            <w:tcW w:w="74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b/>
                <w:bCs/>
                <w:spacing w:val="-1"/>
                <w:sz w:val="20"/>
                <w:szCs w:val="20"/>
              </w:rPr>
              <w:t>SS</w:t>
            </w:r>
          </w:p>
        </w:tc>
        <w:tc>
          <w:tcPr>
            <w:tcW w:w="11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8"/>
                <w14:textOutline w14:w="3795" w14:cap="sq" w14:cmpd="sng">
                  <w14:solidFill>
                    <w14:srgbClr w14:val="000000"/>
                  </w14:solidFill>
                  <w14:prstDash w14:val="solid"/>
                  <w14:bevel/>
                </w14:textOutline>
              </w:rPr>
              <w:t>动植物油</w:t>
            </w:r>
          </w:p>
        </w:tc>
        <w:tc>
          <w:tcPr>
            <w:tcW w:w="84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6"/>
                <w14:textOutline w14:w="3795" w14:cap="sq" w14:cmpd="sng">
                  <w14:solidFill>
                    <w14:srgbClr w14:val="000000"/>
                  </w14:solidFill>
                  <w14:prstDash w14:val="solid"/>
                  <w14:bevel/>
                </w14:textOutline>
              </w:rPr>
              <w:t>氨氮</w:t>
            </w:r>
          </w:p>
        </w:tc>
        <w:tc>
          <w:tcPr>
            <w:tcW w:w="159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7"/>
                <w14:textOutline w14:w="3795" w14:cap="sq" w14:cmpd="sng">
                  <w14:solidFill>
                    <w14:srgbClr w14:val="000000"/>
                  </w14:solidFill>
                  <w14:prstDash w14:val="solid"/>
                  <w14:bevel/>
                </w14:textOutline>
              </w:rPr>
              <w:t>排水量</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eastAsia="Times New Roman" w:cs="Times New Roman"/>
                <w:b/>
                <w:bCs/>
                <w:spacing w:val="3"/>
              </w:rPr>
              <w:t>m</w:t>
            </w:r>
            <w:r>
              <w:rPr>
                <w:rFonts w:hint="default" w:ascii="Times New Roman" w:hAnsi="Times New Roman" w:eastAsia="Times New Roman" w:cs="Times New Roman"/>
                <w:b/>
                <w:bCs/>
                <w:spacing w:val="3"/>
                <w:position w:val="6"/>
                <w:sz w:val="13"/>
                <w:szCs w:val="13"/>
              </w:rPr>
              <w:t>3</w:t>
            </w:r>
            <w:r>
              <w:rPr>
                <w:rFonts w:hint="default" w:ascii="Times New Roman" w:hAnsi="Times New Roman" w:eastAsia="Times New Roman" w:cs="Times New Roman"/>
                <w:b/>
                <w:bCs/>
                <w:spacing w:val="3"/>
              </w:rPr>
              <w:t>/t</w:t>
            </w:r>
            <w:r>
              <w:rPr>
                <w:rFonts w:hint="default" w:ascii="Times New Roman" w:hAnsi="Times New Roman" w:eastAsia="Times New Roman" w:cs="Times New Roman"/>
                <w:b/>
                <w:bCs/>
                <w:spacing w:val="22"/>
                <w:w w:val="101"/>
              </w:rPr>
              <w:t xml:space="preserve"> </w:t>
            </w:r>
            <w:r>
              <w:rPr>
                <w:rFonts w:hint="default" w:ascii="Times New Roman" w:hAnsi="Times New Roman" w:cs="Times New Roman"/>
                <w:spacing w:val="3"/>
                <w14:textOutline w14:w="3795" w14:cap="sq" w14:cmpd="sng">
                  <w14:solidFill>
                    <w14:srgbClr w14:val="000000"/>
                  </w14:solidFill>
                  <w14:prstDash w14:val="solid"/>
                  <w14:bevel/>
                </w14:textOutline>
              </w:rPr>
              <w:t>活屠量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29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cs="Times New Roman"/>
                <w:spacing w:val="7"/>
                <w:lang w:eastAsia="zh-CN"/>
              </w:rPr>
              <w:t>牛羊屠宰</w:t>
            </w:r>
            <w:r>
              <w:rPr>
                <w:rFonts w:hint="default" w:ascii="Times New Roman" w:hAnsi="Times New Roman" w:cs="Times New Roman"/>
                <w:spacing w:val="7"/>
              </w:rPr>
              <w:t>排放总量</w:t>
            </w:r>
            <w:r>
              <w:rPr>
                <w:rFonts w:hint="default" w:ascii="Times New Roman" w:hAnsi="Times New Roman" w:eastAsia="Times New Roman" w:cs="Times New Roman"/>
              </w:rPr>
              <w:t>kg</w:t>
            </w:r>
            <w:r>
              <w:rPr>
                <w:rFonts w:hint="default" w:ascii="Times New Roman" w:hAnsi="Times New Roman" w:eastAsia="Times New Roman" w:cs="Times New Roman"/>
                <w:spacing w:val="7"/>
              </w:rPr>
              <w:t>/t</w:t>
            </w:r>
            <w:r>
              <w:rPr>
                <w:rFonts w:hint="default" w:ascii="Times New Roman" w:hAnsi="Times New Roman" w:cs="Times New Roman"/>
                <w:spacing w:val="7"/>
              </w:rPr>
              <w:t>活屠量</w:t>
            </w:r>
          </w:p>
        </w:tc>
        <w:tc>
          <w:tcPr>
            <w:tcW w:w="7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pacing w:val="-2"/>
                <w:sz w:val="20"/>
                <w:szCs w:val="20"/>
                <w:lang w:val="en-US" w:eastAsia="zh-CN"/>
              </w:rPr>
              <w:t>0.752</w:t>
            </w:r>
          </w:p>
        </w:tc>
        <w:tc>
          <w:tcPr>
            <w:tcW w:w="94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Times New Roman" w:cs="Times New Roman"/>
                <w:spacing w:val="3"/>
                <w:sz w:val="20"/>
                <w:szCs w:val="20"/>
              </w:rPr>
              <w:t>0.</w:t>
            </w:r>
            <w:r>
              <w:rPr>
                <w:rFonts w:hint="default" w:ascii="Times New Roman" w:hAnsi="Times New Roman" w:eastAsia="宋体" w:cs="Times New Roman"/>
                <w:spacing w:val="3"/>
                <w:sz w:val="20"/>
                <w:szCs w:val="20"/>
                <w:lang w:val="en-US" w:eastAsia="zh-CN"/>
              </w:rPr>
              <w:t>352</w:t>
            </w:r>
          </w:p>
        </w:tc>
        <w:tc>
          <w:tcPr>
            <w:tcW w:w="74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Times New Roman" w:cs="Times New Roman"/>
                <w:spacing w:val="1"/>
                <w:sz w:val="20"/>
                <w:szCs w:val="20"/>
              </w:rPr>
              <w:t>0.</w:t>
            </w:r>
            <w:r>
              <w:rPr>
                <w:rFonts w:hint="default" w:ascii="Times New Roman" w:hAnsi="Times New Roman" w:eastAsia="宋体" w:cs="Times New Roman"/>
                <w:spacing w:val="1"/>
                <w:sz w:val="20"/>
                <w:szCs w:val="20"/>
                <w:lang w:val="en-US" w:eastAsia="zh-CN"/>
              </w:rPr>
              <w:t>312</w:t>
            </w:r>
          </w:p>
        </w:tc>
        <w:tc>
          <w:tcPr>
            <w:tcW w:w="11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Times New Roman" w:cs="Times New Roman"/>
                <w:spacing w:val="2"/>
                <w:sz w:val="20"/>
                <w:szCs w:val="20"/>
              </w:rPr>
              <w:t>0.</w:t>
            </w:r>
            <w:r>
              <w:rPr>
                <w:rFonts w:hint="default" w:ascii="Times New Roman" w:hAnsi="Times New Roman" w:eastAsia="宋体" w:cs="Times New Roman"/>
                <w:spacing w:val="2"/>
                <w:sz w:val="20"/>
                <w:szCs w:val="20"/>
                <w:lang w:val="en-US" w:eastAsia="zh-CN"/>
              </w:rPr>
              <w:t>092</w:t>
            </w:r>
          </w:p>
        </w:tc>
        <w:tc>
          <w:tcPr>
            <w:tcW w:w="84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Times New Roman" w:cs="Times New Roman"/>
                <w:spacing w:val="-4"/>
                <w:sz w:val="20"/>
                <w:szCs w:val="20"/>
              </w:rPr>
              <w:t>0.</w:t>
            </w:r>
            <w:r>
              <w:rPr>
                <w:rFonts w:hint="default" w:ascii="Times New Roman" w:hAnsi="Times New Roman" w:eastAsia="宋体" w:cs="Times New Roman"/>
                <w:spacing w:val="-4"/>
                <w:sz w:val="20"/>
                <w:szCs w:val="20"/>
                <w:lang w:val="en-US" w:eastAsia="zh-CN"/>
              </w:rPr>
              <w:t>0624</w:t>
            </w:r>
          </w:p>
        </w:tc>
        <w:tc>
          <w:tcPr>
            <w:tcW w:w="159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pacing w:val="1"/>
                <w:sz w:val="20"/>
                <w:szCs w:val="20"/>
                <w:lang w:val="en-US" w:eastAsia="zh-CN"/>
              </w:rPr>
              <w:t>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29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8"/>
              </w:rPr>
              <w:t>《肉类加工工业水污染物排放</w:t>
            </w:r>
            <w:r>
              <w:rPr>
                <w:rFonts w:hint="default" w:ascii="Times New Roman" w:hAnsi="Times New Roman" w:cs="Times New Roman"/>
                <w:spacing w:val="9"/>
              </w:rPr>
              <w:t>标准》畜类屠宰加工三级标准</w:t>
            </w:r>
          </w:p>
        </w:tc>
        <w:tc>
          <w:tcPr>
            <w:tcW w:w="78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3.3</w:t>
            </w:r>
          </w:p>
        </w:tc>
        <w:tc>
          <w:tcPr>
            <w:tcW w:w="94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sz w:val="20"/>
                <w:szCs w:val="20"/>
              </w:rPr>
              <w:t>2.0</w:t>
            </w:r>
          </w:p>
        </w:tc>
        <w:tc>
          <w:tcPr>
            <w:tcW w:w="74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2"/>
                <w:sz w:val="20"/>
                <w:szCs w:val="20"/>
              </w:rPr>
              <w:t>2.6</w:t>
            </w:r>
          </w:p>
        </w:tc>
        <w:tc>
          <w:tcPr>
            <w:tcW w:w="11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0.4</w:t>
            </w:r>
          </w:p>
        </w:tc>
        <w:tc>
          <w:tcPr>
            <w:tcW w:w="84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5"/>
                <w:position w:val="-3"/>
              </w:rPr>
              <w:t>——</w:t>
            </w:r>
          </w:p>
        </w:tc>
        <w:tc>
          <w:tcPr>
            <w:tcW w:w="159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0"/>
                <w:szCs w:val="20"/>
              </w:rPr>
            </w:pPr>
            <w:r>
              <w:rPr>
                <w:rFonts w:hint="default" w:ascii="Times New Roman" w:hAnsi="Times New Roman" w:eastAsia="Times New Roman" w:cs="Times New Roman"/>
                <w:spacing w:val="1"/>
                <w:sz w:val="20"/>
                <w:szCs w:val="20"/>
              </w:rPr>
              <w:t>6.5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29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7"/>
              </w:rPr>
              <w:t>达标情况</w:t>
            </w:r>
          </w:p>
        </w:tc>
        <w:tc>
          <w:tcPr>
            <w:tcW w:w="78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5"/>
              </w:rPr>
              <w:t>达标</w:t>
            </w:r>
          </w:p>
        </w:tc>
        <w:tc>
          <w:tcPr>
            <w:tcW w:w="94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5"/>
              </w:rPr>
              <w:t>达标</w:t>
            </w:r>
          </w:p>
        </w:tc>
        <w:tc>
          <w:tcPr>
            <w:tcW w:w="744"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5"/>
              </w:rPr>
              <w:t>达标</w:t>
            </w:r>
          </w:p>
        </w:tc>
        <w:tc>
          <w:tcPr>
            <w:tcW w:w="1111"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5"/>
              </w:rPr>
              <w:t>达标</w:t>
            </w:r>
          </w:p>
        </w:tc>
        <w:tc>
          <w:tcPr>
            <w:tcW w:w="84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5"/>
              </w:rPr>
              <w:t>达标</w:t>
            </w:r>
          </w:p>
        </w:tc>
        <w:tc>
          <w:tcPr>
            <w:tcW w:w="159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rPr>
            </w:pPr>
            <w:r>
              <w:rPr>
                <w:rFonts w:hint="default" w:ascii="Times New Roman" w:hAnsi="Times New Roman" w:cs="Times New Roman"/>
                <w:spacing w:val="5"/>
              </w:rPr>
              <w:t>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8990" w:type="dxa"/>
            <w:gridSpan w:val="7"/>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spacing w:val="5"/>
                <w:lang w:val="en-US" w:eastAsia="zh-CN"/>
              </w:rPr>
            </w:pPr>
            <w:r>
              <w:rPr>
                <w:rFonts w:hint="default" w:ascii="Times New Roman" w:hAnsi="Times New Roman" w:cs="Times New Roman"/>
                <w:spacing w:val="5"/>
                <w:lang w:eastAsia="zh-CN"/>
              </w:rPr>
              <w:t>说明：肉牛活屠重为</w:t>
            </w:r>
            <w:r>
              <w:rPr>
                <w:rFonts w:hint="default" w:ascii="Times New Roman" w:hAnsi="Times New Roman" w:cs="Times New Roman"/>
                <w:spacing w:val="5"/>
                <w:lang w:val="en-US" w:eastAsia="zh-CN"/>
              </w:rPr>
              <w:t>5000t</w:t>
            </w:r>
            <w:r>
              <w:rPr>
                <w:rFonts w:hint="default" w:ascii="Times New Roman" w:hAnsi="Times New Roman" w:cs="Times New Roman"/>
                <w:spacing w:val="5"/>
                <w:lang w:eastAsia="zh-CN"/>
              </w:rPr>
              <w:t>；肉羊活屠重为</w:t>
            </w:r>
            <w:r>
              <w:rPr>
                <w:rFonts w:hint="default" w:ascii="Times New Roman" w:hAnsi="Times New Roman" w:cs="Times New Roman"/>
                <w:spacing w:val="5"/>
                <w:lang w:val="en-US" w:eastAsia="zh-CN"/>
              </w:rPr>
              <w:t>7500t.</w:t>
            </w:r>
          </w:p>
        </w:tc>
      </w:tr>
    </w:tbl>
    <w:p>
      <w:pPr>
        <w:keepNext w:val="0"/>
        <w:keepLines w:val="0"/>
        <w:pageBreakBefore w:val="0"/>
        <w:widowControl w:val="0"/>
        <w:kinsoku/>
        <w:wordWrap/>
        <w:overflowPunct/>
        <w:topLinePunct w:val="0"/>
        <w:autoSpaceDE w:val="0"/>
        <w:autoSpaceDN w:val="0"/>
        <w:bidi w:val="0"/>
        <w:adjustRightInd w:val="0"/>
        <w:snapToGrid w:val="0"/>
        <w:spacing w:before="151" w:line="384" w:lineRule="auto"/>
        <w:ind w:left="119" w:right="181" w:firstLine="510"/>
        <w:textAlignment w:val="baseline"/>
        <w:rPr>
          <w:rFonts w:ascii="宋体" w:hAnsi="宋体" w:eastAsia="宋体" w:cs="宋体"/>
          <w:sz w:val="24"/>
          <w:szCs w:val="24"/>
        </w:rPr>
      </w:pPr>
      <w:r>
        <w:rPr>
          <w:rFonts w:ascii="宋体" w:hAnsi="宋体" w:eastAsia="宋体" w:cs="宋体"/>
          <w:spacing w:val="-1"/>
          <w:sz w:val="24"/>
          <w:szCs w:val="24"/>
        </w:rPr>
        <w:t>经计算，本项目排水量为</w:t>
      </w:r>
      <w:r>
        <w:rPr>
          <w:rFonts w:hint="eastAsia" w:ascii="Times New Roman" w:hAnsi="Times New Roman" w:eastAsia="宋体" w:cs="Times New Roman"/>
          <w:spacing w:val="-1"/>
          <w:sz w:val="24"/>
          <w:szCs w:val="24"/>
          <w:highlight w:val="none"/>
          <w:lang w:val="en-US" w:eastAsia="zh-CN"/>
        </w:rPr>
        <w:t>3.4</w:t>
      </w:r>
      <w:r>
        <w:rPr>
          <w:rFonts w:ascii="Times New Roman" w:hAnsi="Times New Roman" w:eastAsia="Times New Roman" w:cs="Times New Roman"/>
          <w:spacing w:val="-1"/>
          <w:sz w:val="24"/>
          <w:szCs w:val="24"/>
          <w:highlight w:val="none"/>
        </w:rPr>
        <w:t>m</w:t>
      </w:r>
      <w:r>
        <w:rPr>
          <w:rFonts w:ascii="Times New Roman" w:hAnsi="Times New Roman" w:eastAsia="Times New Roman" w:cs="Times New Roman"/>
          <w:spacing w:val="-1"/>
          <w:position w:val="8"/>
          <w:sz w:val="15"/>
          <w:szCs w:val="15"/>
          <w:highlight w:val="none"/>
        </w:rPr>
        <w:t>3</w:t>
      </w:r>
      <w:r>
        <w:rPr>
          <w:rFonts w:ascii="Times New Roman" w:hAnsi="Times New Roman" w:eastAsia="Times New Roman" w:cs="Times New Roman"/>
          <w:spacing w:val="-1"/>
          <w:sz w:val="24"/>
          <w:szCs w:val="24"/>
          <w:highlight w:val="none"/>
        </w:rPr>
        <w:t>/t</w:t>
      </w:r>
      <w:r>
        <w:rPr>
          <w:rFonts w:ascii="宋体" w:hAnsi="宋体" w:eastAsia="宋体" w:cs="宋体"/>
          <w:spacing w:val="-1"/>
          <w:sz w:val="24"/>
          <w:szCs w:val="24"/>
        </w:rPr>
        <w:t>活屠量，满足《肉类加</w:t>
      </w:r>
      <w:r>
        <w:rPr>
          <w:rFonts w:ascii="宋体" w:hAnsi="宋体" w:eastAsia="宋体" w:cs="宋体"/>
          <w:spacing w:val="-2"/>
          <w:sz w:val="24"/>
          <w:szCs w:val="24"/>
        </w:rPr>
        <w:t>工工业水污染物排放标准》中畜类屠宰加工</w:t>
      </w:r>
      <w:r>
        <w:rPr>
          <w:rFonts w:hint="eastAsia" w:ascii="宋体" w:hAnsi="宋体" w:eastAsia="宋体" w:cs="宋体"/>
          <w:spacing w:val="-2"/>
          <w:sz w:val="24"/>
          <w:szCs w:val="24"/>
          <w:lang w:eastAsia="zh-CN"/>
        </w:rPr>
        <w:t>排水量</w:t>
      </w:r>
      <w:r>
        <w:rPr>
          <w:rFonts w:ascii="Times New Roman" w:hAnsi="Times New Roman" w:eastAsia="Times New Roman" w:cs="Times New Roman"/>
          <w:spacing w:val="-2"/>
          <w:sz w:val="24"/>
          <w:szCs w:val="24"/>
        </w:rPr>
        <w:t>6.5m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 xml:space="preserve">/t </w:t>
      </w:r>
      <w:r>
        <w:rPr>
          <w:rFonts w:ascii="宋体" w:hAnsi="宋体" w:eastAsia="宋体" w:cs="宋体"/>
          <w:spacing w:val="-2"/>
          <w:sz w:val="24"/>
          <w:szCs w:val="24"/>
        </w:rPr>
        <w:t>活屠量的要求。本项目</w:t>
      </w:r>
      <w:r>
        <w:rPr>
          <w:rFonts w:ascii="Times New Roman" w:hAnsi="Times New Roman" w:eastAsia="Times New Roman" w:cs="Times New Roman"/>
          <w:spacing w:val="-2"/>
          <w:sz w:val="24"/>
          <w:szCs w:val="24"/>
        </w:rPr>
        <w:t>COD</w:t>
      </w:r>
      <w:r>
        <w:rPr>
          <w:rFonts w:ascii="宋体" w:hAnsi="宋体" w:eastAsia="宋体" w:cs="宋体"/>
          <w:spacing w:val="-2"/>
          <w:sz w:val="24"/>
          <w:szCs w:val="24"/>
        </w:rPr>
        <w:t>、</w:t>
      </w:r>
      <w:r>
        <w:rPr>
          <w:rFonts w:ascii="Times New Roman" w:hAnsi="Times New Roman" w:eastAsia="Times New Roman" w:cs="Times New Roman"/>
          <w:spacing w:val="-5"/>
          <w:sz w:val="24"/>
          <w:szCs w:val="24"/>
        </w:rPr>
        <w:t>BOD</w:t>
      </w:r>
      <w:r>
        <w:rPr>
          <w:rFonts w:ascii="Times New Roman" w:hAnsi="Times New Roman" w:eastAsia="Times New Roman" w:cs="Times New Roman"/>
          <w:spacing w:val="-5"/>
          <w:position w:val="-1"/>
          <w:sz w:val="15"/>
          <w:szCs w:val="15"/>
        </w:rPr>
        <w:t>5</w:t>
      </w:r>
      <w:r>
        <w:rPr>
          <w:rFonts w:ascii="Times New Roman" w:hAnsi="Times New Roman" w:eastAsia="Times New Roman" w:cs="Times New Roman"/>
          <w:spacing w:val="-10"/>
          <w:position w:val="-1"/>
          <w:sz w:val="15"/>
          <w:szCs w:val="15"/>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SS</w:t>
      </w:r>
      <w:r>
        <w:rPr>
          <w:rFonts w:ascii="宋体" w:hAnsi="宋体" w:eastAsia="宋体" w:cs="宋体"/>
          <w:spacing w:val="-5"/>
          <w:sz w:val="24"/>
          <w:szCs w:val="24"/>
        </w:rPr>
        <w:t>、动植物油和氨氮排放总量</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kg/t</w:t>
      </w:r>
      <w:r>
        <w:rPr>
          <w:rFonts w:ascii="宋体" w:hAnsi="宋体" w:eastAsia="宋体" w:cs="宋体"/>
          <w:spacing w:val="-5"/>
          <w:sz w:val="24"/>
          <w:szCs w:val="24"/>
        </w:rPr>
        <w:t>活屠量分别为</w:t>
      </w:r>
      <w:r>
        <w:rPr>
          <w:rFonts w:hint="eastAsia" w:ascii="Times New Roman" w:hAnsi="Times New Roman" w:eastAsia="宋体" w:cs="Times New Roman"/>
          <w:spacing w:val="-5"/>
          <w:sz w:val="24"/>
          <w:szCs w:val="24"/>
          <w:lang w:val="en-US" w:eastAsia="zh-CN"/>
        </w:rPr>
        <w:t>0.752</w:t>
      </w:r>
      <w:r>
        <w:rPr>
          <w:rFonts w:ascii="宋体" w:hAnsi="宋体" w:eastAsia="宋体" w:cs="宋体"/>
          <w:spacing w:val="-5"/>
          <w:sz w:val="24"/>
          <w:szCs w:val="24"/>
        </w:rPr>
        <w:t>、</w:t>
      </w:r>
      <w:r>
        <w:rPr>
          <w:rFonts w:ascii="Times New Roman" w:hAnsi="Times New Roman" w:eastAsia="Times New Roman" w:cs="Times New Roman"/>
          <w:spacing w:val="-5"/>
          <w:sz w:val="24"/>
          <w:szCs w:val="24"/>
        </w:rPr>
        <w:t>0.</w:t>
      </w:r>
      <w:r>
        <w:rPr>
          <w:rFonts w:hint="eastAsia" w:ascii="Times New Roman" w:hAnsi="Times New Roman" w:eastAsia="宋体" w:cs="Times New Roman"/>
          <w:spacing w:val="-5"/>
          <w:sz w:val="24"/>
          <w:szCs w:val="24"/>
          <w:lang w:val="en-US" w:eastAsia="zh-CN"/>
        </w:rPr>
        <w:t>352</w:t>
      </w:r>
      <w:r>
        <w:rPr>
          <w:rFonts w:ascii="宋体" w:hAnsi="宋体" w:eastAsia="宋体" w:cs="宋体"/>
          <w:spacing w:val="-5"/>
          <w:sz w:val="24"/>
          <w:szCs w:val="24"/>
        </w:rPr>
        <w:t>、</w:t>
      </w:r>
      <w:r>
        <w:rPr>
          <w:rFonts w:ascii="Times New Roman" w:hAnsi="Times New Roman" w:eastAsia="Times New Roman" w:cs="Times New Roman"/>
          <w:spacing w:val="-5"/>
          <w:sz w:val="24"/>
          <w:szCs w:val="24"/>
        </w:rPr>
        <w:t>0.</w:t>
      </w:r>
      <w:r>
        <w:rPr>
          <w:rFonts w:hint="eastAsia" w:ascii="Times New Roman" w:hAnsi="Times New Roman" w:eastAsia="宋体" w:cs="Times New Roman"/>
          <w:spacing w:val="-5"/>
          <w:sz w:val="24"/>
          <w:szCs w:val="24"/>
          <w:lang w:val="en-US" w:eastAsia="zh-CN"/>
        </w:rPr>
        <w:t>312</w:t>
      </w:r>
      <w:r>
        <w:rPr>
          <w:rFonts w:ascii="宋体" w:hAnsi="宋体" w:eastAsia="宋体" w:cs="宋体"/>
          <w:spacing w:val="-5"/>
          <w:sz w:val="24"/>
          <w:szCs w:val="24"/>
        </w:rPr>
        <w:t>、</w:t>
      </w:r>
      <w:r>
        <w:rPr>
          <w:rFonts w:ascii="Times New Roman" w:hAnsi="Times New Roman" w:eastAsia="Times New Roman" w:cs="Times New Roman"/>
          <w:spacing w:val="-5"/>
          <w:sz w:val="24"/>
          <w:szCs w:val="24"/>
        </w:rPr>
        <w:t>0.</w:t>
      </w:r>
      <w:r>
        <w:rPr>
          <w:rFonts w:hint="eastAsia" w:ascii="Times New Roman" w:hAnsi="Times New Roman" w:eastAsia="宋体" w:cs="Times New Roman"/>
          <w:spacing w:val="-5"/>
          <w:sz w:val="24"/>
          <w:szCs w:val="24"/>
          <w:lang w:val="en-US" w:eastAsia="zh-CN"/>
        </w:rPr>
        <w:t>092</w:t>
      </w:r>
      <w:r>
        <w:rPr>
          <w:rFonts w:ascii="宋体" w:hAnsi="宋体" w:eastAsia="宋体" w:cs="宋体"/>
          <w:spacing w:val="-6"/>
          <w:sz w:val="24"/>
          <w:szCs w:val="24"/>
        </w:rPr>
        <w:t>和</w:t>
      </w:r>
      <w:r>
        <w:rPr>
          <w:rFonts w:ascii="Times New Roman" w:hAnsi="Times New Roman" w:eastAsia="Times New Roman" w:cs="Times New Roman"/>
          <w:spacing w:val="-1"/>
          <w:sz w:val="24"/>
          <w:szCs w:val="24"/>
        </w:rPr>
        <w:t>0.</w:t>
      </w:r>
      <w:r>
        <w:rPr>
          <w:rFonts w:hint="eastAsia" w:ascii="Times New Roman" w:hAnsi="Times New Roman" w:eastAsia="宋体" w:cs="Times New Roman"/>
          <w:spacing w:val="-1"/>
          <w:sz w:val="24"/>
          <w:szCs w:val="24"/>
          <w:lang w:val="en-US" w:eastAsia="zh-CN"/>
        </w:rPr>
        <w:t>0624</w:t>
      </w:r>
      <w:r>
        <w:rPr>
          <w:rFonts w:ascii="宋体" w:hAnsi="宋体" w:eastAsia="宋体" w:cs="宋体"/>
          <w:spacing w:val="-1"/>
          <w:sz w:val="24"/>
          <w:szCs w:val="24"/>
        </w:rPr>
        <w:t>，</w:t>
      </w:r>
      <w:r>
        <w:rPr>
          <w:rFonts w:hint="eastAsia" w:ascii="宋体" w:hAnsi="宋体" w:eastAsia="宋体" w:cs="宋体"/>
          <w:spacing w:val="-1"/>
          <w:sz w:val="24"/>
          <w:szCs w:val="24"/>
          <w:lang w:eastAsia="zh-CN"/>
        </w:rPr>
        <w:t>符合</w:t>
      </w:r>
      <w:r>
        <w:rPr>
          <w:rFonts w:ascii="宋体" w:hAnsi="宋体" w:eastAsia="宋体" w:cs="宋体"/>
          <w:spacing w:val="-1"/>
          <w:sz w:val="24"/>
          <w:szCs w:val="24"/>
        </w:rPr>
        <w:t>《肉类加工工业水污染物排放标准》畜类屠宰加工三级标准</w:t>
      </w:r>
      <w:r>
        <w:rPr>
          <w:rFonts w:ascii="宋体" w:hAnsi="宋体" w:eastAsia="宋体" w:cs="宋体"/>
          <w:spacing w:val="-2"/>
          <w:sz w:val="24"/>
          <w:szCs w:val="24"/>
        </w:rPr>
        <w:t>要求。因此，本项目废水处理措施从环保角度是可行的。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ab/>
      </w:r>
      <w:r>
        <w:rPr>
          <w:rFonts w:hint="default" w:ascii="Times New Roman" w:hAnsi="Times New Roman" w:cs="Times New Roman"/>
          <w:sz w:val="24"/>
          <w:szCs w:val="24"/>
          <w:u w:val="single"/>
        </w:rPr>
        <w:t>（5）项目废水</w:t>
      </w:r>
      <w:r>
        <w:rPr>
          <w:rFonts w:hint="eastAsia" w:ascii="Times New Roman" w:hAnsi="Times New Roman" w:eastAsia="宋体" w:cs="Times New Roman"/>
          <w:sz w:val="24"/>
          <w:szCs w:val="24"/>
          <w:u w:val="single"/>
          <w:lang w:eastAsia="zh-CN"/>
        </w:rPr>
        <w:t>进入叶县县城</w:t>
      </w:r>
      <w:r>
        <w:rPr>
          <w:rFonts w:hint="default" w:ascii="Times New Roman" w:hAnsi="Times New Roman" w:cs="Times New Roman"/>
          <w:sz w:val="24"/>
          <w:szCs w:val="24"/>
          <w:u w:val="single"/>
        </w:rPr>
        <w:t>污水处理厂可行性分析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eastAsiaTheme="minorEastAsia"/>
          <w:snapToGrid/>
          <w:kern w:val="2"/>
          <w:sz w:val="24"/>
          <w:szCs w:val="24"/>
          <w:u w:val="single"/>
          <w:lang w:eastAsia="zh-CN"/>
        </w:rPr>
      </w:pPr>
      <w:r>
        <w:rPr>
          <w:rFonts w:hint="eastAsia" w:ascii="宋体" w:hAnsi="宋体" w:eastAsia="宋体" w:cs="宋体"/>
          <w:snapToGrid/>
          <w:kern w:val="2"/>
          <w:sz w:val="24"/>
          <w:szCs w:val="24"/>
          <w:u w:val="single"/>
          <w:lang w:eastAsia="zh-CN"/>
        </w:rPr>
        <w:t>①</w:t>
      </w:r>
      <w:r>
        <w:rPr>
          <w:rFonts w:ascii="Times New Roman" w:hAnsi="Times New Roman" w:cs="Times New Roman" w:eastAsiaTheme="minorEastAsia"/>
          <w:snapToGrid/>
          <w:kern w:val="2"/>
          <w:sz w:val="24"/>
          <w:szCs w:val="24"/>
          <w:u w:val="single"/>
          <w:lang w:eastAsia="zh-CN"/>
        </w:rPr>
        <w:t>叶县</w:t>
      </w:r>
      <w:r>
        <w:rPr>
          <w:rFonts w:hint="eastAsia" w:ascii="Times New Roman" w:hAnsi="Times New Roman" w:cs="Times New Roman" w:eastAsiaTheme="minorEastAsia"/>
          <w:snapToGrid/>
          <w:kern w:val="2"/>
          <w:sz w:val="24"/>
          <w:szCs w:val="24"/>
          <w:u w:val="single"/>
          <w:lang w:eastAsia="zh-CN"/>
        </w:rPr>
        <w:t>县城</w:t>
      </w:r>
      <w:r>
        <w:rPr>
          <w:rFonts w:ascii="Times New Roman" w:hAnsi="Times New Roman" w:cs="Times New Roman" w:eastAsiaTheme="minorEastAsia"/>
          <w:snapToGrid/>
          <w:kern w:val="2"/>
          <w:sz w:val="24"/>
          <w:szCs w:val="24"/>
          <w:u w:val="single"/>
          <w:lang w:eastAsia="zh-CN"/>
        </w:rPr>
        <w:t>污水处理厂的衔接与依托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eastAsiaTheme="minorEastAsia"/>
          <w:snapToGrid/>
          <w:kern w:val="2"/>
          <w:sz w:val="24"/>
          <w:szCs w:val="24"/>
          <w:u w:val="single"/>
          <w:lang w:eastAsia="zh-CN"/>
        </w:rPr>
      </w:pPr>
      <w:r>
        <w:rPr>
          <w:rFonts w:hint="eastAsia" w:ascii="Times New Roman" w:hAnsi="Times New Roman" w:cs="Times New Roman" w:eastAsiaTheme="minorEastAsia"/>
          <w:snapToGrid/>
          <w:kern w:val="2"/>
          <w:sz w:val="24"/>
          <w:szCs w:val="24"/>
          <w:u w:val="single"/>
          <w:lang w:val="en-US" w:eastAsia="zh-CN"/>
        </w:rPr>
        <w:t>a、</w:t>
      </w:r>
      <w:r>
        <w:rPr>
          <w:rFonts w:ascii="Times New Roman" w:hAnsi="Times New Roman" w:cs="Times New Roman" w:eastAsiaTheme="minorEastAsia"/>
          <w:snapToGrid/>
          <w:kern w:val="2"/>
          <w:sz w:val="24"/>
          <w:szCs w:val="24"/>
          <w:u w:val="single"/>
          <w:lang w:eastAsia="zh-CN"/>
        </w:rPr>
        <w:t>总体情况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eastAsiaTheme="minorEastAsia"/>
          <w:snapToGrid/>
          <w:kern w:val="2"/>
          <w:sz w:val="24"/>
          <w:szCs w:val="24"/>
          <w:u w:val="single"/>
          <w:lang w:eastAsia="zh-CN"/>
        </w:rPr>
      </w:pPr>
      <w:r>
        <w:rPr>
          <w:rFonts w:ascii="Times New Roman" w:hAnsi="Times New Roman" w:cs="Times New Roman" w:eastAsiaTheme="minorEastAsia"/>
          <w:snapToGrid/>
          <w:kern w:val="2"/>
          <w:sz w:val="24"/>
          <w:szCs w:val="24"/>
          <w:u w:val="single"/>
          <w:lang w:eastAsia="zh-CN"/>
        </w:rPr>
        <w:t>叶县</w:t>
      </w:r>
      <w:r>
        <w:rPr>
          <w:rFonts w:hint="eastAsia" w:ascii="Times New Roman" w:hAnsi="Times New Roman" w:cs="Times New Roman" w:eastAsiaTheme="minorEastAsia"/>
          <w:snapToGrid/>
          <w:kern w:val="2"/>
          <w:sz w:val="24"/>
          <w:szCs w:val="24"/>
          <w:u w:val="single"/>
          <w:lang w:eastAsia="zh-CN"/>
        </w:rPr>
        <w:t>县城</w:t>
      </w:r>
      <w:r>
        <w:rPr>
          <w:rFonts w:ascii="Times New Roman" w:hAnsi="Times New Roman" w:cs="Times New Roman" w:eastAsiaTheme="minorEastAsia"/>
          <w:snapToGrid/>
          <w:kern w:val="2"/>
          <w:sz w:val="24"/>
          <w:szCs w:val="24"/>
          <w:u w:val="single"/>
          <w:lang w:eastAsia="zh-CN"/>
        </w:rPr>
        <w:t>污水处理厂</w:t>
      </w:r>
      <w:r>
        <w:rPr>
          <w:rFonts w:hint="eastAsia" w:ascii="Times New Roman" w:hAnsi="Times New Roman" w:cs="Times New Roman" w:eastAsiaTheme="minorEastAsia"/>
          <w:snapToGrid/>
          <w:kern w:val="2"/>
          <w:sz w:val="24"/>
          <w:szCs w:val="24"/>
          <w:u w:val="single"/>
          <w:lang w:eastAsia="zh-CN"/>
        </w:rPr>
        <w:t>，</w:t>
      </w:r>
      <w:r>
        <w:rPr>
          <w:rFonts w:ascii="Times New Roman" w:hAnsi="Times New Roman" w:cs="Times New Roman" w:eastAsiaTheme="minorEastAsia"/>
          <w:snapToGrid/>
          <w:kern w:val="2"/>
          <w:sz w:val="24"/>
          <w:szCs w:val="24"/>
          <w:u w:val="single"/>
          <w:lang w:eastAsia="zh-CN"/>
        </w:rPr>
        <w:t>位于叶县</w:t>
      </w:r>
      <w:r>
        <w:rPr>
          <w:rFonts w:hint="eastAsia" w:ascii="Times New Roman" w:hAnsi="Times New Roman" w:cs="Times New Roman" w:eastAsiaTheme="minorEastAsia"/>
          <w:snapToGrid/>
          <w:kern w:val="2"/>
          <w:sz w:val="24"/>
          <w:szCs w:val="24"/>
          <w:u w:val="single"/>
          <w:lang w:eastAsia="zh-CN"/>
        </w:rPr>
        <w:t>县城东南叶舞公路焦赞桥处（</w:t>
      </w:r>
      <w:r>
        <w:rPr>
          <w:rFonts w:ascii="Times New Roman" w:hAnsi="Times New Roman" w:cs="Times New Roman" w:eastAsiaTheme="minorEastAsia"/>
          <w:snapToGrid/>
          <w:kern w:val="2"/>
          <w:sz w:val="24"/>
          <w:szCs w:val="24"/>
          <w:u w:val="single"/>
          <w:lang w:eastAsia="zh-CN"/>
        </w:rPr>
        <w:t>灰河与省道330交叉口</w:t>
      </w:r>
      <w:r>
        <w:rPr>
          <w:rFonts w:hint="eastAsia" w:ascii="Times New Roman" w:hAnsi="Times New Roman" w:cs="Times New Roman" w:eastAsiaTheme="minorEastAsia"/>
          <w:snapToGrid/>
          <w:kern w:val="2"/>
          <w:sz w:val="24"/>
          <w:szCs w:val="24"/>
          <w:u w:val="single"/>
          <w:lang w:eastAsia="zh-CN"/>
        </w:rPr>
        <w:t>西北角）</w:t>
      </w:r>
      <w:r>
        <w:rPr>
          <w:rFonts w:ascii="Times New Roman" w:hAnsi="Times New Roman" w:cs="Times New Roman" w:eastAsiaTheme="minorEastAsia"/>
          <w:snapToGrid/>
          <w:kern w:val="2"/>
          <w:sz w:val="24"/>
          <w:szCs w:val="24"/>
          <w:u w:val="single"/>
          <w:lang w:eastAsia="zh-CN"/>
        </w:rPr>
        <w:t>，</w:t>
      </w:r>
      <w:r>
        <w:rPr>
          <w:rFonts w:hint="eastAsia" w:ascii="Times New Roman" w:hAnsi="Times New Roman" w:cs="Times New Roman" w:eastAsiaTheme="minorEastAsia"/>
          <w:snapToGrid/>
          <w:kern w:val="2"/>
          <w:sz w:val="24"/>
          <w:szCs w:val="24"/>
          <w:u w:val="single"/>
          <w:lang w:eastAsia="zh-CN"/>
        </w:rPr>
        <w:t>运营单位是叶县瑞和泰污水净化有限公司</w:t>
      </w:r>
      <w:r>
        <w:rPr>
          <w:rFonts w:ascii="Times New Roman" w:hAnsi="Times New Roman" w:cs="Times New Roman" w:eastAsiaTheme="minorEastAsia"/>
          <w:snapToGrid/>
          <w:kern w:val="2"/>
          <w:sz w:val="24"/>
          <w:szCs w:val="24"/>
          <w:u w:val="single"/>
          <w:lang w:eastAsia="zh-CN"/>
        </w:rPr>
        <w:t>，占地总面积</w:t>
      </w:r>
      <w:r>
        <w:rPr>
          <w:rFonts w:hint="eastAsia" w:ascii="Times New Roman" w:hAnsi="Times New Roman" w:cs="Times New Roman" w:eastAsiaTheme="minorEastAsia"/>
          <w:snapToGrid/>
          <w:kern w:val="2"/>
          <w:sz w:val="24"/>
          <w:szCs w:val="24"/>
          <w:u w:val="single"/>
          <w:lang w:eastAsia="zh-CN"/>
        </w:rPr>
        <w:t>约</w:t>
      </w:r>
      <w:r>
        <w:rPr>
          <w:rFonts w:ascii="Times New Roman" w:hAnsi="Times New Roman" w:cs="Times New Roman" w:eastAsiaTheme="minorEastAsia"/>
          <w:snapToGrid/>
          <w:kern w:val="2"/>
          <w:sz w:val="24"/>
          <w:szCs w:val="24"/>
          <w:u w:val="single"/>
          <w:lang w:eastAsia="zh-CN"/>
        </w:rPr>
        <w:t>100亩。</w:t>
      </w:r>
      <w:r>
        <w:rPr>
          <w:rFonts w:hint="eastAsia" w:ascii="Times New Roman" w:hAnsi="Times New Roman" w:cs="Times New Roman" w:eastAsiaTheme="minorEastAsia"/>
          <w:snapToGrid/>
          <w:kern w:val="2"/>
          <w:sz w:val="24"/>
          <w:szCs w:val="24"/>
          <w:u w:val="single"/>
          <w:lang w:eastAsia="zh-CN"/>
        </w:rPr>
        <w:t>该</w:t>
      </w:r>
      <w:r>
        <w:rPr>
          <w:rFonts w:ascii="Times New Roman" w:hAnsi="Times New Roman" w:cs="Times New Roman" w:eastAsiaTheme="minorEastAsia"/>
          <w:snapToGrid/>
          <w:kern w:val="2"/>
          <w:sz w:val="24"/>
          <w:szCs w:val="24"/>
          <w:u w:val="single"/>
          <w:lang w:eastAsia="zh-CN"/>
        </w:rPr>
        <w:t>污水处理厂</w:t>
      </w:r>
      <w:r>
        <w:rPr>
          <w:rFonts w:hint="eastAsia" w:ascii="Times New Roman" w:hAnsi="Times New Roman" w:cs="Times New Roman" w:eastAsiaTheme="minorEastAsia"/>
          <w:snapToGrid/>
          <w:kern w:val="2"/>
          <w:sz w:val="24"/>
          <w:szCs w:val="24"/>
          <w:u w:val="single"/>
          <w:lang w:eastAsia="zh-CN"/>
        </w:rPr>
        <w:t>，主要收集县城生活污水和部分工业废水，废水经处理达标后排入灰河。</w:t>
      </w:r>
      <w:r>
        <w:rPr>
          <w:rFonts w:ascii="Times New Roman" w:hAnsi="Times New Roman" w:cs="Times New Roman" w:eastAsiaTheme="minorEastAsia"/>
          <w:snapToGrid/>
          <w:kern w:val="2"/>
          <w:sz w:val="24"/>
          <w:szCs w:val="24"/>
          <w:u w:val="single"/>
          <w:lang w:eastAsia="zh-CN"/>
        </w:rPr>
        <w:t>叶县</w:t>
      </w:r>
      <w:r>
        <w:rPr>
          <w:rFonts w:hint="eastAsia" w:ascii="Times New Roman" w:hAnsi="Times New Roman" w:cs="Times New Roman" w:eastAsiaTheme="minorEastAsia"/>
          <w:snapToGrid/>
          <w:kern w:val="2"/>
          <w:sz w:val="24"/>
          <w:szCs w:val="24"/>
          <w:u w:val="single"/>
          <w:lang w:eastAsia="zh-CN"/>
        </w:rPr>
        <w:t>县城</w:t>
      </w:r>
      <w:r>
        <w:rPr>
          <w:rFonts w:ascii="Times New Roman" w:hAnsi="Times New Roman" w:cs="Times New Roman" w:eastAsiaTheme="minorEastAsia"/>
          <w:snapToGrid/>
          <w:kern w:val="2"/>
          <w:sz w:val="24"/>
          <w:szCs w:val="24"/>
          <w:u w:val="single"/>
          <w:lang w:eastAsia="zh-CN"/>
        </w:rPr>
        <w:t>污水处理厂</w:t>
      </w:r>
      <w:r>
        <w:rPr>
          <w:rFonts w:hint="eastAsia" w:ascii="Times New Roman" w:hAnsi="Times New Roman" w:cs="Times New Roman" w:eastAsiaTheme="minorEastAsia"/>
          <w:snapToGrid/>
          <w:kern w:val="2"/>
          <w:sz w:val="24"/>
          <w:szCs w:val="24"/>
          <w:u w:val="single"/>
          <w:lang w:eastAsia="zh-CN"/>
        </w:rPr>
        <w:t>，</w:t>
      </w:r>
      <w:r>
        <w:rPr>
          <w:rFonts w:ascii="Times New Roman" w:hAnsi="Times New Roman" w:cs="Times New Roman" w:eastAsiaTheme="minorEastAsia"/>
          <w:snapToGrid/>
          <w:kern w:val="2"/>
          <w:sz w:val="24"/>
          <w:szCs w:val="24"/>
          <w:u w:val="single"/>
          <w:lang w:eastAsia="zh-CN"/>
        </w:rPr>
        <w:t>一期建设规模为</w:t>
      </w:r>
      <w:r>
        <w:rPr>
          <w:rFonts w:hint="eastAsia" w:ascii="Times New Roman" w:hAnsi="Times New Roman" w:cs="Times New Roman" w:eastAsiaTheme="minorEastAsia"/>
          <w:snapToGrid/>
          <w:kern w:val="2"/>
          <w:sz w:val="24"/>
          <w:szCs w:val="24"/>
          <w:u w:val="single"/>
          <w:lang w:val="en-US" w:eastAsia="zh-CN"/>
        </w:rPr>
        <w:t>2</w:t>
      </w:r>
      <w:r>
        <w:rPr>
          <w:rFonts w:ascii="Times New Roman" w:hAnsi="Times New Roman" w:cs="Times New Roman" w:eastAsiaTheme="minorEastAsia"/>
          <w:snapToGrid/>
          <w:kern w:val="2"/>
          <w:sz w:val="24"/>
          <w:szCs w:val="24"/>
          <w:u w:val="single"/>
          <w:lang w:eastAsia="zh-CN"/>
        </w:rPr>
        <w:t>万m</w:t>
      </w:r>
      <w:r>
        <w:rPr>
          <w:rFonts w:ascii="Times New Roman" w:hAnsi="Times New Roman" w:cs="Times New Roman" w:eastAsiaTheme="minorEastAsia"/>
          <w:snapToGrid/>
          <w:kern w:val="2"/>
          <w:sz w:val="24"/>
          <w:szCs w:val="24"/>
          <w:u w:val="single"/>
          <w:vertAlign w:val="superscript"/>
          <w:lang w:eastAsia="zh-CN"/>
        </w:rPr>
        <w:t>3</w:t>
      </w:r>
      <w:r>
        <w:rPr>
          <w:rFonts w:ascii="Times New Roman" w:hAnsi="Times New Roman" w:cs="Times New Roman" w:eastAsiaTheme="minorEastAsia"/>
          <w:snapToGrid/>
          <w:kern w:val="2"/>
          <w:sz w:val="24"/>
          <w:szCs w:val="24"/>
          <w:u w:val="single"/>
          <w:lang w:eastAsia="zh-CN"/>
        </w:rPr>
        <w:t>/d，于20</w:t>
      </w:r>
      <w:r>
        <w:rPr>
          <w:rFonts w:hint="eastAsia" w:ascii="Times New Roman" w:hAnsi="Times New Roman" w:cs="Times New Roman" w:eastAsiaTheme="minorEastAsia"/>
          <w:snapToGrid/>
          <w:kern w:val="2"/>
          <w:sz w:val="24"/>
          <w:szCs w:val="24"/>
          <w:u w:val="single"/>
          <w:lang w:val="en-US" w:eastAsia="zh-CN"/>
        </w:rPr>
        <w:t>08</w:t>
      </w:r>
      <w:r>
        <w:rPr>
          <w:rFonts w:ascii="Times New Roman" w:hAnsi="Times New Roman" w:cs="Times New Roman" w:eastAsiaTheme="minorEastAsia"/>
          <w:snapToGrid/>
          <w:kern w:val="2"/>
          <w:sz w:val="24"/>
          <w:szCs w:val="24"/>
          <w:u w:val="single"/>
          <w:lang w:eastAsia="zh-CN"/>
        </w:rPr>
        <w:t>年</w:t>
      </w:r>
      <w:r>
        <w:rPr>
          <w:rFonts w:hint="eastAsia" w:ascii="Times New Roman" w:hAnsi="Times New Roman" w:cs="Times New Roman" w:eastAsiaTheme="minorEastAsia"/>
          <w:snapToGrid/>
          <w:kern w:val="2"/>
          <w:sz w:val="24"/>
          <w:szCs w:val="24"/>
          <w:u w:val="single"/>
          <w:lang w:val="en-US" w:eastAsia="zh-CN"/>
        </w:rPr>
        <w:t>9</w:t>
      </w:r>
      <w:r>
        <w:rPr>
          <w:rFonts w:ascii="Times New Roman" w:hAnsi="Times New Roman" w:cs="Times New Roman" w:eastAsiaTheme="minorEastAsia"/>
          <w:snapToGrid/>
          <w:kern w:val="2"/>
          <w:sz w:val="24"/>
          <w:szCs w:val="24"/>
          <w:u w:val="single"/>
          <w:lang w:eastAsia="zh-CN"/>
        </w:rPr>
        <w:t>月通过环保验收投入</w:t>
      </w:r>
      <w:r>
        <w:rPr>
          <w:rFonts w:hint="eastAsia" w:ascii="Times New Roman" w:hAnsi="Times New Roman" w:cs="Times New Roman" w:eastAsiaTheme="minorEastAsia"/>
          <w:snapToGrid/>
          <w:kern w:val="2"/>
          <w:sz w:val="24"/>
          <w:szCs w:val="24"/>
          <w:u w:val="single"/>
          <w:lang w:eastAsia="zh-CN"/>
        </w:rPr>
        <w:t>运营</w:t>
      </w:r>
      <w:r>
        <w:rPr>
          <w:rFonts w:ascii="Times New Roman" w:hAnsi="Times New Roman" w:cs="Times New Roman" w:eastAsiaTheme="minorEastAsia"/>
          <w:snapToGrid/>
          <w:kern w:val="2"/>
          <w:sz w:val="24"/>
          <w:szCs w:val="24"/>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eastAsiaTheme="minorEastAsia"/>
          <w:snapToGrid/>
          <w:kern w:val="2"/>
          <w:sz w:val="24"/>
          <w:szCs w:val="24"/>
          <w:u w:val="single"/>
          <w:lang w:eastAsia="zh-CN"/>
        </w:rPr>
      </w:pPr>
      <w:r>
        <w:rPr>
          <w:rFonts w:hint="eastAsia" w:ascii="Times New Roman" w:hAnsi="Times New Roman" w:cs="Times New Roman" w:eastAsiaTheme="minorEastAsia"/>
          <w:snapToGrid/>
          <w:kern w:val="2"/>
          <w:sz w:val="24"/>
          <w:szCs w:val="24"/>
          <w:u w:val="single"/>
          <w:lang w:eastAsia="zh-CN"/>
        </w:rPr>
        <w:t>随着叶县城市的发展，原有污水处理规模已不能满足县城污水处理工作需求。</w:t>
      </w:r>
      <w:r>
        <w:rPr>
          <w:rFonts w:hint="eastAsia" w:ascii="Times New Roman" w:hAnsi="Times New Roman" w:cs="Times New Roman" w:eastAsiaTheme="minorEastAsia"/>
          <w:snapToGrid/>
          <w:kern w:val="2"/>
          <w:sz w:val="24"/>
          <w:szCs w:val="24"/>
          <w:u w:val="single"/>
          <w:lang w:val="en-US" w:eastAsia="zh-CN"/>
        </w:rPr>
        <w:t>2015年11月，叶县人民政府委托叶县盐都水务有限公司负责实施了叶县县城污水厂二期工程“改扩建+提标改造”，新增污水处理规模2</w:t>
      </w:r>
      <w:r>
        <w:rPr>
          <w:rFonts w:ascii="Times New Roman" w:hAnsi="Times New Roman" w:cs="Times New Roman" w:eastAsiaTheme="minorEastAsia"/>
          <w:snapToGrid/>
          <w:kern w:val="2"/>
          <w:sz w:val="24"/>
          <w:szCs w:val="24"/>
          <w:u w:val="single"/>
          <w:lang w:eastAsia="zh-CN"/>
        </w:rPr>
        <w:t>万m</w:t>
      </w:r>
      <w:r>
        <w:rPr>
          <w:rFonts w:ascii="Times New Roman" w:hAnsi="Times New Roman" w:cs="Times New Roman" w:eastAsiaTheme="minorEastAsia"/>
          <w:snapToGrid/>
          <w:kern w:val="2"/>
          <w:sz w:val="24"/>
          <w:szCs w:val="24"/>
          <w:u w:val="single"/>
          <w:vertAlign w:val="superscript"/>
          <w:lang w:eastAsia="zh-CN"/>
        </w:rPr>
        <w:t>3</w:t>
      </w:r>
      <w:r>
        <w:rPr>
          <w:rFonts w:ascii="Times New Roman" w:hAnsi="Times New Roman" w:cs="Times New Roman" w:eastAsiaTheme="minorEastAsia"/>
          <w:snapToGrid/>
          <w:kern w:val="2"/>
          <w:sz w:val="24"/>
          <w:szCs w:val="24"/>
          <w:u w:val="single"/>
          <w:lang w:eastAsia="zh-CN"/>
        </w:rPr>
        <w:t>/d</w:t>
      </w:r>
      <w:r>
        <w:rPr>
          <w:rFonts w:hint="eastAsia" w:ascii="Times New Roman" w:hAnsi="Times New Roman" w:cs="Times New Roman" w:eastAsiaTheme="minorEastAsia"/>
          <w:snapToGrid/>
          <w:kern w:val="2"/>
          <w:sz w:val="24"/>
          <w:szCs w:val="24"/>
          <w:u w:val="single"/>
          <w:lang w:eastAsia="zh-CN"/>
        </w:rPr>
        <w:t>以及全厂的深度处理工程，将污水处理厂出水水质从</w:t>
      </w:r>
      <w:r>
        <w:rPr>
          <w:rFonts w:ascii="Times New Roman" w:hAnsi="Times New Roman" w:cs="Times New Roman" w:eastAsiaTheme="minorEastAsia"/>
          <w:snapToGrid/>
          <w:kern w:val="2"/>
          <w:sz w:val="24"/>
          <w:szCs w:val="24"/>
          <w:u w:val="single"/>
          <w:lang w:eastAsia="zh-CN"/>
        </w:rPr>
        <w:t>《城镇污水处理厂污染物排放标准》（GB18918-2002）</w:t>
      </w:r>
      <w:r>
        <w:rPr>
          <w:rFonts w:hint="eastAsia" w:ascii="Times New Roman" w:hAnsi="Times New Roman" w:cs="Times New Roman" w:eastAsiaTheme="minorEastAsia"/>
          <w:snapToGrid/>
          <w:kern w:val="2"/>
          <w:sz w:val="24"/>
          <w:szCs w:val="24"/>
          <w:u w:val="single"/>
          <w:lang w:eastAsia="zh-CN"/>
        </w:rPr>
        <w:t>二级标准提升为</w:t>
      </w:r>
      <w:r>
        <w:rPr>
          <w:rFonts w:ascii="Times New Roman" w:hAnsi="Times New Roman" w:cs="Times New Roman" w:eastAsiaTheme="minorEastAsia"/>
          <w:snapToGrid/>
          <w:kern w:val="2"/>
          <w:sz w:val="24"/>
          <w:szCs w:val="24"/>
          <w:u w:val="single"/>
          <w:lang w:eastAsia="zh-CN"/>
        </w:rPr>
        <w:t>一级A标准</w:t>
      </w:r>
      <w:r>
        <w:rPr>
          <w:rFonts w:hint="eastAsia" w:ascii="Times New Roman" w:hAnsi="Times New Roman" w:cs="Times New Roman" w:eastAsiaTheme="minorEastAsia"/>
          <w:snapToGrid/>
          <w:kern w:val="2"/>
          <w:sz w:val="24"/>
          <w:szCs w:val="24"/>
          <w:u w:val="single"/>
          <w:lang w:eastAsia="zh-CN"/>
        </w:rPr>
        <w:t>。</w:t>
      </w:r>
      <w:r>
        <w:rPr>
          <w:rFonts w:ascii="Times New Roman" w:hAnsi="Times New Roman" w:cs="Times New Roman" w:eastAsiaTheme="minorEastAsia"/>
          <w:snapToGrid/>
          <w:kern w:val="2"/>
          <w:sz w:val="24"/>
          <w:szCs w:val="24"/>
          <w:u w:val="single"/>
          <w:lang w:eastAsia="zh-CN"/>
        </w:rPr>
        <w:t>污水处理厂二期工程，</w:t>
      </w:r>
      <w:r>
        <w:rPr>
          <w:rFonts w:hint="eastAsia" w:ascii="Times New Roman" w:hAnsi="Times New Roman" w:cs="Times New Roman" w:eastAsiaTheme="minorEastAsia"/>
          <w:snapToGrid/>
          <w:kern w:val="2"/>
          <w:sz w:val="24"/>
          <w:szCs w:val="24"/>
          <w:u w:val="single"/>
          <w:lang w:eastAsia="zh-CN"/>
        </w:rPr>
        <w:t>于</w:t>
      </w:r>
      <w:r>
        <w:rPr>
          <w:rFonts w:ascii="Times New Roman" w:hAnsi="Times New Roman" w:cs="Times New Roman" w:eastAsiaTheme="minorEastAsia"/>
          <w:snapToGrid/>
          <w:kern w:val="2"/>
          <w:sz w:val="24"/>
          <w:szCs w:val="24"/>
          <w:u w:val="single"/>
          <w:lang w:eastAsia="zh-CN"/>
        </w:rPr>
        <w:t>2016年</w:t>
      </w:r>
      <w:r>
        <w:rPr>
          <w:rFonts w:hint="eastAsia" w:ascii="Times New Roman" w:hAnsi="Times New Roman" w:cs="Times New Roman" w:eastAsiaTheme="minorEastAsia"/>
          <w:snapToGrid/>
          <w:kern w:val="2"/>
          <w:sz w:val="24"/>
          <w:szCs w:val="24"/>
          <w:u w:val="single"/>
          <w:lang w:val="en-US" w:eastAsia="zh-CN"/>
        </w:rPr>
        <w:t>12</w:t>
      </w:r>
      <w:r>
        <w:rPr>
          <w:rFonts w:ascii="Times New Roman" w:hAnsi="Times New Roman" w:cs="Times New Roman" w:eastAsiaTheme="minorEastAsia"/>
          <w:snapToGrid/>
          <w:kern w:val="2"/>
          <w:sz w:val="24"/>
          <w:szCs w:val="24"/>
          <w:u w:val="single"/>
          <w:lang w:eastAsia="zh-CN"/>
        </w:rPr>
        <w:t>月</w:t>
      </w:r>
      <w:r>
        <w:rPr>
          <w:rFonts w:hint="eastAsia" w:ascii="Times New Roman" w:hAnsi="Times New Roman" w:cs="Times New Roman" w:eastAsiaTheme="minorEastAsia"/>
          <w:snapToGrid/>
          <w:kern w:val="2"/>
          <w:sz w:val="24"/>
          <w:szCs w:val="24"/>
          <w:u w:val="single"/>
          <w:lang w:eastAsia="zh-CN"/>
        </w:rPr>
        <w:t>通过验收并投入使用</w:t>
      </w:r>
      <w:r>
        <w:rPr>
          <w:rFonts w:ascii="Times New Roman" w:hAnsi="Times New Roman" w:cs="Times New Roman" w:eastAsiaTheme="minorEastAsia"/>
          <w:snapToGrid/>
          <w:kern w:val="2"/>
          <w:sz w:val="24"/>
          <w:szCs w:val="24"/>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napToGrid/>
          <w:kern w:val="2"/>
          <w:sz w:val="24"/>
          <w:szCs w:val="24"/>
          <w:u w:val="single"/>
          <w:lang w:eastAsia="zh-CN"/>
        </w:rPr>
      </w:pPr>
      <w:r>
        <w:rPr>
          <w:rFonts w:hint="default" w:ascii="Times New Roman" w:hAnsi="Times New Roman" w:cs="Times New Roman" w:eastAsiaTheme="minorEastAsia"/>
          <w:snapToGrid/>
          <w:kern w:val="2"/>
          <w:sz w:val="24"/>
          <w:szCs w:val="24"/>
          <w:u w:val="single"/>
          <w:lang w:val="en-US" w:eastAsia="zh-CN"/>
        </w:rPr>
        <w:t>b、</w:t>
      </w:r>
      <w:r>
        <w:rPr>
          <w:rFonts w:hint="default" w:ascii="Times New Roman" w:hAnsi="Times New Roman" w:cs="Times New Roman" w:eastAsiaTheme="minorEastAsia"/>
          <w:snapToGrid/>
          <w:kern w:val="2"/>
          <w:sz w:val="24"/>
          <w:szCs w:val="24"/>
          <w:u w:val="single"/>
          <w:lang w:eastAsia="zh-CN"/>
        </w:rPr>
        <w:t>目前现状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eastAsiaTheme="minorEastAsia"/>
          <w:snapToGrid/>
          <w:kern w:val="2"/>
          <w:sz w:val="24"/>
          <w:szCs w:val="24"/>
          <w:u w:val="single"/>
          <w:lang w:eastAsia="zh-CN"/>
        </w:rPr>
      </w:pPr>
      <w:r>
        <w:rPr>
          <w:rFonts w:hint="eastAsia" w:ascii="Times New Roman" w:hAnsi="Times New Roman" w:cs="Times New Roman" w:eastAsiaTheme="minorEastAsia"/>
          <w:snapToGrid/>
          <w:kern w:val="2"/>
          <w:sz w:val="24"/>
          <w:szCs w:val="24"/>
          <w:u w:val="single"/>
          <w:lang w:eastAsia="zh-CN"/>
        </w:rPr>
        <w:t>截至</w:t>
      </w:r>
      <w:r>
        <w:rPr>
          <w:rFonts w:hint="eastAsia" w:ascii="Times New Roman" w:hAnsi="Times New Roman" w:cs="Times New Roman" w:eastAsiaTheme="minorEastAsia"/>
          <w:snapToGrid/>
          <w:kern w:val="2"/>
          <w:sz w:val="24"/>
          <w:szCs w:val="24"/>
          <w:u w:val="single"/>
          <w:lang w:val="en-US" w:eastAsia="zh-CN"/>
        </w:rPr>
        <w:t>2023年底，叶县</w:t>
      </w:r>
      <w:r>
        <w:rPr>
          <w:rFonts w:hint="eastAsia" w:ascii="Times New Roman" w:hAnsi="Times New Roman" w:cs="Times New Roman" w:eastAsiaTheme="minorEastAsia"/>
          <w:snapToGrid/>
          <w:kern w:val="2"/>
          <w:sz w:val="24"/>
          <w:szCs w:val="24"/>
          <w:u w:val="single"/>
          <w:lang w:eastAsia="zh-CN"/>
        </w:rPr>
        <w:t>县城</w:t>
      </w:r>
      <w:r>
        <w:rPr>
          <w:rFonts w:hint="eastAsia" w:ascii="Times New Roman" w:hAnsi="Times New Roman" w:cs="Times New Roman" w:eastAsiaTheme="minorEastAsia"/>
          <w:snapToGrid/>
          <w:kern w:val="2"/>
          <w:sz w:val="24"/>
          <w:szCs w:val="24"/>
          <w:u w:val="single"/>
          <w:lang w:val="en-US" w:eastAsia="zh-CN"/>
        </w:rPr>
        <w:t>污水处理厂</w:t>
      </w:r>
      <w:r>
        <w:rPr>
          <w:rFonts w:ascii="Times New Roman" w:hAnsi="Times New Roman" w:cs="Times New Roman" w:eastAsiaTheme="minorEastAsia"/>
          <w:snapToGrid/>
          <w:kern w:val="2"/>
          <w:sz w:val="24"/>
          <w:szCs w:val="24"/>
          <w:u w:val="single"/>
          <w:lang w:eastAsia="zh-CN"/>
        </w:rPr>
        <w:t>目前实际处理规模为</w:t>
      </w:r>
      <w:r>
        <w:rPr>
          <w:rFonts w:hint="eastAsia" w:ascii="Times New Roman" w:hAnsi="Times New Roman" w:cs="Times New Roman" w:eastAsiaTheme="minorEastAsia"/>
          <w:snapToGrid/>
          <w:kern w:val="2"/>
          <w:sz w:val="24"/>
          <w:szCs w:val="24"/>
          <w:u w:val="single"/>
          <w:lang w:val="en-US" w:eastAsia="zh-CN"/>
        </w:rPr>
        <w:t>3</w:t>
      </w:r>
      <w:r>
        <w:rPr>
          <w:rFonts w:ascii="Times New Roman" w:hAnsi="Times New Roman" w:cs="Times New Roman" w:eastAsiaTheme="minorEastAsia"/>
          <w:snapToGrid/>
          <w:kern w:val="2"/>
          <w:sz w:val="24"/>
          <w:szCs w:val="24"/>
          <w:u w:val="single"/>
          <w:lang w:eastAsia="zh-CN"/>
        </w:rPr>
        <w:t>万m</w:t>
      </w:r>
      <w:r>
        <w:rPr>
          <w:rFonts w:ascii="Times New Roman" w:hAnsi="Times New Roman" w:cs="Times New Roman" w:eastAsiaTheme="minorEastAsia"/>
          <w:snapToGrid/>
          <w:kern w:val="2"/>
          <w:sz w:val="24"/>
          <w:szCs w:val="24"/>
          <w:u w:val="single"/>
          <w:vertAlign w:val="superscript"/>
          <w:lang w:eastAsia="zh-CN"/>
        </w:rPr>
        <w:t>3</w:t>
      </w:r>
      <w:r>
        <w:rPr>
          <w:rFonts w:ascii="Times New Roman" w:hAnsi="Times New Roman" w:cs="Times New Roman" w:eastAsiaTheme="minorEastAsia"/>
          <w:snapToGrid/>
          <w:kern w:val="2"/>
          <w:sz w:val="24"/>
          <w:szCs w:val="24"/>
          <w:u w:val="single"/>
          <w:lang w:eastAsia="zh-CN"/>
        </w:rPr>
        <w:t>/d</w:t>
      </w:r>
      <w:r>
        <w:rPr>
          <w:rFonts w:hint="eastAsia" w:ascii="Times New Roman" w:hAnsi="Times New Roman" w:cs="Times New Roman" w:eastAsiaTheme="minorEastAsia"/>
          <w:snapToGrid/>
          <w:kern w:val="2"/>
          <w:sz w:val="24"/>
          <w:szCs w:val="24"/>
          <w:u w:val="single"/>
          <w:lang w:eastAsia="zh-CN"/>
        </w:rPr>
        <w:t>（尚有1</w:t>
      </w:r>
      <w:r>
        <w:rPr>
          <w:rFonts w:ascii="Times New Roman" w:hAnsi="Times New Roman" w:cs="Times New Roman" w:eastAsiaTheme="minorEastAsia"/>
          <w:snapToGrid/>
          <w:kern w:val="2"/>
          <w:sz w:val="24"/>
          <w:szCs w:val="24"/>
          <w:u w:val="single"/>
          <w:lang w:eastAsia="zh-CN"/>
        </w:rPr>
        <w:t>万m</w:t>
      </w:r>
      <w:r>
        <w:rPr>
          <w:rFonts w:ascii="Times New Roman" w:hAnsi="Times New Roman" w:cs="Times New Roman" w:eastAsiaTheme="minorEastAsia"/>
          <w:snapToGrid/>
          <w:kern w:val="2"/>
          <w:sz w:val="24"/>
          <w:szCs w:val="24"/>
          <w:u w:val="single"/>
          <w:vertAlign w:val="superscript"/>
          <w:lang w:eastAsia="zh-CN"/>
        </w:rPr>
        <w:t>3</w:t>
      </w:r>
      <w:r>
        <w:rPr>
          <w:rFonts w:ascii="Times New Roman" w:hAnsi="Times New Roman" w:cs="Times New Roman" w:eastAsiaTheme="minorEastAsia"/>
          <w:snapToGrid/>
          <w:kern w:val="2"/>
          <w:sz w:val="24"/>
          <w:szCs w:val="24"/>
          <w:u w:val="single"/>
          <w:lang w:eastAsia="zh-CN"/>
        </w:rPr>
        <w:t>/d</w:t>
      </w:r>
      <w:r>
        <w:rPr>
          <w:rFonts w:hint="eastAsia" w:ascii="Times New Roman" w:hAnsi="Times New Roman" w:cs="Times New Roman" w:eastAsiaTheme="minorEastAsia"/>
          <w:snapToGrid/>
          <w:kern w:val="2"/>
          <w:sz w:val="24"/>
          <w:szCs w:val="24"/>
          <w:u w:val="single"/>
          <w:lang w:eastAsia="zh-CN"/>
        </w:rPr>
        <w:t>的余量）</w:t>
      </w:r>
      <w:r>
        <w:rPr>
          <w:rFonts w:ascii="Times New Roman" w:hAnsi="Times New Roman" w:cs="Times New Roman" w:eastAsiaTheme="minorEastAsia"/>
          <w:snapToGrid/>
          <w:kern w:val="2"/>
          <w:sz w:val="24"/>
          <w:szCs w:val="24"/>
          <w:u w:val="single"/>
          <w:lang w:eastAsia="zh-CN"/>
        </w:rPr>
        <w:t>，主要收集处理叶县</w:t>
      </w:r>
      <w:r>
        <w:rPr>
          <w:rFonts w:hint="eastAsia" w:ascii="Times New Roman" w:hAnsi="Times New Roman" w:cs="Times New Roman" w:eastAsiaTheme="minorEastAsia"/>
          <w:snapToGrid/>
          <w:kern w:val="2"/>
          <w:sz w:val="24"/>
          <w:szCs w:val="24"/>
          <w:u w:val="single"/>
          <w:lang w:eastAsia="zh-CN"/>
        </w:rPr>
        <w:t>县城</w:t>
      </w:r>
      <w:r>
        <w:rPr>
          <w:rFonts w:ascii="Times New Roman" w:hAnsi="Times New Roman" w:cs="Times New Roman" w:eastAsiaTheme="minorEastAsia"/>
          <w:snapToGrid/>
          <w:kern w:val="2"/>
          <w:sz w:val="24"/>
          <w:szCs w:val="24"/>
          <w:u w:val="single"/>
          <w:lang w:eastAsia="zh-CN"/>
        </w:rPr>
        <w:t>生活污水以及</w:t>
      </w:r>
      <w:r>
        <w:rPr>
          <w:rFonts w:hint="eastAsia" w:ascii="Times New Roman" w:hAnsi="Times New Roman" w:cs="Times New Roman" w:eastAsiaTheme="minorEastAsia"/>
          <w:snapToGrid/>
          <w:kern w:val="2"/>
          <w:sz w:val="24"/>
          <w:szCs w:val="24"/>
          <w:u w:val="single"/>
          <w:lang w:eastAsia="zh-CN"/>
        </w:rPr>
        <w:t>来自于叶县先进制造业开发区的工业</w:t>
      </w:r>
      <w:r>
        <w:rPr>
          <w:rFonts w:ascii="Times New Roman" w:hAnsi="Times New Roman" w:cs="Times New Roman" w:eastAsiaTheme="minorEastAsia"/>
          <w:snapToGrid/>
          <w:kern w:val="2"/>
          <w:sz w:val="24"/>
          <w:szCs w:val="24"/>
          <w:u w:val="single"/>
          <w:lang w:eastAsia="zh-CN"/>
        </w:rPr>
        <w:t>废水</w:t>
      </w:r>
      <w:r>
        <w:rPr>
          <w:rFonts w:hint="eastAsia" w:ascii="Times New Roman" w:hAnsi="Times New Roman" w:cs="Times New Roman" w:eastAsiaTheme="minorEastAsia"/>
          <w:snapToGrid/>
          <w:kern w:val="2"/>
          <w:sz w:val="24"/>
          <w:szCs w:val="24"/>
          <w:u w:val="single"/>
          <w:lang w:eastAsia="zh-CN"/>
        </w:rPr>
        <w:t>（该开发区配套污水处理厂目前正在积极建设中，待其正式投入运行，开发区</w:t>
      </w:r>
      <w:r>
        <w:rPr>
          <w:rFonts w:ascii="Times New Roman" w:hAnsi="Times New Roman" w:cs="Times New Roman" w:eastAsiaTheme="minorEastAsia"/>
          <w:snapToGrid/>
          <w:kern w:val="2"/>
          <w:sz w:val="24"/>
          <w:szCs w:val="24"/>
          <w:u w:val="single"/>
          <w:lang w:eastAsia="zh-CN"/>
        </w:rPr>
        <w:t>废水</w:t>
      </w:r>
      <w:r>
        <w:rPr>
          <w:rFonts w:hint="eastAsia" w:ascii="Times New Roman" w:hAnsi="Times New Roman" w:cs="Times New Roman" w:eastAsiaTheme="minorEastAsia"/>
          <w:snapToGrid/>
          <w:kern w:val="2"/>
          <w:sz w:val="24"/>
          <w:szCs w:val="24"/>
          <w:u w:val="single"/>
          <w:lang w:eastAsia="zh-CN"/>
        </w:rPr>
        <w:t>不再</w:t>
      </w:r>
      <w:r>
        <w:rPr>
          <w:rFonts w:hint="eastAsia" w:ascii="Times New Roman" w:hAnsi="Times New Roman" w:cs="Times New Roman" w:eastAsiaTheme="minorEastAsia"/>
          <w:snapToGrid/>
          <w:kern w:val="2"/>
          <w:sz w:val="24"/>
          <w:szCs w:val="24"/>
          <w:u w:val="single"/>
          <w:lang w:val="en-US" w:eastAsia="zh-CN"/>
        </w:rPr>
        <w:t>进入叶县县城污水处理厂</w:t>
      </w:r>
      <w:r>
        <w:rPr>
          <w:rFonts w:hint="eastAsia" w:ascii="Times New Roman" w:hAnsi="Times New Roman" w:cs="Times New Roman" w:eastAsiaTheme="minorEastAsia"/>
          <w:snapToGrid/>
          <w:kern w:val="2"/>
          <w:sz w:val="24"/>
          <w:szCs w:val="24"/>
          <w:u w:val="single"/>
          <w:lang w:eastAsia="zh-CN"/>
        </w:rPr>
        <w:t>）</w:t>
      </w:r>
      <w:r>
        <w:rPr>
          <w:rFonts w:ascii="Times New Roman" w:hAnsi="Times New Roman" w:cs="Times New Roman" w:eastAsiaTheme="minorEastAsia"/>
          <w:snapToGrid/>
          <w:kern w:val="2"/>
          <w:sz w:val="24"/>
          <w:szCs w:val="24"/>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napToGrid/>
          <w:kern w:val="2"/>
          <w:sz w:val="24"/>
          <w:szCs w:val="24"/>
          <w:u w:val="single"/>
          <w:lang w:val="en-US" w:eastAsia="zh-CN"/>
        </w:rPr>
      </w:pPr>
      <w:r>
        <w:rPr>
          <w:rFonts w:hint="eastAsia" w:ascii="Times New Roman" w:hAnsi="Times New Roman" w:cs="Times New Roman" w:eastAsiaTheme="minorEastAsia"/>
          <w:snapToGrid/>
          <w:kern w:val="2"/>
          <w:sz w:val="24"/>
          <w:szCs w:val="24"/>
          <w:u w:val="single"/>
          <w:lang w:val="en-US" w:eastAsia="zh-CN"/>
        </w:rPr>
        <w:t>根据《叶县瑞和泰污水净化有限公司废水自行检测》（2023年12月15日，河南永飞检测科技有限公司对叶县县城污水处理厂废水进行了检测），该县城污水处理厂进口废水中BOD 122~127mg/L、总氮 34.9~35.7mg/L，出水中SS 7~9mg/L、BOD 122~127mg/L、动植物油 0.42~0.62mg/L、粪大肠菌群200~320MPN/L、COD 10~14mg/L、氨氮0.329~0.36mg/L、总磷0.16~0.23mg/L、总氮9.25~9.56mg/L。本项目废水经过处理后的水质与叶县县城污水处理厂进水水质较为接近。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napToGrid/>
          <w:kern w:val="2"/>
          <w:sz w:val="24"/>
          <w:szCs w:val="24"/>
          <w:u w:val="single"/>
          <w:lang w:eastAsia="zh-CN"/>
        </w:rPr>
      </w:pPr>
      <w:r>
        <w:rPr>
          <w:rFonts w:hint="eastAsia" w:ascii="Times New Roman" w:hAnsi="Times New Roman" w:cs="Times New Roman" w:eastAsiaTheme="minorEastAsia"/>
          <w:snapToGrid/>
          <w:kern w:val="2"/>
          <w:sz w:val="24"/>
          <w:szCs w:val="24"/>
          <w:u w:val="single"/>
          <w:lang w:eastAsia="zh-CN"/>
        </w:rPr>
        <w:t>通过近几年来对叶县城区污水排水管网的改造和扩建，</w:t>
      </w:r>
      <w:r>
        <w:rPr>
          <w:rFonts w:hint="eastAsia" w:ascii="Times New Roman" w:hAnsi="Times New Roman" w:cs="Times New Roman" w:eastAsiaTheme="minorEastAsia"/>
          <w:snapToGrid/>
          <w:kern w:val="2"/>
          <w:sz w:val="24"/>
          <w:szCs w:val="24"/>
          <w:u w:val="single"/>
          <w:lang w:val="en-US" w:eastAsia="zh-CN"/>
        </w:rPr>
        <w:t>叶县县城污水处理厂</w:t>
      </w:r>
      <w:r>
        <w:rPr>
          <w:rFonts w:hint="eastAsia" w:ascii="Times New Roman" w:hAnsi="Times New Roman" w:cs="Times New Roman" w:eastAsiaTheme="minorEastAsia"/>
          <w:snapToGrid/>
          <w:kern w:val="2"/>
          <w:sz w:val="24"/>
          <w:szCs w:val="24"/>
          <w:u w:val="single"/>
          <w:lang w:eastAsia="zh-CN"/>
        </w:rPr>
        <w:t>污水收集范围已基本覆盖整个县城人口集中区域以及周边距离较近乡镇的的生活污水和工业废水。本项目厂区位于叶县</w:t>
      </w:r>
      <w:r>
        <w:rPr>
          <w:rFonts w:hint="eastAsia" w:ascii="Times New Roman" w:hAnsi="Times New Roman" w:cs="Times New Roman" w:eastAsiaTheme="minorEastAsia"/>
          <w:snapToGrid/>
          <w:kern w:val="2"/>
          <w:sz w:val="24"/>
          <w:szCs w:val="24"/>
          <w:u w:val="single"/>
          <w:lang w:val="en-US" w:eastAsia="zh-CN"/>
        </w:rPr>
        <w:t>马庄乡张庄村，在叶县县城南侧，与污水厂距离3.5km，距离较近，在叶县城区污水处理厂收水范围内（叶县县城污水处理厂收水范围图，见附图五）。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color w:val="000000"/>
          <w:kern w:val="2"/>
          <w:sz w:val="24"/>
          <w:szCs w:val="24"/>
          <w:u w:val="single"/>
          <w:lang w:val="en-US" w:eastAsia="zh-CN" w:bidi="ar-SA"/>
        </w:rPr>
      </w:pPr>
      <w:r>
        <w:rPr>
          <w:rFonts w:hint="eastAsia" w:ascii="宋体" w:hAnsi="宋体" w:eastAsia="宋体" w:cs="宋体"/>
          <w:color w:val="000000"/>
          <w:kern w:val="2"/>
          <w:sz w:val="24"/>
          <w:szCs w:val="24"/>
          <w:u w:val="single"/>
          <w:lang w:val="en-US" w:eastAsia="zh-CN" w:bidi="ar-SA"/>
        </w:rPr>
        <w:t>经现场实地踏勘，市政污水收集管网位于本项目南侧（紧邻厂区污水处理站），且已经铺设到位。废水流向为自西向东，经叶公大道主干管进入叶县</w:t>
      </w:r>
      <w:r>
        <w:rPr>
          <w:rFonts w:hint="eastAsia" w:ascii="Times New Roman" w:hAnsi="Times New Roman" w:cs="宋体" w:eastAsiaTheme="minorEastAsia"/>
          <w:kern w:val="2"/>
          <w:sz w:val="24"/>
          <w:szCs w:val="24"/>
          <w:u w:val="single"/>
          <w:lang w:val="en-US" w:eastAsia="zh-CN" w:bidi="ar-SA"/>
        </w:rPr>
        <w:t>县城污水处理厂（本项目废水排入污水处理厂的管道路线图，见附图六）。</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eastAsia" w:ascii="宋体" w:hAnsi="宋体" w:eastAsia="宋体" w:cs="宋体"/>
          <w:color w:val="000000"/>
          <w:kern w:val="2"/>
          <w:sz w:val="24"/>
          <w:szCs w:val="24"/>
          <w:u w:val="single"/>
          <w:lang w:val="en-US" w:eastAsia="zh-CN" w:bidi="ar-SA"/>
        </w:rPr>
      </w:pPr>
      <w:r>
        <w:rPr>
          <w:rFonts w:hint="eastAsia" w:ascii="宋体" w:hAnsi="宋体" w:eastAsia="宋体" w:cs="宋体"/>
          <w:color w:val="000000"/>
          <w:kern w:val="2"/>
          <w:sz w:val="24"/>
          <w:szCs w:val="24"/>
          <w:u w:val="single"/>
          <w:lang w:val="en-US" w:eastAsia="zh-CN" w:bidi="ar-SA"/>
        </w:rPr>
        <w:t>②本项目废水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color w:val="000000"/>
          <w:kern w:val="2"/>
          <w:sz w:val="24"/>
          <w:szCs w:val="24"/>
          <w:u w:val="single"/>
          <w:lang w:val="en-US" w:eastAsia="zh-CN" w:bidi="ar-SA"/>
        </w:rPr>
      </w:pPr>
      <w:r>
        <w:rPr>
          <w:rFonts w:hint="default" w:ascii="Times New Roman" w:hAnsi="Times New Roman" w:eastAsia="宋体" w:cs="Times New Roman"/>
          <w:color w:val="000000"/>
          <w:kern w:val="2"/>
          <w:sz w:val="24"/>
          <w:szCs w:val="24"/>
          <w:u w:val="single"/>
          <w:lang w:val="en-US" w:eastAsia="zh-CN" w:bidi="ar-SA"/>
        </w:rPr>
        <w:t>a、水质情况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ascii="Calibri" w:hAnsi="宋体" w:eastAsia="宋体" w:cs="宋体"/>
          <w:kern w:val="2"/>
          <w:sz w:val="24"/>
          <w:szCs w:val="24"/>
          <w:u w:val="single"/>
          <w:lang w:val="en-US" w:eastAsia="zh-CN" w:bidi="ar-SA"/>
        </w:rPr>
      </w:pPr>
      <w:r>
        <w:rPr>
          <w:rFonts w:ascii="Calibri" w:hAnsi="宋体" w:eastAsia="宋体" w:cs="宋体"/>
          <w:kern w:val="2"/>
          <w:sz w:val="24"/>
          <w:szCs w:val="24"/>
          <w:u w:val="single"/>
          <w:lang w:val="en-US" w:eastAsia="zh-CN" w:bidi="ar-SA"/>
        </w:rPr>
        <w:t>项目污水经</w:t>
      </w:r>
      <w:r>
        <w:rPr>
          <w:rFonts w:hint="eastAsia" w:ascii="Calibri" w:hAnsi="宋体" w:eastAsia="宋体" w:cs="宋体"/>
          <w:kern w:val="2"/>
          <w:sz w:val="24"/>
          <w:szCs w:val="24"/>
          <w:u w:val="single"/>
          <w:lang w:val="en-US" w:eastAsia="zh-CN" w:bidi="ar-SA"/>
        </w:rPr>
        <w:t>“格栅</w:t>
      </w:r>
      <w:r>
        <w:rPr>
          <w:rFonts w:hint="eastAsia" w:ascii="Calibri" w:hAnsi="Calibri" w:eastAsia="宋体" w:cs="宋体"/>
          <w:kern w:val="2"/>
          <w:sz w:val="24"/>
          <w:szCs w:val="24"/>
          <w:u w:val="single"/>
          <w:lang w:val="en-US" w:eastAsia="zh-CN" w:bidi="ar-SA"/>
        </w:rPr>
        <w:t>气浮+水解酸化+生物接触氧化</w:t>
      </w:r>
      <w:r>
        <w:rPr>
          <w:rFonts w:hint="eastAsia" w:ascii="Calibri" w:hAnsi="宋体" w:eastAsia="宋体" w:cs="宋体"/>
          <w:kern w:val="2"/>
          <w:sz w:val="24"/>
          <w:szCs w:val="24"/>
          <w:u w:val="single"/>
          <w:lang w:val="en-US" w:eastAsia="zh-CN" w:bidi="ar-SA"/>
        </w:rPr>
        <w:t>”</w:t>
      </w:r>
      <w:r>
        <w:rPr>
          <w:rFonts w:ascii="Calibri" w:hAnsi="宋体" w:eastAsia="宋体" w:cs="宋体"/>
          <w:kern w:val="2"/>
          <w:sz w:val="24"/>
          <w:szCs w:val="24"/>
          <w:u w:val="single"/>
          <w:lang w:val="en-US" w:eastAsia="zh-CN" w:bidi="ar-SA"/>
        </w:rPr>
        <w:t>一体化污水站处理之后</w:t>
      </w:r>
      <w:r>
        <w:rPr>
          <w:rFonts w:hint="eastAsia" w:ascii="Calibri" w:hAnsi="宋体" w:eastAsia="宋体" w:cs="宋体"/>
          <w:kern w:val="2"/>
          <w:sz w:val="24"/>
          <w:szCs w:val="24"/>
          <w:u w:val="single"/>
          <w:lang w:val="en-US" w:eastAsia="zh-CN" w:bidi="ar-SA"/>
        </w:rPr>
        <w:t>出水</w:t>
      </w:r>
      <w:r>
        <w:rPr>
          <w:rFonts w:ascii="Calibri" w:hAnsi="宋体" w:eastAsia="宋体" w:cs="宋体"/>
          <w:kern w:val="2"/>
          <w:sz w:val="24"/>
          <w:szCs w:val="24"/>
          <w:u w:val="single"/>
          <w:lang w:val="en-US" w:eastAsia="zh-CN" w:bidi="ar-SA"/>
        </w:rPr>
        <w:t>污染物浓度</w:t>
      </w:r>
      <w:r>
        <w:rPr>
          <w:rFonts w:hint="eastAsia" w:ascii="Calibri" w:hAnsi="宋体" w:eastAsia="宋体" w:cs="宋体"/>
          <w:kern w:val="2"/>
          <w:sz w:val="24"/>
          <w:szCs w:val="24"/>
          <w:u w:val="single"/>
          <w:lang w:val="en-US" w:eastAsia="zh-CN" w:bidi="ar-SA"/>
        </w:rPr>
        <w:t>见下表：</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Calibri" w:hAnsi="Calibri" w:eastAsia="黑体" w:cs="Times New Roman"/>
          <w:snapToGrid/>
          <w:color w:val="000000"/>
          <w:kern w:val="0"/>
          <w:sz w:val="24"/>
          <w:szCs w:val="24"/>
          <w:lang w:eastAsia="zh-CN"/>
        </w:rPr>
      </w:pPr>
      <w:r>
        <w:rPr>
          <w:rFonts w:ascii="Calibri" w:hAnsi="Calibri" w:eastAsia="黑体" w:cs="Times New Roman"/>
          <w:snapToGrid/>
          <w:color w:val="000000"/>
          <w:kern w:val="0"/>
          <w:sz w:val="24"/>
          <w:szCs w:val="24"/>
          <w:highlight w:val="none"/>
          <w:lang w:eastAsia="zh-CN"/>
        </w:rPr>
        <w:t>表</w:t>
      </w:r>
      <w:r>
        <w:rPr>
          <w:rFonts w:hint="eastAsia" w:ascii="Calibri" w:hAnsi="Calibri" w:eastAsia="黑体" w:cs="Times New Roman"/>
          <w:snapToGrid/>
          <w:color w:val="000000"/>
          <w:kern w:val="0"/>
          <w:sz w:val="24"/>
          <w:szCs w:val="24"/>
          <w:highlight w:val="none"/>
          <w:lang w:val="en-US" w:eastAsia="zh-CN"/>
        </w:rPr>
        <w:t xml:space="preserve">6-8  </w:t>
      </w:r>
      <w:r>
        <w:rPr>
          <w:rFonts w:ascii="Calibri" w:hAnsi="Calibri" w:eastAsia="黑体" w:cs="Times New Roman"/>
          <w:snapToGrid/>
          <w:color w:val="000000"/>
          <w:kern w:val="0"/>
          <w:sz w:val="24"/>
          <w:szCs w:val="24"/>
          <w:lang w:eastAsia="zh-CN"/>
        </w:rPr>
        <w:t xml:space="preserve">  项目污水达标情况分析          </w:t>
      </w:r>
      <w:r>
        <w:rPr>
          <w:rFonts w:ascii="宋体" w:hAnsi="宋体" w:eastAsia="宋体" w:cs="Times New Roman"/>
          <w:snapToGrid/>
          <w:color w:val="000000"/>
          <w:kern w:val="0"/>
          <w:szCs w:val="21"/>
          <w:lang w:eastAsia="zh-CN"/>
        </w:rPr>
        <w:t>单位</w:t>
      </w:r>
      <w:r>
        <w:rPr>
          <w:rFonts w:ascii="Calibri" w:hAnsi="Calibri" w:eastAsia="黑体" w:cs="Times New Roman"/>
          <w:snapToGrid/>
          <w:color w:val="000000"/>
          <w:kern w:val="0"/>
          <w:szCs w:val="21"/>
          <w:lang w:eastAsia="zh-CN"/>
        </w:rPr>
        <w:t>：mg/L</w:t>
      </w:r>
    </w:p>
    <w:tbl>
      <w:tblPr>
        <w:tblStyle w:val="20"/>
        <w:tblW w:w="902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
      <w:tblGrid>
        <w:gridCol w:w="1591"/>
        <w:gridCol w:w="1419"/>
        <w:gridCol w:w="2467"/>
        <w:gridCol w:w="2089"/>
        <w:gridCol w:w="14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3010" w:type="dxa"/>
            <w:gridSpan w:val="2"/>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项目废水出水浓度</w:t>
            </w:r>
          </w:p>
        </w:tc>
        <w:tc>
          <w:tcPr>
            <w:tcW w:w="246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《肉类加工工业水污染物排放标准》（GB13457-92）</w:t>
            </w:r>
          </w:p>
        </w:tc>
        <w:tc>
          <w:tcPr>
            <w:tcW w:w="2089"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highlight w:val="none"/>
                <w:lang w:eastAsia="zh-CN"/>
              </w:rPr>
              <w:t>污水处理厂进水水质要求</w:t>
            </w:r>
          </w:p>
        </w:tc>
        <w:tc>
          <w:tcPr>
            <w:tcW w:w="145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是否满足</w:t>
            </w:r>
          </w:p>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1591"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COD</w:t>
            </w:r>
          </w:p>
        </w:tc>
        <w:tc>
          <w:tcPr>
            <w:tcW w:w="14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b w:val="0"/>
                <w:bCs/>
                <w:snapToGrid/>
                <w:kern w:val="2"/>
                <w:sz w:val="21"/>
                <w:szCs w:val="21"/>
                <w:vertAlign w:val="baseline"/>
                <w:lang w:val="en-US" w:eastAsia="zh-CN" w:bidi="ar-SA"/>
              </w:rPr>
            </w:pPr>
            <w:r>
              <w:rPr>
                <w:rFonts w:hint="eastAsia" w:ascii="Times New Roman" w:hAnsi="宋体" w:eastAsia="宋体" w:cs="Times New Roman"/>
                <w:b w:val="0"/>
                <w:bCs/>
                <w:snapToGrid/>
                <w:kern w:val="2"/>
                <w:sz w:val="21"/>
                <w:szCs w:val="21"/>
                <w:vertAlign w:val="baseline"/>
                <w:lang w:val="en-US" w:eastAsia="zh-CN"/>
              </w:rPr>
              <w:t>222</w:t>
            </w:r>
          </w:p>
        </w:tc>
        <w:tc>
          <w:tcPr>
            <w:tcW w:w="246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val="en-US" w:eastAsia="zh-CN"/>
              </w:rPr>
            </w:pPr>
            <w:r>
              <w:rPr>
                <w:rFonts w:hint="eastAsia" w:ascii="Times New Roman" w:hAnsi="Times New Roman" w:eastAsia="宋体" w:cs="Times New Roman"/>
                <w:snapToGrid/>
                <w:color w:val="000000"/>
                <w:kern w:val="0"/>
                <w:szCs w:val="21"/>
                <w:lang w:val="en-US" w:eastAsia="zh-CN"/>
              </w:rPr>
              <w:t>500</w:t>
            </w:r>
          </w:p>
        </w:tc>
        <w:tc>
          <w:tcPr>
            <w:tcW w:w="2089"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eastAsia" w:ascii="Times New Roman" w:hAnsi="Times New Roman" w:eastAsia="宋体" w:cs="Times New Roman"/>
                <w:snapToGrid/>
                <w:color w:val="000000"/>
                <w:kern w:val="0"/>
                <w:szCs w:val="21"/>
                <w:lang w:val="en-US" w:eastAsia="zh-CN"/>
              </w:rPr>
              <w:t>4</w:t>
            </w:r>
            <w:r>
              <w:rPr>
                <w:rFonts w:hint="default" w:ascii="Times New Roman" w:hAnsi="Times New Roman" w:eastAsia="宋体" w:cs="Times New Roman"/>
                <w:snapToGrid/>
                <w:color w:val="000000"/>
                <w:kern w:val="0"/>
                <w:szCs w:val="21"/>
                <w:lang w:eastAsia="zh-CN"/>
              </w:rPr>
              <w:t>00</w:t>
            </w:r>
          </w:p>
        </w:tc>
        <w:tc>
          <w:tcPr>
            <w:tcW w:w="145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Ex>
        <w:trPr>
          <w:trHeight w:val="469" w:hRule="atLeast"/>
          <w:jc w:val="center"/>
        </w:trPr>
        <w:tc>
          <w:tcPr>
            <w:tcW w:w="1591"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BOD</w:t>
            </w:r>
          </w:p>
        </w:tc>
        <w:tc>
          <w:tcPr>
            <w:tcW w:w="14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b w:val="0"/>
                <w:bCs/>
                <w:snapToGrid/>
                <w:kern w:val="2"/>
                <w:sz w:val="21"/>
                <w:szCs w:val="21"/>
                <w:vertAlign w:val="baseline"/>
                <w:lang w:val="en-US" w:eastAsia="zh-CN" w:bidi="ar-SA"/>
              </w:rPr>
            </w:pPr>
            <w:r>
              <w:rPr>
                <w:rFonts w:hint="eastAsia" w:ascii="Times New Roman" w:hAnsi="宋体" w:eastAsia="宋体" w:cs="Times New Roman"/>
                <w:b w:val="0"/>
                <w:bCs/>
                <w:snapToGrid/>
                <w:kern w:val="2"/>
                <w:sz w:val="21"/>
                <w:szCs w:val="21"/>
                <w:vertAlign w:val="baseline"/>
                <w:lang w:val="en-US" w:eastAsia="zh-CN"/>
              </w:rPr>
              <w:t>104</w:t>
            </w:r>
          </w:p>
        </w:tc>
        <w:tc>
          <w:tcPr>
            <w:tcW w:w="246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eastAsia" w:ascii="Times New Roman" w:hAnsi="Times New Roman" w:eastAsia="宋体" w:cs="Times New Roman"/>
                <w:snapToGrid/>
                <w:color w:val="000000"/>
                <w:kern w:val="0"/>
                <w:szCs w:val="21"/>
                <w:lang w:val="en-US" w:eastAsia="zh-CN"/>
              </w:rPr>
              <w:t>30</w:t>
            </w:r>
            <w:r>
              <w:rPr>
                <w:rFonts w:hint="default" w:ascii="Times New Roman" w:hAnsi="Times New Roman" w:eastAsia="宋体" w:cs="Times New Roman"/>
                <w:snapToGrid/>
                <w:color w:val="000000"/>
                <w:kern w:val="0"/>
                <w:szCs w:val="21"/>
                <w:lang w:eastAsia="zh-CN"/>
              </w:rPr>
              <w:t>0</w:t>
            </w:r>
          </w:p>
        </w:tc>
        <w:tc>
          <w:tcPr>
            <w:tcW w:w="2089"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150</w:t>
            </w:r>
          </w:p>
        </w:tc>
        <w:tc>
          <w:tcPr>
            <w:tcW w:w="145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1591"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SS</w:t>
            </w:r>
          </w:p>
        </w:tc>
        <w:tc>
          <w:tcPr>
            <w:tcW w:w="14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b w:val="0"/>
                <w:bCs/>
                <w:snapToGrid/>
                <w:kern w:val="2"/>
                <w:sz w:val="21"/>
                <w:szCs w:val="21"/>
                <w:vertAlign w:val="baseline"/>
                <w:lang w:val="en-US" w:eastAsia="zh-CN" w:bidi="ar-SA"/>
              </w:rPr>
            </w:pPr>
            <w:r>
              <w:rPr>
                <w:rFonts w:hint="eastAsia" w:ascii="Times New Roman" w:hAnsi="宋体" w:eastAsia="宋体" w:cs="Times New Roman"/>
                <w:b w:val="0"/>
                <w:bCs/>
                <w:snapToGrid/>
                <w:kern w:val="2"/>
                <w:sz w:val="21"/>
                <w:szCs w:val="21"/>
                <w:vertAlign w:val="baseline"/>
                <w:lang w:val="en-US" w:eastAsia="zh-CN"/>
              </w:rPr>
              <w:t>92.4</w:t>
            </w:r>
          </w:p>
        </w:tc>
        <w:tc>
          <w:tcPr>
            <w:tcW w:w="246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val="en-US" w:eastAsia="zh-CN"/>
              </w:rPr>
            </w:pPr>
            <w:r>
              <w:rPr>
                <w:rFonts w:hint="eastAsia" w:ascii="Times New Roman" w:hAnsi="Times New Roman" w:eastAsia="宋体" w:cs="Times New Roman"/>
                <w:snapToGrid/>
                <w:color w:val="000000"/>
                <w:kern w:val="0"/>
                <w:szCs w:val="21"/>
                <w:lang w:val="en-US" w:eastAsia="zh-CN"/>
              </w:rPr>
              <w:t>400</w:t>
            </w:r>
          </w:p>
        </w:tc>
        <w:tc>
          <w:tcPr>
            <w:tcW w:w="2089"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eastAsia" w:ascii="Times New Roman" w:hAnsi="Times New Roman" w:eastAsia="宋体" w:cs="Times New Roman"/>
                <w:snapToGrid/>
                <w:color w:val="000000"/>
                <w:kern w:val="0"/>
                <w:szCs w:val="21"/>
                <w:lang w:val="en-US" w:eastAsia="zh-CN"/>
              </w:rPr>
              <w:t>3</w:t>
            </w:r>
            <w:r>
              <w:rPr>
                <w:rFonts w:hint="default" w:ascii="Times New Roman" w:hAnsi="Times New Roman" w:eastAsia="宋体" w:cs="Times New Roman"/>
                <w:snapToGrid/>
                <w:color w:val="000000"/>
                <w:kern w:val="0"/>
                <w:szCs w:val="21"/>
                <w:lang w:eastAsia="zh-CN"/>
              </w:rPr>
              <w:t>00</w:t>
            </w:r>
          </w:p>
        </w:tc>
        <w:tc>
          <w:tcPr>
            <w:tcW w:w="145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1591"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NH</w:t>
            </w:r>
            <w:r>
              <w:rPr>
                <w:rFonts w:hint="default" w:ascii="Times New Roman" w:hAnsi="Times New Roman" w:eastAsia="宋体" w:cs="Times New Roman"/>
                <w:snapToGrid/>
                <w:color w:val="000000"/>
                <w:kern w:val="0"/>
                <w:szCs w:val="21"/>
                <w:vertAlign w:val="subscript"/>
                <w:lang w:eastAsia="zh-CN"/>
              </w:rPr>
              <w:t>3</w:t>
            </w:r>
            <w:r>
              <w:rPr>
                <w:rFonts w:hint="default" w:ascii="Times New Roman" w:hAnsi="Times New Roman" w:eastAsia="宋体" w:cs="Times New Roman"/>
                <w:snapToGrid/>
                <w:color w:val="000000"/>
                <w:kern w:val="0"/>
                <w:szCs w:val="21"/>
                <w:lang w:eastAsia="zh-CN"/>
              </w:rPr>
              <w:t>-N</w:t>
            </w:r>
          </w:p>
        </w:tc>
        <w:tc>
          <w:tcPr>
            <w:tcW w:w="14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b w:val="0"/>
                <w:bCs/>
                <w:snapToGrid/>
                <w:kern w:val="2"/>
                <w:sz w:val="21"/>
                <w:szCs w:val="21"/>
                <w:vertAlign w:val="baseline"/>
                <w:lang w:val="en-US" w:eastAsia="zh-CN" w:bidi="ar-SA"/>
              </w:rPr>
            </w:pPr>
            <w:r>
              <w:rPr>
                <w:rFonts w:hint="eastAsia" w:ascii="Times New Roman" w:hAnsi="宋体" w:eastAsia="宋体" w:cs="Times New Roman"/>
                <w:b w:val="0"/>
                <w:bCs/>
                <w:snapToGrid/>
                <w:kern w:val="2"/>
                <w:sz w:val="21"/>
                <w:szCs w:val="21"/>
                <w:vertAlign w:val="baseline"/>
                <w:lang w:val="en-US" w:eastAsia="zh-CN"/>
              </w:rPr>
              <w:t>18.2</w:t>
            </w:r>
          </w:p>
        </w:tc>
        <w:tc>
          <w:tcPr>
            <w:tcW w:w="246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val="en-US" w:eastAsia="zh-CN"/>
              </w:rPr>
            </w:pPr>
            <w:r>
              <w:rPr>
                <w:rFonts w:hint="eastAsia" w:ascii="Times New Roman" w:hAnsi="Times New Roman" w:eastAsia="宋体" w:cs="Times New Roman"/>
                <w:snapToGrid/>
                <w:color w:val="000000"/>
                <w:kern w:val="0"/>
                <w:szCs w:val="21"/>
                <w:lang w:val="en-US" w:eastAsia="zh-CN"/>
              </w:rPr>
              <w:t>--</w:t>
            </w:r>
          </w:p>
        </w:tc>
        <w:tc>
          <w:tcPr>
            <w:tcW w:w="2089" w:type="dxa"/>
            <w:tcBorders>
              <w:tl2br w:val="nil"/>
              <w:tr2bl w:val="nil"/>
            </w:tcBorders>
            <w:vAlign w:val="center"/>
          </w:tcPr>
          <w:p>
            <w:pPr>
              <w:widowControl/>
              <w:kinsoku/>
              <w:autoSpaceDE/>
              <w:autoSpaceDN/>
              <w:adjustRightInd/>
              <w:snapToGrid w:val="0"/>
              <w:spacing w:line="240" w:lineRule="auto"/>
              <w:jc w:val="center"/>
              <w:textAlignment w:val="auto"/>
              <w:rPr>
                <w:rFonts w:hint="eastAsia"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3</w:t>
            </w:r>
            <w:r>
              <w:rPr>
                <w:rFonts w:hint="eastAsia" w:ascii="Times New Roman" w:hAnsi="Times New Roman" w:eastAsia="宋体" w:cs="Times New Roman"/>
                <w:snapToGrid/>
                <w:color w:val="000000"/>
                <w:kern w:val="0"/>
                <w:szCs w:val="21"/>
                <w:lang w:val="en-US" w:eastAsia="zh-CN"/>
              </w:rPr>
              <w:t>5</w:t>
            </w:r>
          </w:p>
        </w:tc>
        <w:tc>
          <w:tcPr>
            <w:tcW w:w="145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default" w:ascii="Times New Roman" w:hAnsi="Times New Roman" w:eastAsia="宋体" w:cs="Times New Roman"/>
                <w:snapToGrid/>
                <w:color w:val="000000"/>
                <w:kern w:val="0"/>
                <w:szCs w:val="21"/>
                <w:lang w:eastAsia="zh-CN"/>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15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b w:val="0"/>
                <w:bCs/>
                <w:snapToGrid/>
                <w:kern w:val="2"/>
                <w:sz w:val="21"/>
                <w:szCs w:val="21"/>
                <w:vertAlign w:val="baseline"/>
                <w:lang w:val="en-US" w:eastAsia="zh-CN" w:bidi="ar-SA"/>
              </w:rPr>
            </w:pPr>
            <w:r>
              <w:rPr>
                <w:rFonts w:hint="eastAsia" w:ascii="Times New Roman" w:hAnsi="宋体" w:eastAsia="宋体" w:cs="Times New Roman"/>
                <w:b w:val="0"/>
                <w:bCs/>
                <w:snapToGrid/>
                <w:kern w:val="2"/>
                <w:sz w:val="21"/>
                <w:szCs w:val="21"/>
                <w:vertAlign w:val="baseline"/>
                <w:lang w:eastAsia="zh-CN"/>
              </w:rPr>
              <w:t>动植物油</w:t>
            </w:r>
          </w:p>
        </w:tc>
        <w:tc>
          <w:tcPr>
            <w:tcW w:w="14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b w:val="0"/>
                <w:bCs/>
                <w:snapToGrid/>
                <w:kern w:val="2"/>
                <w:sz w:val="21"/>
                <w:szCs w:val="21"/>
                <w:vertAlign w:val="baseline"/>
                <w:lang w:val="en-US" w:eastAsia="zh-CN" w:bidi="ar-SA"/>
              </w:rPr>
            </w:pPr>
            <w:r>
              <w:rPr>
                <w:rFonts w:hint="eastAsia" w:ascii="Times New Roman" w:hAnsi="宋体" w:eastAsia="宋体" w:cs="Times New Roman"/>
                <w:b w:val="0"/>
                <w:bCs/>
                <w:snapToGrid/>
                <w:kern w:val="2"/>
                <w:sz w:val="21"/>
                <w:szCs w:val="21"/>
                <w:vertAlign w:val="baseline"/>
                <w:lang w:val="en-US" w:eastAsia="zh-CN"/>
              </w:rPr>
              <w:t>27.2</w:t>
            </w:r>
          </w:p>
        </w:tc>
        <w:tc>
          <w:tcPr>
            <w:tcW w:w="246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val="en-US" w:eastAsia="zh-CN"/>
              </w:rPr>
            </w:pPr>
            <w:r>
              <w:rPr>
                <w:rFonts w:hint="eastAsia" w:ascii="Times New Roman" w:hAnsi="Times New Roman" w:eastAsia="宋体" w:cs="Times New Roman"/>
                <w:snapToGrid/>
                <w:color w:val="000000"/>
                <w:kern w:val="0"/>
                <w:szCs w:val="21"/>
                <w:lang w:val="en-US" w:eastAsia="zh-CN"/>
              </w:rPr>
              <w:t>60</w:t>
            </w:r>
          </w:p>
        </w:tc>
        <w:tc>
          <w:tcPr>
            <w:tcW w:w="2089"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eastAsia" w:ascii="Times New Roman" w:hAnsi="Times New Roman" w:eastAsia="宋体" w:cs="Times New Roman"/>
                <w:snapToGrid/>
                <w:color w:val="000000"/>
                <w:kern w:val="0"/>
                <w:szCs w:val="21"/>
                <w:lang w:val="en-US" w:eastAsia="zh-CN"/>
              </w:rPr>
              <w:t>--</w:t>
            </w:r>
          </w:p>
        </w:tc>
        <w:tc>
          <w:tcPr>
            <w:tcW w:w="145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snapToGrid/>
                <w:color w:val="000000"/>
                <w:kern w:val="0"/>
                <w:szCs w:val="21"/>
                <w:lang w:eastAsia="zh-CN"/>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Ex>
        <w:trPr>
          <w:trHeight w:val="454" w:hRule="atLeast"/>
          <w:jc w:val="center"/>
        </w:trPr>
        <w:tc>
          <w:tcPr>
            <w:tcW w:w="15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宋体" w:eastAsia="宋体" w:cs="Times New Roman"/>
                <w:b w:val="0"/>
                <w:bCs/>
                <w:snapToGrid/>
                <w:kern w:val="2"/>
                <w:sz w:val="21"/>
                <w:szCs w:val="21"/>
                <w:vertAlign w:val="baseline"/>
                <w:lang w:val="en-US" w:eastAsia="zh-CN" w:bidi="ar-SA"/>
              </w:rPr>
            </w:pPr>
            <w:r>
              <w:rPr>
                <w:rFonts w:hint="eastAsia" w:ascii="Times New Roman" w:hAnsi="宋体" w:eastAsia="宋体" w:cs="Times New Roman"/>
                <w:b w:val="0"/>
                <w:bCs/>
                <w:snapToGrid/>
                <w:kern w:val="2"/>
                <w:sz w:val="21"/>
                <w:szCs w:val="21"/>
                <w:vertAlign w:val="baseline"/>
                <w:lang w:eastAsia="zh-CN"/>
              </w:rPr>
              <w:t>大肠杆菌群数</w:t>
            </w:r>
          </w:p>
        </w:tc>
        <w:tc>
          <w:tcPr>
            <w:tcW w:w="14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宋体" w:eastAsia="宋体" w:cs="Times New Roman"/>
                <w:b w:val="0"/>
                <w:bCs/>
                <w:snapToGrid/>
                <w:kern w:val="2"/>
                <w:sz w:val="21"/>
                <w:szCs w:val="21"/>
                <w:vertAlign w:val="baseline"/>
                <w:lang w:val="en-US" w:eastAsia="zh-CN" w:bidi="ar-SA"/>
              </w:rPr>
            </w:pPr>
            <w:r>
              <w:rPr>
                <w:rFonts w:hint="eastAsia" w:ascii="Times New Roman" w:hAnsi="宋体" w:eastAsia="宋体" w:cs="Times New Roman"/>
                <w:b w:val="0"/>
                <w:bCs/>
                <w:snapToGrid/>
                <w:kern w:val="2"/>
                <w:sz w:val="21"/>
                <w:szCs w:val="21"/>
                <w:vertAlign w:val="baseline"/>
                <w:lang w:val="en-US" w:eastAsia="zh-CN"/>
              </w:rPr>
              <w:t>﹤5000个/L</w:t>
            </w:r>
          </w:p>
        </w:tc>
        <w:tc>
          <w:tcPr>
            <w:tcW w:w="246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val="en-US" w:eastAsia="zh-CN"/>
              </w:rPr>
            </w:pPr>
            <w:r>
              <w:rPr>
                <w:rFonts w:hint="eastAsia" w:ascii="Times New Roman" w:hAnsi="Times New Roman" w:eastAsia="宋体" w:cs="Times New Roman"/>
                <w:snapToGrid/>
                <w:color w:val="000000"/>
                <w:kern w:val="0"/>
                <w:szCs w:val="21"/>
                <w:lang w:val="en-US" w:eastAsia="zh-CN"/>
              </w:rPr>
              <w:t>10000</w:t>
            </w:r>
          </w:p>
        </w:tc>
        <w:tc>
          <w:tcPr>
            <w:tcW w:w="2089"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Cs w:val="21"/>
                <w:lang w:eastAsia="zh-CN"/>
              </w:rPr>
            </w:pPr>
            <w:r>
              <w:rPr>
                <w:rFonts w:hint="eastAsia" w:ascii="Times New Roman" w:hAnsi="Times New Roman" w:eastAsia="宋体" w:cs="Times New Roman"/>
                <w:snapToGrid/>
                <w:color w:val="000000"/>
                <w:kern w:val="0"/>
                <w:szCs w:val="21"/>
                <w:lang w:val="en-US" w:eastAsia="zh-CN"/>
              </w:rPr>
              <w:t>--</w:t>
            </w:r>
          </w:p>
        </w:tc>
        <w:tc>
          <w:tcPr>
            <w:tcW w:w="1457" w:type="dxa"/>
            <w:tcBorders>
              <w:tl2br w:val="nil"/>
              <w:tr2bl w:val="nil"/>
            </w:tcBorders>
            <w:vAlign w:val="center"/>
          </w:tcPr>
          <w:p>
            <w:pPr>
              <w:widowControl/>
              <w:kinsoku/>
              <w:autoSpaceDE/>
              <w:autoSpaceDN/>
              <w:adjustRightInd/>
              <w:snapToGrid w:val="0"/>
              <w:spacing w:line="240" w:lineRule="auto"/>
              <w:jc w:val="center"/>
              <w:textAlignment w:val="auto"/>
              <w:rPr>
                <w:rFonts w:hint="default" w:ascii="Times New Roman" w:hAnsi="Times New Roman" w:eastAsia="宋体" w:cs="Times New Roman"/>
                <w:snapToGrid/>
                <w:color w:val="000000"/>
                <w:kern w:val="0"/>
                <w:sz w:val="21"/>
                <w:szCs w:val="21"/>
                <w:lang w:val="en-US" w:eastAsia="zh-CN" w:bidi="ar-SA"/>
              </w:rPr>
            </w:pPr>
            <w:r>
              <w:rPr>
                <w:rFonts w:hint="default" w:ascii="Times New Roman" w:hAnsi="Times New Roman" w:eastAsia="宋体" w:cs="Times New Roman"/>
                <w:snapToGrid/>
                <w:color w:val="000000"/>
                <w:kern w:val="0"/>
                <w:szCs w:val="21"/>
                <w:lang w:eastAsia="zh-CN"/>
              </w:rPr>
              <w:t>满足</w:t>
            </w:r>
          </w:p>
        </w:tc>
      </w:tr>
    </w:tbl>
    <w:p>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jc w:val="both"/>
        <w:textAlignment w:val="baseline"/>
        <w:rPr>
          <w:rFonts w:hint="default" w:ascii="Times New Roman" w:hAnsi="Times New Roman" w:eastAsia="宋体" w:cs="Times New Roman"/>
          <w:b w:val="0"/>
          <w:bCs/>
          <w:kern w:val="0"/>
          <w:sz w:val="24"/>
          <w:szCs w:val="24"/>
          <w:u w:val="single"/>
          <w:lang w:val="en-US" w:eastAsia="zh-CN" w:bidi="ar-SA"/>
        </w:rPr>
      </w:pPr>
      <w:r>
        <w:rPr>
          <w:rFonts w:hint="default" w:ascii="Times New Roman" w:hAnsi="Times New Roman" w:eastAsia="宋体" w:cs="Times New Roman"/>
          <w:b w:val="0"/>
          <w:bCs/>
          <w:kern w:val="2"/>
          <w:sz w:val="24"/>
          <w:szCs w:val="24"/>
          <w:u w:val="single"/>
          <w:lang w:val="en-US" w:eastAsia="zh-CN" w:bidi="ar-SA"/>
        </w:rPr>
        <w:t>根据以上数据可知，经过处理后的</w:t>
      </w:r>
      <w:r>
        <w:rPr>
          <w:rFonts w:hint="eastAsia" w:ascii="Times New Roman" w:hAnsi="Times New Roman" w:eastAsia="宋体" w:cs="Times New Roman"/>
          <w:b w:val="0"/>
          <w:bCs/>
          <w:kern w:val="2"/>
          <w:sz w:val="24"/>
          <w:szCs w:val="24"/>
          <w:u w:val="single"/>
          <w:lang w:val="en-US" w:eastAsia="zh-CN" w:bidi="ar-SA"/>
        </w:rPr>
        <w:t>厂区</w:t>
      </w:r>
      <w:r>
        <w:rPr>
          <w:rFonts w:hint="default" w:ascii="Times New Roman" w:hAnsi="Times New Roman" w:eastAsia="宋体" w:cs="Times New Roman"/>
          <w:b w:val="0"/>
          <w:bCs/>
          <w:kern w:val="2"/>
          <w:sz w:val="24"/>
          <w:szCs w:val="24"/>
          <w:u w:val="single"/>
          <w:lang w:val="en-US" w:eastAsia="zh-CN" w:bidi="ar-SA"/>
        </w:rPr>
        <w:t>废水</w:t>
      </w:r>
      <w:r>
        <w:rPr>
          <w:rFonts w:hint="eastAsia" w:ascii="Times New Roman" w:hAnsi="Times New Roman" w:eastAsia="宋体" w:cs="Times New Roman"/>
          <w:b w:val="0"/>
          <w:bCs/>
          <w:kern w:val="2"/>
          <w:sz w:val="24"/>
          <w:szCs w:val="24"/>
          <w:u w:val="single"/>
          <w:lang w:val="en-US" w:eastAsia="zh-CN" w:bidi="ar-SA"/>
        </w:rPr>
        <w:t>水质符合</w:t>
      </w:r>
      <w:r>
        <w:rPr>
          <w:rFonts w:hint="default" w:ascii="Times New Roman" w:hAnsi="Times New Roman" w:eastAsia="宋体" w:cs="Times New Roman"/>
          <w:b w:val="0"/>
          <w:bCs/>
          <w:kern w:val="2"/>
          <w:sz w:val="24"/>
          <w:szCs w:val="24"/>
          <w:u w:val="single"/>
          <w:lang w:val="en-US" w:eastAsia="zh-CN" w:bidi="ar-SA"/>
        </w:rPr>
        <w:t>《肉类加工工业水污染物排放标准》（GB13457-92）和</w:t>
      </w:r>
      <w:r>
        <w:rPr>
          <w:rFonts w:hint="eastAsia" w:ascii="Times New Roman" w:hAnsi="Times New Roman" w:eastAsia="宋体" w:cs="Times New Roman"/>
          <w:b w:val="0"/>
          <w:bCs/>
          <w:kern w:val="2"/>
          <w:sz w:val="24"/>
          <w:szCs w:val="24"/>
          <w:u w:val="single"/>
          <w:lang w:val="en-US" w:eastAsia="zh-CN" w:bidi="ar-SA"/>
        </w:rPr>
        <w:t>叶县</w:t>
      </w:r>
      <w:r>
        <w:rPr>
          <w:rFonts w:hint="default" w:ascii="Times New Roman" w:hAnsi="Times New Roman" w:eastAsia="宋体" w:cs="Times New Roman"/>
          <w:b w:val="0"/>
          <w:bCs/>
          <w:kern w:val="2"/>
          <w:sz w:val="24"/>
          <w:szCs w:val="24"/>
          <w:u w:val="single"/>
          <w:lang w:val="en-US" w:eastAsia="zh-CN" w:bidi="ar-SA"/>
        </w:rPr>
        <w:t>污水处理厂进水水质要求，</w:t>
      </w:r>
      <w:r>
        <w:rPr>
          <w:rFonts w:hint="eastAsia" w:ascii="Times New Roman" w:hAnsi="Times New Roman" w:eastAsia="宋体" w:cs="Times New Roman"/>
          <w:b w:val="0"/>
          <w:bCs/>
          <w:kern w:val="2"/>
          <w:sz w:val="24"/>
          <w:szCs w:val="24"/>
          <w:u w:val="single"/>
          <w:lang w:val="en-US" w:eastAsia="zh-CN" w:bidi="ar-SA"/>
        </w:rPr>
        <w:t>废水</w:t>
      </w:r>
      <w:r>
        <w:rPr>
          <w:rFonts w:hint="default" w:ascii="Times New Roman" w:hAnsi="Times New Roman" w:eastAsia="宋体" w:cs="Times New Roman"/>
          <w:b w:val="0"/>
          <w:bCs/>
          <w:kern w:val="2"/>
          <w:sz w:val="24"/>
          <w:szCs w:val="24"/>
          <w:u w:val="single"/>
          <w:lang w:val="en-US" w:eastAsia="zh-CN" w:bidi="ar-SA"/>
        </w:rPr>
        <w:t>可以</w:t>
      </w:r>
      <w:r>
        <w:rPr>
          <w:rFonts w:hint="eastAsia" w:ascii="Times New Roman" w:hAnsi="Times New Roman" w:eastAsia="宋体" w:cs="Times New Roman"/>
          <w:b w:val="0"/>
          <w:bCs/>
          <w:kern w:val="2"/>
          <w:sz w:val="24"/>
          <w:szCs w:val="24"/>
          <w:u w:val="single"/>
          <w:lang w:val="en-US" w:eastAsia="zh-CN" w:bidi="ar-SA"/>
        </w:rPr>
        <w:t>经市政管网排入污水处理厂</w:t>
      </w:r>
      <w:r>
        <w:rPr>
          <w:rFonts w:hint="default" w:ascii="Times New Roman" w:hAnsi="Times New Roman" w:eastAsia="宋体" w:cs="Times New Roman"/>
          <w:b w:val="0"/>
          <w:bCs/>
          <w:kern w:val="2"/>
          <w:sz w:val="24"/>
          <w:szCs w:val="24"/>
          <w:u w:val="single"/>
          <w:lang w:val="en-US" w:eastAsia="zh-CN" w:bidi="ar-SA"/>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b w:val="0"/>
          <w:bCs/>
          <w:kern w:val="2"/>
          <w:sz w:val="24"/>
          <w:szCs w:val="24"/>
          <w:u w:val="single"/>
          <w:lang w:val="en-US" w:eastAsia="zh-CN" w:bidi="ar-SA"/>
        </w:rPr>
      </w:pPr>
      <w:r>
        <w:rPr>
          <w:rFonts w:hint="eastAsia" w:ascii="Times New Roman" w:hAnsi="Times New Roman" w:eastAsia="宋体" w:cs="Times New Roman"/>
          <w:b w:val="0"/>
          <w:bCs/>
          <w:kern w:val="2"/>
          <w:sz w:val="24"/>
          <w:szCs w:val="24"/>
          <w:u w:val="single"/>
          <w:lang w:val="en-US" w:eastAsia="zh-CN" w:bidi="ar-SA"/>
        </w:rPr>
        <w:t>b、</w:t>
      </w:r>
      <w:r>
        <w:rPr>
          <w:rFonts w:hint="default" w:ascii="Times New Roman" w:hAnsi="Times New Roman" w:eastAsia="宋体" w:cs="Times New Roman"/>
          <w:b w:val="0"/>
          <w:bCs/>
          <w:kern w:val="2"/>
          <w:sz w:val="24"/>
          <w:szCs w:val="24"/>
          <w:u w:val="single"/>
          <w:lang w:val="en-US" w:eastAsia="zh-CN" w:bidi="ar-SA"/>
        </w:rPr>
        <w:t>水量情况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b w:val="0"/>
          <w:bCs/>
          <w:kern w:val="2"/>
          <w:sz w:val="24"/>
          <w:szCs w:val="24"/>
          <w:u w:val="single"/>
          <w:lang w:val="en-US" w:eastAsia="zh-CN" w:bidi="ar-SA"/>
        </w:rPr>
      </w:pPr>
      <w:r>
        <w:rPr>
          <w:rFonts w:hint="eastAsia" w:ascii="Times New Roman" w:hAnsi="Times New Roman" w:cs="宋体" w:eastAsiaTheme="minorEastAsia"/>
          <w:kern w:val="2"/>
          <w:sz w:val="24"/>
          <w:szCs w:val="24"/>
          <w:u w:val="single"/>
          <w:lang w:val="en-US" w:eastAsia="zh-CN" w:bidi="ar-SA"/>
        </w:rPr>
        <w:t>截至2023年初，叶县城区污水处理厂</w:t>
      </w:r>
      <w:r>
        <w:rPr>
          <w:rFonts w:ascii="Times New Roman" w:hAnsi="Times New Roman" w:cs="宋体" w:eastAsiaTheme="minorEastAsia"/>
          <w:kern w:val="2"/>
          <w:sz w:val="24"/>
          <w:szCs w:val="24"/>
          <w:u w:val="single"/>
          <w:lang w:val="en-US" w:eastAsia="zh-CN" w:bidi="ar-SA"/>
        </w:rPr>
        <w:t>目前实际处理规模为</w:t>
      </w:r>
      <w:r>
        <w:rPr>
          <w:rFonts w:hint="eastAsia" w:ascii="Times New Roman" w:hAnsi="Times New Roman" w:cs="宋体" w:eastAsiaTheme="minorEastAsia"/>
          <w:kern w:val="2"/>
          <w:sz w:val="24"/>
          <w:szCs w:val="24"/>
          <w:u w:val="single"/>
          <w:lang w:val="en-US" w:eastAsia="zh-CN" w:bidi="ar-SA"/>
        </w:rPr>
        <w:t>3</w:t>
      </w:r>
      <w:r>
        <w:rPr>
          <w:rFonts w:ascii="Times New Roman" w:hAnsi="Times New Roman" w:cs="宋体" w:eastAsiaTheme="minorEastAsia"/>
          <w:kern w:val="2"/>
          <w:sz w:val="24"/>
          <w:szCs w:val="24"/>
          <w:u w:val="single"/>
          <w:lang w:val="en-US" w:eastAsia="zh-CN" w:bidi="ar-SA"/>
        </w:rPr>
        <w:t>万m</w:t>
      </w:r>
      <w:r>
        <w:rPr>
          <w:rFonts w:ascii="Times New Roman" w:hAnsi="Times New Roman" w:cs="宋体" w:eastAsiaTheme="minorEastAsia"/>
          <w:kern w:val="2"/>
          <w:sz w:val="24"/>
          <w:szCs w:val="24"/>
          <w:u w:val="single"/>
          <w:vertAlign w:val="superscript"/>
          <w:lang w:val="en-US" w:eastAsia="zh-CN" w:bidi="ar-SA"/>
        </w:rPr>
        <w:t>3</w:t>
      </w:r>
      <w:r>
        <w:rPr>
          <w:rFonts w:ascii="Times New Roman" w:hAnsi="Times New Roman" w:cs="宋体" w:eastAsiaTheme="minorEastAsia"/>
          <w:kern w:val="2"/>
          <w:sz w:val="24"/>
          <w:szCs w:val="24"/>
          <w:u w:val="single"/>
          <w:lang w:val="en-US" w:eastAsia="zh-CN" w:bidi="ar-SA"/>
        </w:rPr>
        <w:t>/d</w:t>
      </w:r>
      <w:r>
        <w:rPr>
          <w:rFonts w:hint="eastAsia" w:ascii="Times New Roman" w:hAnsi="Times New Roman" w:cs="宋体" w:eastAsiaTheme="minorEastAsia"/>
          <w:kern w:val="2"/>
          <w:sz w:val="24"/>
          <w:szCs w:val="24"/>
          <w:u w:val="single"/>
          <w:lang w:val="en-US" w:eastAsia="zh-CN" w:bidi="ar-SA"/>
        </w:rPr>
        <w:t>（尚有1</w:t>
      </w:r>
      <w:r>
        <w:rPr>
          <w:rFonts w:ascii="Times New Roman" w:hAnsi="Times New Roman" w:cs="宋体" w:eastAsiaTheme="minorEastAsia"/>
          <w:kern w:val="2"/>
          <w:sz w:val="24"/>
          <w:szCs w:val="24"/>
          <w:u w:val="single"/>
          <w:lang w:val="en-US" w:eastAsia="zh-CN" w:bidi="ar-SA"/>
        </w:rPr>
        <w:t>万m</w:t>
      </w:r>
      <w:r>
        <w:rPr>
          <w:rFonts w:ascii="Times New Roman" w:hAnsi="Times New Roman" w:cs="宋体" w:eastAsiaTheme="minorEastAsia"/>
          <w:kern w:val="2"/>
          <w:sz w:val="24"/>
          <w:szCs w:val="24"/>
          <w:u w:val="single"/>
          <w:vertAlign w:val="superscript"/>
          <w:lang w:val="en-US" w:eastAsia="zh-CN" w:bidi="ar-SA"/>
        </w:rPr>
        <w:t>3</w:t>
      </w:r>
      <w:r>
        <w:rPr>
          <w:rFonts w:ascii="Times New Roman" w:hAnsi="Times New Roman" w:cs="宋体" w:eastAsiaTheme="minorEastAsia"/>
          <w:kern w:val="2"/>
          <w:sz w:val="24"/>
          <w:szCs w:val="24"/>
          <w:u w:val="single"/>
          <w:lang w:val="en-US" w:eastAsia="zh-CN" w:bidi="ar-SA"/>
        </w:rPr>
        <w:t>/d</w:t>
      </w:r>
      <w:r>
        <w:rPr>
          <w:rFonts w:hint="eastAsia" w:ascii="Times New Roman" w:hAnsi="Times New Roman" w:cs="宋体" w:eastAsiaTheme="minorEastAsia"/>
          <w:kern w:val="2"/>
          <w:sz w:val="24"/>
          <w:szCs w:val="24"/>
          <w:u w:val="single"/>
          <w:lang w:val="en-US" w:eastAsia="zh-CN" w:bidi="ar-SA"/>
        </w:rPr>
        <w:t>的余量）</w:t>
      </w:r>
      <w:r>
        <w:rPr>
          <w:rFonts w:ascii="Times New Roman" w:hAnsi="Times New Roman" w:cs="宋体" w:eastAsiaTheme="minorEastAsia"/>
          <w:kern w:val="2"/>
          <w:sz w:val="24"/>
          <w:szCs w:val="24"/>
          <w:u w:val="single"/>
          <w:lang w:val="en-US" w:eastAsia="zh-CN" w:bidi="ar-SA"/>
        </w:rPr>
        <w:t>，</w:t>
      </w:r>
      <w:r>
        <w:rPr>
          <w:rFonts w:hint="default" w:ascii="Times New Roman" w:hAnsi="Times New Roman" w:eastAsia="宋体" w:cs="Times New Roman"/>
          <w:b w:val="0"/>
          <w:bCs/>
          <w:kern w:val="2"/>
          <w:sz w:val="24"/>
          <w:szCs w:val="24"/>
          <w:u w:val="single"/>
          <w:lang w:val="en-US" w:eastAsia="zh-CN" w:bidi="ar-SA"/>
        </w:rPr>
        <w:t>因此，</w:t>
      </w:r>
      <w:r>
        <w:rPr>
          <w:rFonts w:hint="eastAsia" w:ascii="Times New Roman" w:hAnsi="Times New Roman" w:eastAsia="宋体" w:cs="Times New Roman"/>
          <w:b w:val="0"/>
          <w:bCs/>
          <w:kern w:val="2"/>
          <w:sz w:val="24"/>
          <w:szCs w:val="24"/>
          <w:u w:val="single"/>
          <w:lang w:val="en-US" w:eastAsia="zh-CN" w:bidi="ar-SA"/>
        </w:rPr>
        <w:t>本项目废水排放量255.54</w:t>
      </w:r>
      <w:r>
        <w:rPr>
          <w:rFonts w:ascii="Times New Roman" w:hAnsi="Times New Roman" w:cs="宋体" w:eastAsiaTheme="minorEastAsia"/>
          <w:kern w:val="2"/>
          <w:sz w:val="24"/>
          <w:szCs w:val="24"/>
          <w:u w:val="single"/>
          <w:lang w:val="en-US" w:eastAsia="zh-CN" w:bidi="ar-SA"/>
        </w:rPr>
        <w:t>m</w:t>
      </w:r>
      <w:r>
        <w:rPr>
          <w:rFonts w:ascii="Times New Roman" w:hAnsi="Times New Roman" w:cs="宋体" w:eastAsiaTheme="minorEastAsia"/>
          <w:kern w:val="2"/>
          <w:sz w:val="24"/>
          <w:szCs w:val="24"/>
          <w:u w:val="single"/>
          <w:vertAlign w:val="superscript"/>
          <w:lang w:val="en-US" w:eastAsia="zh-CN" w:bidi="ar-SA"/>
        </w:rPr>
        <w:t>3</w:t>
      </w:r>
      <w:r>
        <w:rPr>
          <w:rFonts w:ascii="Times New Roman" w:hAnsi="Times New Roman" w:cs="宋体" w:eastAsiaTheme="minorEastAsia"/>
          <w:kern w:val="2"/>
          <w:sz w:val="24"/>
          <w:szCs w:val="24"/>
          <w:u w:val="single"/>
          <w:lang w:val="en-US" w:eastAsia="zh-CN" w:bidi="ar-SA"/>
        </w:rPr>
        <w:t>/d</w:t>
      </w:r>
      <w:r>
        <w:rPr>
          <w:rFonts w:hint="eastAsia" w:ascii="Times New Roman" w:hAnsi="Times New Roman" w:eastAsia="宋体" w:cs="Times New Roman"/>
          <w:b w:val="0"/>
          <w:bCs/>
          <w:kern w:val="2"/>
          <w:sz w:val="24"/>
          <w:szCs w:val="24"/>
          <w:u w:val="single"/>
          <w:lang w:val="en-US" w:eastAsia="zh-CN" w:bidi="ar-SA"/>
        </w:rPr>
        <w:t>，仅占污水处理厂日处理量的0.85%，不会对叶县污水处理厂处理量构成大的冲击，</w:t>
      </w:r>
      <w:r>
        <w:rPr>
          <w:rFonts w:hint="default" w:ascii="Times New Roman" w:hAnsi="Times New Roman" w:eastAsia="宋体" w:cs="Times New Roman"/>
          <w:b w:val="0"/>
          <w:bCs/>
          <w:kern w:val="2"/>
          <w:sz w:val="24"/>
          <w:szCs w:val="24"/>
          <w:u w:val="single"/>
          <w:lang w:val="en-US" w:eastAsia="zh-CN" w:bidi="ar-SA"/>
        </w:rPr>
        <w:t>可以</w:t>
      </w:r>
      <w:r>
        <w:rPr>
          <w:rFonts w:hint="eastAsia" w:ascii="Times New Roman" w:hAnsi="Times New Roman" w:eastAsia="宋体" w:cs="Times New Roman"/>
          <w:b w:val="0"/>
          <w:bCs/>
          <w:kern w:val="2"/>
          <w:sz w:val="24"/>
          <w:szCs w:val="24"/>
          <w:u w:val="single"/>
          <w:lang w:val="en-US" w:eastAsia="zh-CN" w:bidi="ar-SA"/>
        </w:rPr>
        <w:t>被安全稳定地处理</w:t>
      </w:r>
      <w:r>
        <w:rPr>
          <w:rFonts w:hint="default" w:ascii="Times New Roman" w:hAnsi="Times New Roman" w:eastAsia="宋体" w:cs="Times New Roman"/>
          <w:b w:val="0"/>
          <w:bCs/>
          <w:kern w:val="2"/>
          <w:sz w:val="24"/>
          <w:szCs w:val="24"/>
          <w:u w:val="single"/>
          <w:lang w:val="en-US" w:eastAsia="zh-CN" w:bidi="ar-SA"/>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b w:val="0"/>
          <w:bCs/>
          <w:kern w:val="2"/>
          <w:sz w:val="24"/>
          <w:szCs w:val="24"/>
          <w:u w:val="single"/>
          <w:lang w:val="en-US" w:eastAsia="zh-CN" w:bidi="ar-SA"/>
        </w:rPr>
      </w:pPr>
      <w:r>
        <w:rPr>
          <w:rFonts w:hint="default" w:ascii="Times New Roman" w:hAnsi="Times New Roman" w:eastAsia="宋体" w:cs="Times New Roman"/>
          <w:b w:val="0"/>
          <w:bCs/>
          <w:kern w:val="2"/>
          <w:sz w:val="24"/>
          <w:szCs w:val="24"/>
          <w:u w:val="single"/>
          <w:lang w:val="en-US" w:eastAsia="zh-CN" w:bidi="ar-SA"/>
        </w:rPr>
        <w:t>③ 保障措施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b w:val="0"/>
          <w:bCs/>
          <w:kern w:val="2"/>
          <w:sz w:val="24"/>
          <w:szCs w:val="24"/>
          <w:u w:val="single"/>
          <w:lang w:val="en-US" w:eastAsia="zh-CN" w:bidi="ar-SA"/>
        </w:rPr>
      </w:pPr>
      <w:r>
        <w:rPr>
          <w:rFonts w:hint="default" w:ascii="Times New Roman" w:hAnsi="Times New Roman" w:eastAsia="宋体" w:cs="Times New Roman"/>
          <w:b w:val="0"/>
          <w:bCs/>
          <w:kern w:val="2"/>
          <w:sz w:val="24"/>
          <w:szCs w:val="24"/>
          <w:u w:val="single"/>
          <w:lang w:val="en-US" w:eastAsia="zh-CN" w:bidi="ar-SA"/>
        </w:rPr>
        <w:t>a、调节池</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eastAsia" w:ascii="Times New Roman" w:hAnsi="Times New Roman" w:eastAsia="宋体" w:cs="Times New Roman"/>
          <w:b w:val="0"/>
          <w:bCs/>
          <w:kern w:val="2"/>
          <w:sz w:val="24"/>
          <w:szCs w:val="24"/>
          <w:u w:val="single"/>
          <w:lang w:val="en-US" w:eastAsia="zh-CN" w:bidi="ar-SA"/>
        </w:rPr>
      </w:pPr>
      <w:r>
        <w:rPr>
          <w:rFonts w:hint="default" w:ascii="Times New Roman" w:hAnsi="Times New Roman" w:eastAsia="宋体" w:cs="Times New Roman"/>
          <w:b w:val="0"/>
          <w:bCs/>
          <w:kern w:val="2"/>
          <w:sz w:val="24"/>
          <w:szCs w:val="24"/>
          <w:u w:val="single"/>
          <w:lang w:val="en-US" w:eastAsia="zh-CN" w:bidi="ar-SA"/>
        </w:rPr>
        <w:t>本项目污水处理站配套建设有</w:t>
      </w:r>
      <w:r>
        <w:rPr>
          <w:rFonts w:hint="default" w:ascii="Times New Roman" w:hAnsi="Times New Roman" w:eastAsia="宋体" w:cs="Times New Roman"/>
          <w:b w:val="0"/>
          <w:bCs/>
          <w:kern w:val="2"/>
          <w:sz w:val="24"/>
          <w:szCs w:val="24"/>
          <w:highlight w:val="none"/>
          <w:u w:val="single"/>
          <w:lang w:val="en-US" w:eastAsia="zh-CN" w:bidi="ar-SA"/>
        </w:rPr>
        <w:t>调节池</w:t>
      </w:r>
      <w:r>
        <w:rPr>
          <w:rFonts w:hint="eastAsia" w:ascii="Times New Roman" w:hAnsi="Times New Roman" w:eastAsia="宋体" w:cs="Times New Roman"/>
          <w:b w:val="0"/>
          <w:bCs/>
          <w:kern w:val="2"/>
          <w:sz w:val="24"/>
          <w:szCs w:val="24"/>
          <w:highlight w:val="none"/>
          <w:u w:val="single"/>
          <w:lang w:val="en-US" w:eastAsia="zh-CN" w:bidi="ar-SA"/>
        </w:rPr>
        <w:t>（100m</w:t>
      </w:r>
      <w:r>
        <w:rPr>
          <w:rFonts w:hint="eastAsia" w:ascii="Times New Roman" w:hAnsi="Times New Roman" w:eastAsia="宋体" w:cs="Times New Roman"/>
          <w:b w:val="0"/>
          <w:bCs/>
          <w:kern w:val="2"/>
          <w:sz w:val="24"/>
          <w:szCs w:val="24"/>
          <w:highlight w:val="none"/>
          <w:u w:val="single"/>
          <w:vertAlign w:val="superscript"/>
          <w:lang w:val="en-US" w:eastAsia="zh-CN" w:bidi="ar-SA"/>
        </w:rPr>
        <w:t>3</w:t>
      </w:r>
      <w:r>
        <w:rPr>
          <w:rFonts w:hint="eastAsia" w:ascii="Times New Roman" w:hAnsi="Times New Roman" w:eastAsia="宋体" w:cs="Times New Roman"/>
          <w:b w:val="0"/>
          <w:bCs/>
          <w:kern w:val="2"/>
          <w:sz w:val="24"/>
          <w:szCs w:val="24"/>
          <w:highlight w:val="none"/>
          <w:u w:val="single"/>
          <w:lang w:val="en-US" w:eastAsia="zh-CN" w:bidi="ar-SA"/>
        </w:rPr>
        <w:t>）</w:t>
      </w:r>
      <w:r>
        <w:rPr>
          <w:rFonts w:hint="default" w:ascii="Times New Roman" w:hAnsi="Times New Roman" w:eastAsia="宋体" w:cs="Times New Roman"/>
          <w:b w:val="0"/>
          <w:bCs/>
          <w:kern w:val="2"/>
          <w:sz w:val="24"/>
          <w:szCs w:val="24"/>
          <w:u w:val="single"/>
          <w:lang w:val="en-US" w:eastAsia="zh-CN" w:bidi="ar-SA"/>
        </w:rPr>
        <w:t>，用以对厂区废水的水质和水量进行调节，</w:t>
      </w:r>
      <w:r>
        <w:rPr>
          <w:rFonts w:hint="eastAsia" w:ascii="Times New Roman" w:hAnsi="Times New Roman" w:eastAsia="宋体" w:cs="Times New Roman"/>
          <w:b w:val="0"/>
          <w:bCs/>
          <w:kern w:val="2"/>
          <w:sz w:val="24"/>
          <w:szCs w:val="24"/>
          <w:u w:val="single"/>
          <w:lang w:val="en-US" w:eastAsia="zh-CN" w:bidi="ar-SA"/>
        </w:rPr>
        <w:t>以</w:t>
      </w:r>
      <w:r>
        <w:rPr>
          <w:rFonts w:hint="default" w:ascii="Times New Roman" w:hAnsi="Times New Roman" w:eastAsia="宋体" w:cs="Times New Roman"/>
          <w:b w:val="0"/>
          <w:bCs/>
          <w:kern w:val="2"/>
          <w:sz w:val="24"/>
          <w:szCs w:val="24"/>
          <w:u w:val="single"/>
          <w:lang w:val="en-US" w:eastAsia="zh-CN" w:bidi="ar-SA"/>
        </w:rPr>
        <w:t>确保</w:t>
      </w:r>
      <w:r>
        <w:rPr>
          <w:rFonts w:hint="eastAsia" w:ascii="Times New Roman" w:hAnsi="Times New Roman" w:eastAsia="宋体" w:cs="Times New Roman"/>
          <w:b w:val="0"/>
          <w:bCs/>
          <w:kern w:val="2"/>
          <w:sz w:val="24"/>
          <w:szCs w:val="24"/>
          <w:u w:val="single"/>
          <w:lang w:val="en-US" w:eastAsia="zh-CN" w:bidi="ar-SA"/>
        </w:rPr>
        <w:t>后续构筑物对</w:t>
      </w:r>
      <w:r>
        <w:rPr>
          <w:rFonts w:hint="default" w:ascii="Times New Roman" w:hAnsi="Times New Roman" w:eastAsia="宋体" w:cs="Times New Roman"/>
          <w:b w:val="0"/>
          <w:bCs/>
          <w:kern w:val="2"/>
          <w:sz w:val="24"/>
          <w:szCs w:val="24"/>
          <w:u w:val="single"/>
          <w:lang w:val="en-US" w:eastAsia="zh-CN" w:bidi="ar-SA"/>
        </w:rPr>
        <w:t>废水</w:t>
      </w:r>
      <w:r>
        <w:rPr>
          <w:rFonts w:hint="eastAsia" w:ascii="Times New Roman" w:hAnsi="Times New Roman" w:eastAsia="宋体" w:cs="Times New Roman"/>
          <w:b w:val="0"/>
          <w:bCs/>
          <w:kern w:val="2"/>
          <w:sz w:val="24"/>
          <w:szCs w:val="24"/>
          <w:u w:val="single"/>
          <w:lang w:val="en-US" w:eastAsia="zh-CN" w:bidi="ar-SA"/>
        </w:rPr>
        <w:t>的稳定处理和达标</w:t>
      </w:r>
      <w:r>
        <w:rPr>
          <w:rFonts w:hint="default" w:ascii="Times New Roman" w:hAnsi="Times New Roman" w:eastAsia="宋体" w:cs="Times New Roman"/>
          <w:b w:val="0"/>
          <w:bCs/>
          <w:kern w:val="2"/>
          <w:sz w:val="24"/>
          <w:szCs w:val="24"/>
          <w:u w:val="single"/>
          <w:lang w:val="en-US" w:eastAsia="zh-CN" w:bidi="ar-SA"/>
        </w:rPr>
        <w:t>排放</w:t>
      </w:r>
      <w:r>
        <w:rPr>
          <w:rFonts w:hint="eastAsia" w:ascii="Times New Roman" w:hAnsi="Times New Roman" w:eastAsia="宋体" w:cs="Times New Roman"/>
          <w:b w:val="0"/>
          <w:bCs/>
          <w:kern w:val="2"/>
          <w:sz w:val="24"/>
          <w:szCs w:val="24"/>
          <w:u w:val="single"/>
          <w:lang w:val="en-US" w:eastAsia="zh-CN" w:bidi="ar-SA"/>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b w:val="0"/>
          <w:bCs/>
          <w:kern w:val="2"/>
          <w:sz w:val="24"/>
          <w:szCs w:val="24"/>
          <w:u w:val="single"/>
          <w:lang w:val="en-US" w:eastAsia="zh-CN" w:bidi="ar-SA"/>
        </w:rPr>
      </w:pPr>
      <w:r>
        <w:rPr>
          <w:rFonts w:hint="default" w:ascii="Times New Roman" w:hAnsi="Times New Roman" w:eastAsia="宋体" w:cs="Times New Roman"/>
          <w:b w:val="0"/>
          <w:bCs/>
          <w:kern w:val="2"/>
          <w:sz w:val="24"/>
          <w:szCs w:val="24"/>
          <w:u w:val="single"/>
          <w:lang w:val="en-US" w:eastAsia="zh-CN" w:bidi="ar-SA"/>
        </w:rPr>
        <w:t>该套污水处理系统建设有</w:t>
      </w:r>
      <w:r>
        <w:rPr>
          <w:rFonts w:hint="eastAsia" w:ascii="Times New Roman" w:hAnsi="Times New Roman" w:eastAsia="宋体" w:cs="Times New Roman"/>
          <w:b w:val="0"/>
          <w:bCs/>
          <w:kern w:val="2"/>
          <w:sz w:val="24"/>
          <w:szCs w:val="24"/>
          <w:u w:val="single"/>
          <w:lang w:val="en-US" w:eastAsia="zh-CN" w:bidi="ar-SA"/>
        </w:rPr>
        <w:t>专门的</w:t>
      </w:r>
      <w:r>
        <w:rPr>
          <w:rFonts w:hint="default" w:ascii="Times New Roman" w:hAnsi="Times New Roman" w:eastAsia="宋体" w:cs="Times New Roman"/>
          <w:b w:val="0"/>
          <w:bCs/>
          <w:kern w:val="2"/>
          <w:sz w:val="24"/>
          <w:szCs w:val="24"/>
          <w:u w:val="single"/>
          <w:lang w:val="en-US" w:eastAsia="zh-CN" w:bidi="ar-SA"/>
        </w:rPr>
        <w:t>事故池</w:t>
      </w:r>
      <w:r>
        <w:rPr>
          <w:rFonts w:hint="eastAsia" w:ascii="Times New Roman" w:hAnsi="Times New Roman" w:eastAsia="宋体" w:cs="Times New Roman"/>
          <w:b w:val="0"/>
          <w:bCs/>
          <w:kern w:val="2"/>
          <w:sz w:val="24"/>
          <w:szCs w:val="24"/>
          <w:u w:val="single"/>
          <w:lang w:val="en-US" w:eastAsia="zh-CN" w:bidi="ar-SA"/>
        </w:rPr>
        <w:t>（100</w:t>
      </w:r>
      <w:r>
        <w:rPr>
          <w:rFonts w:hint="eastAsia" w:ascii="Times New Roman" w:hAnsi="Times New Roman" w:eastAsia="宋体" w:cs="Times New Roman"/>
          <w:b w:val="0"/>
          <w:bCs/>
          <w:kern w:val="2"/>
          <w:sz w:val="24"/>
          <w:szCs w:val="24"/>
          <w:highlight w:val="none"/>
          <w:u w:val="single"/>
          <w:lang w:val="en-US" w:eastAsia="zh-CN" w:bidi="ar-SA"/>
        </w:rPr>
        <w:t>m</w:t>
      </w:r>
      <w:r>
        <w:rPr>
          <w:rFonts w:hint="eastAsia" w:ascii="Times New Roman" w:hAnsi="Times New Roman" w:eastAsia="宋体" w:cs="Times New Roman"/>
          <w:b w:val="0"/>
          <w:bCs/>
          <w:kern w:val="2"/>
          <w:sz w:val="24"/>
          <w:szCs w:val="24"/>
          <w:highlight w:val="none"/>
          <w:u w:val="single"/>
          <w:vertAlign w:val="superscript"/>
          <w:lang w:val="en-US" w:eastAsia="zh-CN" w:bidi="ar-SA"/>
        </w:rPr>
        <w:t>3</w:t>
      </w:r>
      <w:r>
        <w:rPr>
          <w:rFonts w:hint="eastAsia" w:ascii="Times New Roman" w:hAnsi="Times New Roman" w:eastAsia="宋体" w:cs="Times New Roman"/>
          <w:b w:val="0"/>
          <w:bCs/>
          <w:kern w:val="2"/>
          <w:sz w:val="24"/>
          <w:szCs w:val="24"/>
          <w:u w:val="single"/>
          <w:lang w:val="en-US" w:eastAsia="zh-CN" w:bidi="ar-SA"/>
        </w:rPr>
        <w:t>）</w:t>
      </w:r>
      <w:r>
        <w:rPr>
          <w:rFonts w:hint="default" w:ascii="Times New Roman" w:hAnsi="Times New Roman" w:eastAsia="宋体" w:cs="Times New Roman"/>
          <w:b w:val="0"/>
          <w:bCs/>
          <w:kern w:val="2"/>
          <w:sz w:val="24"/>
          <w:szCs w:val="24"/>
          <w:u w:val="single"/>
          <w:lang w:val="en-US" w:eastAsia="zh-CN" w:bidi="ar-SA"/>
        </w:rPr>
        <w:t>，当污水处理设施出现故障或者进行日常维修时，可以将废水暂存于</w:t>
      </w:r>
      <w:r>
        <w:rPr>
          <w:rFonts w:hint="eastAsia" w:ascii="Times New Roman" w:hAnsi="Times New Roman" w:eastAsia="宋体" w:cs="Times New Roman"/>
          <w:b w:val="0"/>
          <w:bCs/>
          <w:kern w:val="2"/>
          <w:sz w:val="24"/>
          <w:szCs w:val="24"/>
          <w:u w:val="single"/>
          <w:lang w:val="en-US" w:eastAsia="zh-CN" w:bidi="ar-SA"/>
        </w:rPr>
        <w:t>事故</w:t>
      </w:r>
      <w:r>
        <w:rPr>
          <w:rFonts w:hint="default" w:ascii="Times New Roman" w:hAnsi="Times New Roman" w:eastAsia="宋体" w:cs="Times New Roman"/>
          <w:b w:val="0"/>
          <w:bCs/>
          <w:kern w:val="2"/>
          <w:sz w:val="24"/>
          <w:szCs w:val="24"/>
          <w:u w:val="single"/>
          <w:lang w:val="en-US" w:eastAsia="zh-CN" w:bidi="ar-SA"/>
        </w:rPr>
        <w:t>池内，同时在污水处理设施恢复正常工作之前，企业不得进行生产，以从根本上保证厂区废水不会出现外排。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b w:val="0"/>
          <w:bCs/>
          <w:kern w:val="2"/>
          <w:sz w:val="24"/>
          <w:szCs w:val="24"/>
          <w:u w:val="single"/>
          <w:lang w:val="en-US" w:eastAsia="zh-CN" w:bidi="ar-SA"/>
        </w:rPr>
      </w:pPr>
      <w:r>
        <w:rPr>
          <w:rFonts w:hint="default" w:ascii="Times New Roman" w:hAnsi="Times New Roman" w:eastAsia="宋体" w:cs="Times New Roman"/>
          <w:b w:val="0"/>
          <w:bCs/>
          <w:kern w:val="2"/>
          <w:sz w:val="24"/>
          <w:szCs w:val="24"/>
          <w:u w:val="single"/>
          <w:lang w:val="en-US" w:eastAsia="zh-CN" w:bidi="ar-SA"/>
        </w:rPr>
        <w:t>b、废水暂存池（清水池）</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b w:val="0"/>
          <w:bCs/>
          <w:kern w:val="2"/>
          <w:sz w:val="24"/>
          <w:szCs w:val="24"/>
          <w:u w:val="single"/>
          <w:lang w:val="en-US" w:eastAsia="zh-CN" w:bidi="ar-SA"/>
        </w:rPr>
      </w:pPr>
      <w:r>
        <w:rPr>
          <w:rFonts w:hint="eastAsia" w:ascii="Times New Roman" w:hAnsi="Times New Roman" w:eastAsia="宋体" w:cs="Times New Roman"/>
          <w:b w:val="0"/>
          <w:bCs/>
          <w:kern w:val="2"/>
          <w:sz w:val="24"/>
          <w:szCs w:val="24"/>
          <w:u w:val="single"/>
          <w:lang w:val="en-US" w:eastAsia="zh-CN" w:bidi="ar-SA"/>
        </w:rPr>
        <w:t>厂区污水处理站配套</w:t>
      </w:r>
      <w:r>
        <w:rPr>
          <w:rFonts w:hint="default" w:ascii="Times New Roman" w:hAnsi="Times New Roman" w:eastAsia="宋体" w:cs="Times New Roman"/>
          <w:b w:val="0"/>
          <w:bCs/>
          <w:kern w:val="2"/>
          <w:sz w:val="24"/>
          <w:szCs w:val="24"/>
          <w:u w:val="single"/>
          <w:lang w:val="en-US" w:eastAsia="zh-CN" w:bidi="ar-SA"/>
        </w:rPr>
        <w:t>建设</w:t>
      </w:r>
      <w:r>
        <w:rPr>
          <w:rFonts w:hint="eastAsia" w:ascii="Times New Roman" w:hAnsi="Times New Roman" w:eastAsia="宋体" w:cs="Times New Roman"/>
          <w:b w:val="0"/>
          <w:bCs/>
          <w:kern w:val="2"/>
          <w:sz w:val="24"/>
          <w:szCs w:val="24"/>
          <w:u w:val="single"/>
          <w:lang w:val="en-US" w:eastAsia="zh-CN" w:bidi="ar-SA"/>
        </w:rPr>
        <w:t>有</w:t>
      </w:r>
      <w:r>
        <w:rPr>
          <w:rFonts w:hint="default" w:ascii="Times New Roman" w:hAnsi="Times New Roman" w:eastAsia="宋体" w:cs="Times New Roman"/>
          <w:b w:val="0"/>
          <w:bCs/>
          <w:kern w:val="2"/>
          <w:sz w:val="24"/>
          <w:szCs w:val="24"/>
          <w:u w:val="single"/>
          <w:lang w:val="en-US" w:eastAsia="zh-CN" w:bidi="ar-SA"/>
        </w:rPr>
        <w:t>废水暂存池</w:t>
      </w:r>
      <w:r>
        <w:rPr>
          <w:rFonts w:hint="eastAsia" w:ascii="Times New Roman" w:hAnsi="Times New Roman" w:eastAsia="宋体" w:cs="Times New Roman"/>
          <w:b w:val="0"/>
          <w:bCs/>
          <w:kern w:val="2"/>
          <w:sz w:val="24"/>
          <w:szCs w:val="24"/>
          <w:u w:val="single"/>
          <w:lang w:val="en-US" w:eastAsia="zh-CN" w:bidi="ar-SA"/>
        </w:rPr>
        <w:t>，即</w:t>
      </w:r>
      <w:r>
        <w:rPr>
          <w:rFonts w:hint="default" w:ascii="Times New Roman" w:hAnsi="Times New Roman" w:eastAsia="宋体" w:cs="Times New Roman"/>
          <w:b w:val="0"/>
          <w:bCs/>
          <w:kern w:val="2"/>
          <w:sz w:val="24"/>
          <w:szCs w:val="24"/>
          <w:highlight w:val="none"/>
          <w:u w:val="single"/>
          <w:lang w:val="en-US" w:eastAsia="zh-CN" w:bidi="ar-SA"/>
        </w:rPr>
        <w:t>清水池（</w:t>
      </w:r>
      <w:r>
        <w:rPr>
          <w:rFonts w:hint="eastAsia" w:ascii="Times New Roman" w:hAnsi="Times New Roman" w:eastAsia="宋体" w:cs="Times New Roman"/>
          <w:b w:val="0"/>
          <w:bCs/>
          <w:kern w:val="2"/>
          <w:sz w:val="24"/>
          <w:szCs w:val="24"/>
          <w:highlight w:val="none"/>
          <w:u w:val="single"/>
          <w:lang w:val="en-US" w:eastAsia="zh-CN" w:bidi="ar-SA"/>
        </w:rPr>
        <w:t>120m</w:t>
      </w:r>
      <w:r>
        <w:rPr>
          <w:rFonts w:hint="eastAsia" w:ascii="Times New Roman" w:hAnsi="Times New Roman" w:eastAsia="宋体" w:cs="Times New Roman"/>
          <w:b w:val="0"/>
          <w:bCs/>
          <w:kern w:val="2"/>
          <w:sz w:val="24"/>
          <w:szCs w:val="24"/>
          <w:highlight w:val="none"/>
          <w:u w:val="single"/>
          <w:vertAlign w:val="superscript"/>
          <w:lang w:val="en-US" w:eastAsia="zh-CN" w:bidi="ar-SA"/>
        </w:rPr>
        <w:t>3</w:t>
      </w:r>
      <w:r>
        <w:rPr>
          <w:rFonts w:hint="default" w:ascii="Times New Roman" w:hAnsi="Times New Roman" w:eastAsia="宋体" w:cs="Times New Roman"/>
          <w:b w:val="0"/>
          <w:bCs/>
          <w:kern w:val="2"/>
          <w:sz w:val="24"/>
          <w:szCs w:val="24"/>
          <w:highlight w:val="none"/>
          <w:u w:val="single"/>
          <w:lang w:val="en-US" w:eastAsia="zh-CN" w:bidi="ar-SA"/>
        </w:rPr>
        <w:t>）</w:t>
      </w:r>
      <w:r>
        <w:rPr>
          <w:rFonts w:hint="default" w:ascii="Times New Roman" w:hAnsi="Times New Roman" w:eastAsia="宋体" w:cs="Times New Roman"/>
          <w:b w:val="0"/>
          <w:bCs/>
          <w:kern w:val="2"/>
          <w:sz w:val="24"/>
          <w:szCs w:val="24"/>
          <w:u w:val="single"/>
          <w:lang w:val="en-US" w:eastAsia="zh-CN" w:bidi="ar-SA"/>
        </w:rPr>
        <w:t>，用</w:t>
      </w:r>
      <w:r>
        <w:rPr>
          <w:rFonts w:hint="eastAsia" w:ascii="Times New Roman" w:hAnsi="Times New Roman" w:eastAsia="宋体" w:cs="Times New Roman"/>
          <w:b w:val="0"/>
          <w:bCs/>
          <w:kern w:val="2"/>
          <w:sz w:val="24"/>
          <w:szCs w:val="24"/>
          <w:u w:val="single"/>
          <w:lang w:val="en-US" w:eastAsia="zh-CN" w:bidi="ar-SA"/>
        </w:rPr>
        <w:t>于在正常运行状态下暂存处理达标后的</w:t>
      </w:r>
      <w:r>
        <w:rPr>
          <w:rFonts w:hint="default" w:ascii="Times New Roman" w:hAnsi="Times New Roman" w:eastAsia="宋体" w:cs="Times New Roman"/>
          <w:b w:val="0"/>
          <w:bCs/>
          <w:kern w:val="2"/>
          <w:sz w:val="24"/>
          <w:szCs w:val="24"/>
          <w:u w:val="single"/>
          <w:lang w:val="en-US" w:eastAsia="zh-CN" w:bidi="ar-SA"/>
        </w:rPr>
        <w:t>废水。</w:t>
      </w:r>
    </w:p>
    <w:p>
      <w:pPr>
        <w:keepNext w:val="0"/>
        <w:keepLines w:val="0"/>
        <w:pageBreakBefore w:val="0"/>
        <w:widowControl w:val="0"/>
        <w:kinsoku/>
        <w:wordWrap/>
        <w:overflowPunct/>
        <w:topLinePunct w:val="0"/>
        <w:autoSpaceDE/>
        <w:autoSpaceDN/>
        <w:bidi w:val="0"/>
        <w:adjustRightInd/>
        <w:snapToGrid/>
        <w:spacing w:line="360" w:lineRule="auto"/>
        <w:ind w:firstLine="508" w:firstLineChars="212"/>
        <w:jc w:val="both"/>
        <w:textAlignment w:val="auto"/>
        <w:rPr>
          <w:rFonts w:ascii="Times New Roman" w:hAnsi="Times New Roman" w:cs="Times New Roman" w:eastAsiaTheme="minorEastAsia"/>
          <w:snapToGrid/>
          <w:kern w:val="2"/>
          <w:sz w:val="24"/>
          <w:szCs w:val="24"/>
          <w:u w:val="single"/>
          <w:lang w:eastAsia="zh-CN"/>
        </w:rPr>
      </w:pPr>
      <w:r>
        <w:rPr>
          <w:rFonts w:hint="eastAsia" w:ascii="宋体" w:hAnsi="宋体" w:eastAsia="宋体" w:cs="Times New Roman"/>
          <w:snapToGrid/>
          <w:kern w:val="2"/>
          <w:sz w:val="24"/>
          <w:szCs w:val="24"/>
          <w:u w:val="single"/>
          <w:lang w:eastAsia="zh-CN"/>
        </w:rPr>
        <w:t>④</w:t>
      </w:r>
      <w:r>
        <w:rPr>
          <w:rFonts w:hint="eastAsia" w:ascii="Times New Roman" w:hAnsi="Times New Roman" w:cs="Times New Roman" w:eastAsiaTheme="minorEastAsia"/>
          <w:snapToGrid/>
          <w:kern w:val="2"/>
          <w:sz w:val="24"/>
          <w:szCs w:val="24"/>
          <w:u w:val="single"/>
          <w:lang w:eastAsia="zh-CN"/>
        </w:rPr>
        <w:t xml:space="preserve"> </w:t>
      </w:r>
      <w:r>
        <w:rPr>
          <w:rFonts w:ascii="Times New Roman" w:cs="Times New Roman" w:hAnsiTheme="minorEastAsia" w:eastAsiaTheme="minorEastAsia"/>
          <w:snapToGrid/>
          <w:kern w:val="2"/>
          <w:sz w:val="24"/>
          <w:szCs w:val="24"/>
          <w:u w:val="single"/>
          <w:lang w:eastAsia="zh-CN"/>
        </w:rPr>
        <w:t>防渗漏措施</w:t>
      </w:r>
    </w:p>
    <w:p>
      <w:pPr>
        <w:keepNext w:val="0"/>
        <w:keepLines w:val="0"/>
        <w:pageBreakBefore w:val="0"/>
        <w:widowControl w:val="0"/>
        <w:kinsoku/>
        <w:wordWrap/>
        <w:overflowPunct/>
        <w:topLinePunct w:val="0"/>
        <w:autoSpaceDE/>
        <w:autoSpaceDN/>
        <w:bidi w:val="0"/>
        <w:adjustRightInd/>
        <w:snapToGrid/>
        <w:spacing w:line="360" w:lineRule="auto"/>
        <w:ind w:firstLine="508" w:firstLineChars="212"/>
        <w:jc w:val="both"/>
        <w:textAlignment w:val="auto"/>
        <w:rPr>
          <w:rFonts w:hint="default" w:ascii="Times New Roman" w:hAnsi="Times New Roman" w:eastAsia="宋体" w:cs="Times New Roman"/>
          <w:b w:val="0"/>
          <w:bCs/>
          <w:snapToGrid/>
          <w:kern w:val="2"/>
          <w:sz w:val="24"/>
          <w:szCs w:val="24"/>
          <w:u w:val="single"/>
          <w:lang w:eastAsia="zh-CN"/>
        </w:rPr>
      </w:pPr>
      <w:r>
        <w:rPr>
          <w:rFonts w:hint="default" w:ascii="Times New Roman" w:hAnsi="Times New Roman" w:eastAsia="宋体" w:cs="Times New Roman"/>
          <w:b w:val="0"/>
          <w:bCs/>
          <w:snapToGrid/>
          <w:kern w:val="2"/>
          <w:sz w:val="24"/>
          <w:szCs w:val="24"/>
          <w:u w:val="single"/>
          <w:lang w:eastAsia="zh-CN"/>
        </w:rPr>
        <w:t>a、车间内污水收集沟渠及污水处理系统的防渗措施</w:t>
      </w:r>
    </w:p>
    <w:p>
      <w:pPr>
        <w:keepNext w:val="0"/>
        <w:keepLines w:val="0"/>
        <w:pageBreakBefore w:val="0"/>
        <w:widowControl w:val="0"/>
        <w:kinsoku/>
        <w:wordWrap/>
        <w:overflowPunct/>
        <w:topLinePunct w:val="0"/>
        <w:autoSpaceDE/>
        <w:autoSpaceDN/>
        <w:bidi w:val="0"/>
        <w:adjustRightInd/>
        <w:snapToGrid/>
        <w:spacing w:line="360" w:lineRule="auto"/>
        <w:ind w:firstLine="508" w:firstLineChars="212"/>
        <w:jc w:val="both"/>
        <w:textAlignment w:val="auto"/>
        <w:rPr>
          <w:rFonts w:hint="default" w:ascii="Times New Roman" w:hAnsi="Times New Roman" w:eastAsia="宋体" w:cs="Times New Roman"/>
          <w:b w:val="0"/>
          <w:bCs/>
          <w:snapToGrid/>
          <w:kern w:val="2"/>
          <w:sz w:val="24"/>
          <w:szCs w:val="24"/>
          <w:u w:val="single"/>
          <w:lang w:eastAsia="zh-CN"/>
        </w:rPr>
      </w:pPr>
      <w:r>
        <w:rPr>
          <w:rFonts w:hint="default" w:ascii="Times New Roman" w:hAnsi="Times New Roman" w:eastAsia="宋体" w:cs="Times New Roman"/>
          <w:b w:val="0"/>
          <w:bCs/>
          <w:snapToGrid/>
          <w:kern w:val="2"/>
          <w:sz w:val="24"/>
          <w:szCs w:val="24"/>
          <w:u w:val="single"/>
          <w:lang w:eastAsia="zh-CN"/>
        </w:rPr>
        <w:t>本项目屠宰车间内地面、污水收集沟渠以及污水处理系统占地的底部均全部采用水泥硬化，硬化水泥层厚度不低于1cm，确保渗透系数满足1×10</w:t>
      </w:r>
      <w:r>
        <w:rPr>
          <w:rFonts w:hint="default" w:ascii="Times New Roman" w:hAnsi="Times New Roman" w:eastAsia="宋体" w:cs="Times New Roman"/>
          <w:b w:val="0"/>
          <w:bCs/>
          <w:snapToGrid/>
          <w:kern w:val="2"/>
          <w:sz w:val="24"/>
          <w:szCs w:val="24"/>
          <w:u w:val="single"/>
          <w:vertAlign w:val="superscript"/>
          <w:lang w:eastAsia="zh-CN"/>
        </w:rPr>
        <w:t>-9</w:t>
      </w:r>
      <w:r>
        <w:rPr>
          <w:rFonts w:hint="default" w:ascii="Times New Roman" w:hAnsi="Times New Roman" w:eastAsia="宋体" w:cs="Times New Roman"/>
          <w:b w:val="0"/>
          <w:bCs/>
          <w:snapToGrid/>
          <w:kern w:val="2"/>
          <w:sz w:val="24"/>
          <w:szCs w:val="24"/>
          <w:u w:val="single"/>
          <w:lang w:eastAsia="zh-CN"/>
        </w:rPr>
        <w:t>～1×10</w:t>
      </w:r>
      <w:r>
        <w:rPr>
          <w:rFonts w:hint="default" w:ascii="Times New Roman" w:hAnsi="Times New Roman" w:eastAsia="宋体" w:cs="Times New Roman"/>
          <w:b w:val="0"/>
          <w:bCs/>
          <w:snapToGrid/>
          <w:kern w:val="2"/>
          <w:sz w:val="24"/>
          <w:szCs w:val="24"/>
          <w:u w:val="single"/>
          <w:vertAlign w:val="superscript"/>
          <w:lang w:eastAsia="zh-CN"/>
        </w:rPr>
        <w:t>-11</w:t>
      </w:r>
      <w:r>
        <w:rPr>
          <w:rFonts w:hint="default" w:ascii="Times New Roman" w:hAnsi="Times New Roman" w:eastAsia="宋体" w:cs="Times New Roman"/>
          <w:b w:val="0"/>
          <w:bCs/>
          <w:snapToGrid/>
          <w:kern w:val="2"/>
          <w:sz w:val="24"/>
          <w:szCs w:val="24"/>
          <w:u w:val="single"/>
          <w:lang w:eastAsia="zh-CN"/>
        </w:rPr>
        <w:t>cm/s的要求。同时，在生产运行过程中，企业须安排专职环保工作人员负责对车间内污水收集沟渠及污水处理系统的防渗情况进行周期性排查，确保废水不会出现渗漏。</w:t>
      </w:r>
    </w:p>
    <w:p>
      <w:pPr>
        <w:keepNext w:val="0"/>
        <w:keepLines w:val="0"/>
        <w:pageBreakBefore w:val="0"/>
        <w:widowControl w:val="0"/>
        <w:kinsoku/>
        <w:wordWrap/>
        <w:overflowPunct/>
        <w:topLinePunct w:val="0"/>
        <w:autoSpaceDE/>
        <w:autoSpaceDN/>
        <w:bidi w:val="0"/>
        <w:adjustRightInd/>
        <w:snapToGrid/>
        <w:spacing w:line="360" w:lineRule="auto"/>
        <w:ind w:firstLine="508" w:firstLineChars="212"/>
        <w:jc w:val="both"/>
        <w:textAlignment w:val="auto"/>
        <w:rPr>
          <w:rFonts w:hint="eastAsia" w:ascii="Times New Roman" w:hAnsi="Times New Roman" w:eastAsia="宋体" w:cs="Times New Roman"/>
          <w:b w:val="0"/>
          <w:bCs/>
          <w:snapToGrid/>
          <w:kern w:val="2"/>
          <w:sz w:val="24"/>
          <w:szCs w:val="24"/>
          <w:u w:val="single"/>
          <w:lang w:eastAsia="zh-CN"/>
        </w:rPr>
      </w:pPr>
      <w:r>
        <w:rPr>
          <w:rFonts w:hint="default" w:ascii="Times New Roman" w:hAnsi="Times New Roman" w:eastAsia="宋体" w:cs="Times New Roman"/>
          <w:b w:val="0"/>
          <w:bCs/>
          <w:snapToGrid/>
          <w:kern w:val="2"/>
          <w:sz w:val="24"/>
          <w:szCs w:val="24"/>
          <w:u w:val="single"/>
          <w:lang w:eastAsia="zh-CN"/>
        </w:rPr>
        <w:t>b、</w:t>
      </w:r>
      <w:r>
        <w:rPr>
          <w:rFonts w:hint="eastAsia" w:ascii="Times New Roman" w:hAnsi="Times New Roman" w:eastAsia="宋体" w:cs="Times New Roman"/>
          <w:b w:val="0"/>
          <w:bCs/>
          <w:snapToGrid/>
          <w:kern w:val="2"/>
          <w:sz w:val="24"/>
          <w:szCs w:val="24"/>
          <w:u w:val="single"/>
          <w:lang w:eastAsia="zh-CN"/>
        </w:rPr>
        <w:t>废水处理站</w:t>
      </w:r>
    </w:p>
    <w:p>
      <w:pPr>
        <w:keepNext w:val="0"/>
        <w:keepLines w:val="0"/>
        <w:pageBreakBefore w:val="0"/>
        <w:widowControl w:val="0"/>
        <w:kinsoku/>
        <w:wordWrap/>
        <w:overflowPunct/>
        <w:topLinePunct w:val="0"/>
        <w:autoSpaceDE/>
        <w:autoSpaceDN/>
        <w:bidi w:val="0"/>
        <w:adjustRightInd/>
        <w:snapToGrid/>
        <w:spacing w:line="360" w:lineRule="auto"/>
        <w:ind w:firstLine="508" w:firstLineChars="212"/>
        <w:jc w:val="both"/>
        <w:textAlignment w:val="auto"/>
        <w:rPr>
          <w:rFonts w:hint="default" w:ascii="Times New Roman" w:hAnsi="Times New Roman" w:eastAsia="宋体" w:cs="Times New Roman"/>
          <w:b w:val="0"/>
          <w:bCs/>
          <w:snapToGrid/>
          <w:kern w:val="2"/>
          <w:sz w:val="24"/>
          <w:szCs w:val="24"/>
          <w:u w:val="single"/>
          <w:lang w:eastAsia="zh-CN"/>
        </w:rPr>
      </w:pPr>
      <w:r>
        <w:rPr>
          <w:rFonts w:hint="default" w:ascii="Times New Roman" w:hAnsi="Times New Roman" w:eastAsia="宋体" w:cs="Times New Roman"/>
          <w:b w:val="0"/>
          <w:bCs/>
          <w:snapToGrid/>
          <w:kern w:val="2"/>
          <w:sz w:val="24"/>
          <w:szCs w:val="24"/>
          <w:u w:val="single"/>
          <w:lang w:eastAsia="zh-CN"/>
        </w:rPr>
        <w:t>环评要求企业对</w:t>
      </w:r>
      <w:r>
        <w:rPr>
          <w:rFonts w:hint="eastAsia" w:ascii="Times New Roman" w:hAnsi="Times New Roman" w:eastAsia="宋体" w:cs="Times New Roman"/>
          <w:b w:val="0"/>
          <w:bCs/>
          <w:snapToGrid/>
          <w:kern w:val="2"/>
          <w:sz w:val="24"/>
          <w:szCs w:val="24"/>
          <w:u w:val="single"/>
          <w:lang w:eastAsia="zh-CN"/>
        </w:rPr>
        <w:t>废水处理站的调节池、反应池、</w:t>
      </w:r>
      <w:r>
        <w:rPr>
          <w:rFonts w:hint="default" w:ascii="Times New Roman" w:hAnsi="Times New Roman" w:eastAsia="宋体" w:cs="Times New Roman"/>
          <w:b w:val="0"/>
          <w:bCs/>
          <w:snapToGrid/>
          <w:kern w:val="2"/>
          <w:sz w:val="24"/>
          <w:szCs w:val="24"/>
          <w:u w:val="single"/>
          <w:lang w:eastAsia="zh-CN"/>
        </w:rPr>
        <w:t>暂存池</w:t>
      </w:r>
      <w:r>
        <w:rPr>
          <w:rFonts w:hint="eastAsia" w:ascii="Times New Roman" w:hAnsi="Times New Roman" w:eastAsia="宋体" w:cs="Times New Roman"/>
          <w:b w:val="0"/>
          <w:bCs/>
          <w:snapToGrid/>
          <w:kern w:val="2"/>
          <w:sz w:val="24"/>
          <w:szCs w:val="24"/>
          <w:u w:val="single"/>
          <w:lang w:eastAsia="zh-CN"/>
        </w:rPr>
        <w:t>等</w:t>
      </w:r>
      <w:r>
        <w:rPr>
          <w:rFonts w:hint="default" w:ascii="Times New Roman" w:hAnsi="Times New Roman" w:eastAsia="宋体" w:cs="Times New Roman"/>
          <w:b w:val="0"/>
          <w:bCs/>
          <w:snapToGrid/>
          <w:kern w:val="2"/>
          <w:sz w:val="24"/>
          <w:szCs w:val="24"/>
          <w:u w:val="single"/>
          <w:lang w:eastAsia="zh-CN"/>
        </w:rPr>
        <w:t>底部及四周做好防水、防渗、防泄漏等三防措施，底部防渗材料应使用防渗性能好的高密度聚乙烯材料（HDPE）—防渗土工膜，该材料具有普通防水材料无法比拟的防渗效果，高强抗拉伸机械性，它优良的弹性和变形能力使其非常适用于膨胀或收缩基面，可有效克服基面的不均匀防渗膜沉降，具有化学稳定性、耐老化性能、抗植物根系、高机械强度、环保无毒性等优点，广泛应用于各类防渗构筑物中。</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b w:val="0"/>
          <w:bCs/>
          <w:kern w:val="2"/>
          <w:sz w:val="24"/>
          <w:szCs w:val="24"/>
          <w:u w:val="single"/>
          <w:lang w:val="en-US" w:eastAsia="zh-CN" w:bidi="ar-SA"/>
        </w:rPr>
      </w:pPr>
      <w:r>
        <w:rPr>
          <w:rFonts w:hint="default" w:ascii="Times New Roman" w:hAnsi="Times New Roman" w:eastAsia="宋体" w:cs="Times New Roman"/>
          <w:b w:val="0"/>
          <w:bCs/>
          <w:kern w:val="2"/>
          <w:sz w:val="24"/>
          <w:szCs w:val="24"/>
          <w:u w:val="single"/>
          <w:lang w:val="en-US" w:eastAsia="zh-CN" w:bidi="ar-SA"/>
        </w:rPr>
        <w:t>暂存池周围应建设围堰及排雨水沟渠，防止下雨时雨水汇入，同时暂存池顶应建设遮盖挡板，最大程度避免雨水的进入暂存池。</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b w:val="0"/>
          <w:bCs w:val="0"/>
          <w:sz w:val="28"/>
          <w:szCs w:val="28"/>
          <w:u w:val="none" w:color="auto"/>
        </w:rPr>
      </w:pPr>
      <w:bookmarkStart w:id="438" w:name="bookmark112"/>
      <w:bookmarkEnd w:id="438"/>
      <w:r>
        <w:rPr>
          <w:rFonts w:ascii="Times New Roman" w:hAnsi="Times New Roman" w:eastAsia="Times New Roman" w:cs="Times New Roman"/>
          <w:b w:val="0"/>
          <w:bCs w:val="0"/>
          <w:sz w:val="28"/>
          <w:szCs w:val="28"/>
          <w:u w:val="none" w:color="auto"/>
        </w:rPr>
        <w:t>6.2.3</w:t>
      </w:r>
      <w:r>
        <w:rPr>
          <w:rFonts w:ascii="楷体" w:hAnsi="楷体" w:eastAsia="楷体" w:cs="楷体"/>
          <w:b w:val="0"/>
          <w:bCs w:val="0"/>
          <w:sz w:val="28"/>
          <w:szCs w:val="28"/>
          <w:u w:val="none" w:color="auto"/>
          <w14:textOutline w14:w="5103" w14:cap="sq" w14:cmpd="sng">
            <w14:solidFill>
              <w14:srgbClr w14:val="000000"/>
            </w14:solidFill>
            <w14:prstDash w14:val="solid"/>
            <w14:bevel/>
          </w14:textOutline>
        </w:rPr>
        <w:t>营运期地下水污染防治措施分析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由于项目运营期间无废水直接外排至地表水体，因此，正常情况下不会污染地表水和地下水。鉴于工程生产及排污特点，为了防止本项目的建设对区域地下水产生不利影响，评价根据“源头控制、分区防控、污染监控、应急响应”的总体原则对地下水提出防治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eastAsia="宋体" w:cs="Times New Roman"/>
          <w:b/>
          <w:bCs/>
          <w:sz w:val="24"/>
          <w:szCs w:val="24"/>
          <w:lang w:val="en-US" w:eastAsia="zh-CN"/>
        </w:rPr>
        <w:t>6.2.3.</w:t>
      </w:r>
      <w:r>
        <w:rPr>
          <w:rFonts w:hint="default" w:ascii="Times New Roman" w:hAnsi="Times New Roman" w:cs="Times New Roman"/>
          <w:b/>
          <w:bCs/>
          <w:sz w:val="24"/>
          <w:szCs w:val="24"/>
        </w:rPr>
        <w:t>1源头控制措施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为了保护地下水环境，采取措施从源头上控制对地下水的污染；从设计、管理中防止和减少污染物料的跑、冒、滴、漏而采取的各种措施，主要措施包括工艺、管道、设备、土建、给排水、总图布置等防止污染物泄漏的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屠宰车间、污水站、临时堆粪场、危废暂存间等需设置防渗漏的地基，从而防止土壤和地下水环境污染。输送管道等区域铺设防渗漏地基。</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运行期严格管理，加强巡检，及时发现污染物泄漏；一旦出现泄漏及时处理，检查检修设备，将污染物泄漏的环境风险事故降到最低。</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eastAsia="宋体" w:cs="Times New Roman"/>
          <w:b/>
          <w:bCs/>
          <w:sz w:val="24"/>
          <w:szCs w:val="24"/>
          <w:lang w:val="en-US" w:eastAsia="zh-CN"/>
        </w:rPr>
        <w:t>6.2.3.</w:t>
      </w:r>
      <w:r>
        <w:rPr>
          <w:rFonts w:hint="default" w:ascii="Times New Roman" w:hAnsi="Times New Roman" w:cs="Times New Roman"/>
          <w:b/>
          <w:bCs/>
          <w:sz w:val="24"/>
          <w:szCs w:val="24"/>
        </w:rPr>
        <w:t>2分区防控措施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参照《环境影响评价技术导则 地下水环境》（HJ610-2016）中要求的分区防控措施的要求，给出厂区内不同区域的具体防渗技术要求。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（1）分区防控依据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根据建设项目场地天然包气带防污性能、污染控制难易程度和污染物特性，参照下表作为分区防控的依据。</w:t>
      </w:r>
    </w:p>
    <w:p>
      <w:pPr>
        <w:keepNext w:val="0"/>
        <w:keepLines w:val="0"/>
        <w:pageBreakBefore w:val="0"/>
        <w:widowControl/>
        <w:kinsoku w:val="0"/>
        <w:wordWrap/>
        <w:overflowPunct/>
        <w:topLinePunct w:val="0"/>
        <w:autoSpaceDE w:val="0"/>
        <w:autoSpaceDN w:val="0"/>
        <w:bidi w:val="0"/>
        <w:adjustRightInd w:val="0"/>
        <w:snapToGrid w:val="0"/>
        <w:spacing w:line="221" w:lineRule="auto"/>
        <w:ind w:left="2251"/>
        <w:textAlignment w:val="baseline"/>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6-</w:t>
      </w:r>
      <w:r>
        <w:rPr>
          <w:rFonts w:hint="eastAsia" w:ascii="Times New Roman" w:hAnsi="Times New Roman" w:eastAsia="宋体" w:cs="Times New Roman"/>
          <w:b/>
          <w:bCs/>
          <w:sz w:val="24"/>
          <w:szCs w:val="24"/>
          <w:u w:val="none" w:color="auto"/>
          <w:lang w:val="en-US" w:eastAsia="zh-CN"/>
        </w:rPr>
        <w:t>9</w:t>
      </w:r>
      <w:r>
        <w:rPr>
          <w:rFonts w:ascii="Times New Roman" w:hAnsi="Times New Roman" w:eastAsia="Times New Roman" w:cs="Times New Roman"/>
          <w:b/>
          <w:bCs/>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污染控制难易程度</w:t>
      </w: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分级参照表</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273"/>
        <w:gridCol w:w="3945"/>
        <w:gridCol w:w="373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1273" w:type="dxa"/>
            <w:tcBorders>
              <w:tl2br w:val="nil"/>
              <w:tr2bl w:val="nil"/>
            </w:tcBorders>
            <w:vAlign w:val="center"/>
          </w:tcPr>
          <w:p>
            <w:pPr>
              <w:jc w:val="center"/>
              <w:rPr>
                <w:sz w:val="20"/>
                <w:szCs w:val="20"/>
              </w:rPr>
            </w:pPr>
            <w:r>
              <w:rPr>
                <w:sz w:val="20"/>
                <w:szCs w:val="20"/>
              </w:rPr>
              <w:t>污染控制难易程度</w:t>
            </w:r>
          </w:p>
        </w:tc>
        <w:tc>
          <w:tcPr>
            <w:tcW w:w="3945" w:type="dxa"/>
            <w:tcBorders>
              <w:tl2br w:val="nil"/>
              <w:tr2bl w:val="nil"/>
            </w:tcBorders>
            <w:vAlign w:val="center"/>
          </w:tcPr>
          <w:p>
            <w:pPr>
              <w:jc w:val="center"/>
              <w:rPr>
                <w:sz w:val="20"/>
                <w:szCs w:val="20"/>
              </w:rPr>
            </w:pPr>
            <w:r>
              <w:rPr>
                <w:sz w:val="20"/>
                <w:szCs w:val="20"/>
              </w:rPr>
              <w:t>主要特征</w:t>
            </w:r>
          </w:p>
        </w:tc>
        <w:tc>
          <w:tcPr>
            <w:tcW w:w="3732" w:type="dxa"/>
            <w:tcBorders>
              <w:tl2br w:val="nil"/>
              <w:tr2bl w:val="nil"/>
            </w:tcBorders>
            <w:shd w:val="clear" w:color="auto" w:fill="BFBFBF"/>
            <w:vAlign w:val="center"/>
          </w:tcPr>
          <w:p>
            <w:pPr>
              <w:jc w:val="center"/>
              <w:rPr>
                <w:sz w:val="20"/>
                <w:szCs w:val="20"/>
              </w:rPr>
            </w:pPr>
            <w:r>
              <w:rPr>
                <w:sz w:val="20"/>
                <w:szCs w:val="20"/>
              </w:rPr>
              <w:t>本项目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1273" w:type="dxa"/>
            <w:tcBorders>
              <w:tl2br w:val="nil"/>
              <w:tr2bl w:val="nil"/>
            </w:tcBorders>
            <w:vAlign w:val="center"/>
          </w:tcPr>
          <w:p>
            <w:pPr>
              <w:jc w:val="center"/>
              <w:rPr>
                <w:sz w:val="20"/>
                <w:szCs w:val="20"/>
              </w:rPr>
            </w:pPr>
            <w:r>
              <w:rPr>
                <w:sz w:val="20"/>
                <w:szCs w:val="20"/>
              </w:rPr>
              <w:t>难</w:t>
            </w:r>
          </w:p>
        </w:tc>
        <w:tc>
          <w:tcPr>
            <w:tcW w:w="3945" w:type="dxa"/>
            <w:tcBorders>
              <w:tl2br w:val="nil"/>
              <w:tr2bl w:val="nil"/>
            </w:tcBorders>
            <w:vAlign w:val="center"/>
          </w:tcPr>
          <w:p>
            <w:pPr>
              <w:jc w:val="center"/>
              <w:rPr>
                <w:sz w:val="20"/>
                <w:szCs w:val="20"/>
              </w:rPr>
            </w:pPr>
            <w:r>
              <w:rPr>
                <w:sz w:val="20"/>
                <w:szCs w:val="20"/>
              </w:rPr>
              <w:t>对地下水环境有污染的物料或污染物泄漏后，不能及时发现和处理</w:t>
            </w:r>
          </w:p>
        </w:tc>
        <w:tc>
          <w:tcPr>
            <w:tcW w:w="3732" w:type="dxa"/>
            <w:tcBorders>
              <w:tl2br w:val="nil"/>
              <w:tr2bl w:val="nil"/>
            </w:tcBorders>
            <w:shd w:val="clear" w:color="auto" w:fill="BFBFBF"/>
            <w:vAlign w:val="center"/>
          </w:tcPr>
          <w:p>
            <w:pPr>
              <w:jc w:val="center"/>
              <w:rPr>
                <w:sz w:val="20"/>
                <w:szCs w:val="20"/>
              </w:rPr>
            </w:pPr>
            <w:r>
              <w:rPr>
                <w:sz w:val="20"/>
                <w:szCs w:val="20"/>
              </w:rPr>
              <w:t>污水处理站</w:t>
            </w:r>
            <w:r>
              <w:rPr>
                <w:rFonts w:hint="eastAsia" w:eastAsia="宋体"/>
                <w:sz w:val="20"/>
                <w:szCs w:val="20"/>
                <w:lang w:eastAsia="zh-CN"/>
              </w:rPr>
              <w:t>及收集管网</w:t>
            </w:r>
            <w:r>
              <w:rPr>
                <w:sz w:val="20"/>
                <w:szCs w:val="20"/>
              </w:rPr>
              <w:t>、危废暂存间</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2" w:hRule="atLeast"/>
        </w:trPr>
        <w:tc>
          <w:tcPr>
            <w:tcW w:w="1273" w:type="dxa"/>
            <w:tcBorders>
              <w:tl2br w:val="nil"/>
              <w:tr2bl w:val="nil"/>
            </w:tcBorders>
            <w:vAlign w:val="center"/>
          </w:tcPr>
          <w:p>
            <w:pPr>
              <w:jc w:val="center"/>
              <w:rPr>
                <w:sz w:val="20"/>
                <w:szCs w:val="20"/>
              </w:rPr>
            </w:pPr>
            <w:r>
              <w:rPr>
                <w:sz w:val="20"/>
                <w:szCs w:val="20"/>
              </w:rPr>
              <w:t>易</w:t>
            </w:r>
          </w:p>
        </w:tc>
        <w:tc>
          <w:tcPr>
            <w:tcW w:w="3945" w:type="dxa"/>
            <w:tcBorders>
              <w:tl2br w:val="nil"/>
              <w:tr2bl w:val="nil"/>
            </w:tcBorders>
            <w:vAlign w:val="center"/>
          </w:tcPr>
          <w:p>
            <w:pPr>
              <w:jc w:val="center"/>
              <w:rPr>
                <w:sz w:val="20"/>
                <w:szCs w:val="20"/>
              </w:rPr>
            </w:pPr>
            <w:r>
              <w:rPr>
                <w:sz w:val="20"/>
                <w:szCs w:val="20"/>
              </w:rPr>
              <w:t>对地下水环境有污染的物料和污染物泄漏后，可及时发现和处理</w:t>
            </w:r>
          </w:p>
        </w:tc>
        <w:tc>
          <w:tcPr>
            <w:tcW w:w="3732" w:type="dxa"/>
            <w:tcBorders>
              <w:tl2br w:val="nil"/>
              <w:tr2bl w:val="nil"/>
            </w:tcBorders>
            <w:shd w:val="clear" w:color="auto" w:fill="BFBFBF"/>
            <w:vAlign w:val="center"/>
          </w:tcPr>
          <w:p>
            <w:pPr>
              <w:jc w:val="center"/>
              <w:rPr>
                <w:rFonts w:hint="eastAsia" w:eastAsia="宋体"/>
                <w:sz w:val="20"/>
                <w:szCs w:val="20"/>
                <w:lang w:eastAsia="zh-CN"/>
              </w:rPr>
            </w:pPr>
            <w:r>
              <w:rPr>
                <w:sz w:val="20"/>
                <w:szCs w:val="20"/>
              </w:rPr>
              <w:t>待宰区、屠宰车间</w:t>
            </w:r>
            <w:r>
              <w:rPr>
                <w:rFonts w:hint="eastAsia" w:eastAsia="宋体"/>
                <w:sz w:val="20"/>
                <w:szCs w:val="20"/>
                <w:lang w:eastAsia="zh-CN"/>
              </w:rPr>
              <w:t>及污水收集管网</w:t>
            </w:r>
          </w:p>
        </w:tc>
      </w:tr>
    </w:tbl>
    <w:p>
      <w:pPr>
        <w:spacing w:before="130" w:line="219" w:lineRule="auto"/>
        <w:ind w:left="2008"/>
        <w:rPr>
          <w:u w:val="none" w:color="auto"/>
        </w:rPr>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6-</w:t>
      </w:r>
      <w:r>
        <w:rPr>
          <w:rFonts w:hint="eastAsia" w:ascii="Times New Roman" w:hAnsi="Times New Roman" w:eastAsia="宋体" w:cs="Times New Roman"/>
          <w:b/>
          <w:bCs/>
          <w:sz w:val="24"/>
          <w:szCs w:val="24"/>
          <w:u w:val="none" w:color="auto"/>
          <w:lang w:val="en-US" w:eastAsia="zh-CN"/>
        </w:rPr>
        <w:t>10</w:t>
      </w:r>
      <w:r>
        <w:rPr>
          <w:rFonts w:ascii="Times New Roman" w:hAnsi="Times New Roman" w:eastAsia="Times New Roman" w:cs="Times New Roman"/>
          <w:b/>
          <w:bCs/>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天然包气带防污性能</w:t>
      </w: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分级参照表</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6333"/>
        <w:gridCol w:w="1829"/>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78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分级</w:t>
            </w:r>
          </w:p>
        </w:tc>
        <w:tc>
          <w:tcPr>
            <w:tcW w:w="633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包气带岩土的渗透性能</w:t>
            </w:r>
          </w:p>
        </w:tc>
        <w:tc>
          <w:tcPr>
            <w:tcW w:w="182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本项目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78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u w:val="none" w:color="auto"/>
              </w:rPr>
              <w:t>强</w:t>
            </w:r>
          </w:p>
        </w:tc>
        <w:tc>
          <w:tcPr>
            <w:tcW w:w="633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岩（土）层单层厚度</w:t>
            </w:r>
            <w:r>
              <w:rPr>
                <w:rFonts w:ascii="Times New Roman" w:hAnsi="Times New Roman" w:eastAsia="Times New Roman" w:cs="Times New Roman"/>
                <w:b w:val="0"/>
                <w:bCs w:val="0"/>
                <w:u w:val="none" w:color="auto"/>
              </w:rPr>
              <w:t>Mb</w:t>
            </w:r>
            <w:r>
              <w:rPr>
                <w:rFonts w:ascii="Times New Roman" w:hAnsi="Times New Roman" w:eastAsia="Times New Roman" w:cs="Times New Roman"/>
                <w:b w:val="0"/>
                <w:bCs w:val="0"/>
                <w:spacing w:val="4"/>
                <w:u w:val="none" w:color="auto"/>
              </w:rPr>
              <w:t>≥1.0m</w:t>
            </w:r>
            <w:r>
              <w:rPr>
                <w:b w:val="0"/>
                <w:bCs w:val="0"/>
                <w:spacing w:val="4"/>
                <w:u w:val="none" w:color="auto"/>
              </w:rPr>
              <w:t>，渗透系数</w:t>
            </w:r>
            <w:r>
              <w:rPr>
                <w:rFonts w:ascii="Times New Roman" w:hAnsi="Times New Roman" w:eastAsia="Times New Roman" w:cs="Times New Roman"/>
                <w:b w:val="0"/>
                <w:bCs w:val="0"/>
                <w:spacing w:val="4"/>
                <w:u w:val="none" w:color="auto"/>
              </w:rPr>
              <w:t>K≤1×10</w:t>
            </w:r>
            <w:r>
              <w:rPr>
                <w:rFonts w:ascii="Times New Roman" w:hAnsi="Times New Roman" w:eastAsia="Times New Roman" w:cs="Times New Roman"/>
                <w:b w:val="0"/>
                <w:bCs w:val="0"/>
                <w:spacing w:val="4"/>
                <w:position w:val="6"/>
                <w:sz w:val="13"/>
                <w:szCs w:val="13"/>
                <w:u w:val="none" w:color="auto"/>
              </w:rPr>
              <w:t>-6</w:t>
            </w:r>
            <w:r>
              <w:rPr>
                <w:rFonts w:ascii="Times New Roman" w:hAnsi="Times New Roman" w:eastAsia="Times New Roman" w:cs="Times New Roman"/>
                <w:b w:val="0"/>
                <w:bCs w:val="0"/>
                <w:u w:val="none" w:color="auto"/>
              </w:rPr>
              <w:t>cm</w:t>
            </w:r>
            <w:r>
              <w:rPr>
                <w:rFonts w:ascii="Times New Roman" w:hAnsi="Times New Roman" w:eastAsia="Times New Roman" w:cs="Times New Roman"/>
                <w:b w:val="0"/>
                <w:bCs w:val="0"/>
                <w:spacing w:val="4"/>
                <w:u w:val="none" w:color="auto"/>
              </w:rPr>
              <w:t>/s</w:t>
            </w:r>
            <w:r>
              <w:rPr>
                <w:b w:val="0"/>
                <w:bCs w:val="0"/>
                <w:spacing w:val="4"/>
                <w:u w:val="none" w:color="auto"/>
              </w:rPr>
              <w:t>，且分布连</w:t>
            </w:r>
            <w:r>
              <w:rPr>
                <w:b w:val="0"/>
                <w:bCs w:val="0"/>
                <w:spacing w:val="7"/>
                <w:u w:val="none" w:color="auto"/>
              </w:rPr>
              <w:t>续、稳定</w:t>
            </w:r>
          </w:p>
        </w:tc>
        <w:tc>
          <w:tcPr>
            <w:tcW w:w="182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2"/>
                <w:sz w:val="20"/>
                <w:szCs w:val="20"/>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111" w:hRule="atLeast"/>
        </w:trPr>
        <w:tc>
          <w:tcPr>
            <w:tcW w:w="78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u w:val="none" w:color="auto"/>
              </w:rPr>
              <w:t>中</w:t>
            </w:r>
          </w:p>
        </w:tc>
        <w:tc>
          <w:tcPr>
            <w:tcW w:w="633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u w:val="none" w:color="auto"/>
              </w:rPr>
              <w:t>岩（土）层单层厚度</w:t>
            </w:r>
            <w:r>
              <w:rPr>
                <w:rFonts w:ascii="Times New Roman" w:hAnsi="Times New Roman" w:eastAsia="Times New Roman" w:cs="Times New Roman"/>
                <w:b w:val="0"/>
                <w:bCs w:val="0"/>
                <w:spacing w:val="6"/>
                <w:u w:val="none" w:color="auto"/>
              </w:rPr>
              <w:t>0.5m≤</w:t>
            </w:r>
            <w:r>
              <w:rPr>
                <w:rFonts w:ascii="Times New Roman" w:hAnsi="Times New Roman" w:eastAsia="Times New Roman" w:cs="Times New Roman"/>
                <w:b w:val="0"/>
                <w:bCs w:val="0"/>
                <w:u w:val="none" w:color="auto"/>
              </w:rPr>
              <w:t>Mb</w:t>
            </w:r>
            <w:r>
              <w:rPr>
                <w:b w:val="0"/>
                <w:bCs w:val="0"/>
                <w:spacing w:val="6"/>
                <w:u w:val="none" w:color="auto"/>
              </w:rPr>
              <w:t>＜</w:t>
            </w:r>
            <w:r>
              <w:rPr>
                <w:rFonts w:ascii="Times New Roman" w:hAnsi="Times New Roman" w:eastAsia="Times New Roman" w:cs="Times New Roman"/>
                <w:b w:val="0"/>
                <w:bCs w:val="0"/>
                <w:spacing w:val="6"/>
                <w:u w:val="none" w:color="auto"/>
              </w:rPr>
              <w:t>1.0m</w:t>
            </w:r>
            <w:r>
              <w:rPr>
                <w:b w:val="0"/>
                <w:bCs w:val="0"/>
                <w:spacing w:val="6"/>
                <w:u w:val="none" w:color="auto"/>
              </w:rPr>
              <w:t>，渗透系数</w:t>
            </w:r>
            <w:r>
              <w:rPr>
                <w:rFonts w:ascii="Times New Roman" w:hAnsi="Times New Roman" w:eastAsia="Times New Roman" w:cs="Times New Roman"/>
                <w:b w:val="0"/>
                <w:bCs w:val="0"/>
                <w:spacing w:val="6"/>
                <w:u w:val="none" w:color="auto"/>
              </w:rPr>
              <w:t>K≤1×10</w:t>
            </w:r>
            <w:r>
              <w:rPr>
                <w:rFonts w:ascii="Times New Roman" w:hAnsi="Times New Roman" w:eastAsia="Times New Roman" w:cs="Times New Roman"/>
                <w:b w:val="0"/>
                <w:bCs w:val="0"/>
                <w:spacing w:val="6"/>
                <w:position w:val="6"/>
                <w:sz w:val="13"/>
                <w:szCs w:val="13"/>
                <w:u w:val="none" w:color="auto"/>
              </w:rPr>
              <w:t>-6</w:t>
            </w:r>
            <w:r>
              <w:rPr>
                <w:rFonts w:ascii="Times New Roman" w:hAnsi="Times New Roman" w:eastAsia="Times New Roman" w:cs="Times New Roman"/>
                <w:b w:val="0"/>
                <w:bCs w:val="0"/>
                <w:u w:val="none" w:color="auto"/>
              </w:rPr>
              <w:t>cm</w:t>
            </w:r>
            <w:r>
              <w:rPr>
                <w:rFonts w:ascii="Times New Roman" w:hAnsi="Times New Roman" w:eastAsia="Times New Roman" w:cs="Times New Roman"/>
                <w:b w:val="0"/>
                <w:bCs w:val="0"/>
                <w:spacing w:val="6"/>
                <w:u w:val="none" w:color="auto"/>
              </w:rPr>
              <w:t>/s</w:t>
            </w:r>
            <w:r>
              <w:rPr>
                <w:b w:val="0"/>
                <w:bCs w:val="0"/>
                <w:spacing w:val="6"/>
                <w:u w:val="none" w:color="auto"/>
              </w:rPr>
              <w:t>，</w:t>
            </w:r>
            <w:r>
              <w:rPr>
                <w:b w:val="0"/>
                <w:bCs w:val="0"/>
                <w:spacing w:val="11"/>
                <w:u w:val="none" w:color="auto"/>
              </w:rPr>
              <w:t>且分布连续、稳定。</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
                <w:u w:val="none" w:color="auto"/>
              </w:rPr>
              <w:t>岩（土）层单层厚度</w:t>
            </w:r>
            <w:r>
              <w:rPr>
                <w:rFonts w:ascii="Times New Roman" w:hAnsi="Times New Roman" w:eastAsia="Times New Roman" w:cs="Times New Roman"/>
                <w:b w:val="0"/>
                <w:bCs w:val="0"/>
                <w:spacing w:val="-1"/>
                <w:u w:val="none" w:color="auto"/>
              </w:rPr>
              <w:t>Mb≥1.0m</w:t>
            </w:r>
            <w:r>
              <w:rPr>
                <w:b w:val="0"/>
                <w:bCs w:val="0"/>
                <w:spacing w:val="-1"/>
                <w:u w:val="none" w:color="auto"/>
              </w:rPr>
              <w:t>，渗透系数</w:t>
            </w:r>
            <w:r>
              <w:rPr>
                <w:rFonts w:ascii="Times New Roman" w:hAnsi="Times New Roman" w:eastAsia="Times New Roman" w:cs="Times New Roman"/>
                <w:b w:val="0"/>
                <w:bCs w:val="0"/>
                <w:spacing w:val="-1"/>
                <w:u w:val="none" w:color="auto"/>
              </w:rPr>
              <w:t>1×10</w:t>
            </w:r>
            <w:r>
              <w:rPr>
                <w:rFonts w:ascii="Times New Roman" w:hAnsi="Times New Roman" w:eastAsia="Times New Roman" w:cs="Times New Roman"/>
                <w:b w:val="0"/>
                <w:bCs w:val="0"/>
                <w:spacing w:val="-1"/>
                <w:position w:val="6"/>
                <w:sz w:val="13"/>
                <w:szCs w:val="13"/>
                <w:u w:val="none" w:color="auto"/>
              </w:rPr>
              <w:t>-6</w:t>
            </w:r>
            <w:r>
              <w:rPr>
                <w:rFonts w:ascii="Times New Roman" w:hAnsi="Times New Roman" w:eastAsia="Times New Roman" w:cs="Times New Roman"/>
                <w:b w:val="0"/>
                <w:bCs w:val="0"/>
                <w:spacing w:val="-1"/>
                <w:u w:val="none" w:color="auto"/>
              </w:rPr>
              <w:t>cm/s</w:t>
            </w:r>
            <w:r>
              <w:rPr>
                <w:b w:val="0"/>
                <w:bCs w:val="0"/>
                <w:spacing w:val="-1"/>
                <w:u w:val="none" w:color="auto"/>
              </w:rPr>
              <w:t>＜</w:t>
            </w:r>
            <w:r>
              <w:rPr>
                <w:rFonts w:ascii="Times New Roman" w:hAnsi="Times New Roman" w:eastAsia="Times New Roman" w:cs="Times New Roman"/>
                <w:b w:val="0"/>
                <w:bCs w:val="0"/>
                <w:spacing w:val="-1"/>
                <w:u w:val="none" w:color="auto"/>
              </w:rPr>
              <w:t>K≤1×10</w:t>
            </w:r>
            <w:r>
              <w:rPr>
                <w:rFonts w:ascii="Times New Roman" w:hAnsi="Times New Roman" w:eastAsia="Times New Roman" w:cs="Times New Roman"/>
                <w:b w:val="0"/>
                <w:bCs w:val="0"/>
                <w:spacing w:val="-1"/>
                <w:position w:val="6"/>
                <w:sz w:val="13"/>
                <w:szCs w:val="13"/>
                <w:u w:val="none" w:color="auto"/>
              </w:rPr>
              <w:t>-4</w:t>
            </w:r>
            <w:r>
              <w:rPr>
                <w:rFonts w:ascii="Times New Roman" w:hAnsi="Times New Roman" w:eastAsia="Times New Roman" w:cs="Times New Roman"/>
                <w:b w:val="0"/>
                <w:bCs w:val="0"/>
                <w:spacing w:val="-1"/>
                <w:u w:val="none" w:color="auto"/>
              </w:rPr>
              <w:t>cm/s</w:t>
            </w:r>
            <w:r>
              <w:rPr>
                <w:b w:val="0"/>
                <w:bCs w:val="0"/>
                <w:spacing w:val="-1"/>
                <w:u w:val="none" w:color="auto"/>
              </w:rPr>
              <w:t>，</w:t>
            </w:r>
            <w:r>
              <w:rPr>
                <w:b w:val="0"/>
                <w:bCs w:val="0"/>
                <w:spacing w:val="9"/>
                <w:u w:val="none" w:color="auto"/>
              </w:rPr>
              <w:t>且分布连续、稳定</w:t>
            </w:r>
          </w:p>
        </w:tc>
        <w:tc>
          <w:tcPr>
            <w:tcW w:w="182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黏土厚度</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4"/>
                <w:u w:val="none" w:color="auto"/>
              </w:rPr>
              <w:t>20-30m</w:t>
            </w:r>
            <w:r>
              <w:rPr>
                <w:b w:val="0"/>
                <w:bCs w:val="0"/>
                <w:spacing w:val="4"/>
                <w:u w:val="none" w:color="auto"/>
              </w:rPr>
              <w:t>，黏土渗</w:t>
            </w:r>
            <w:r>
              <w:rPr>
                <w:b w:val="0"/>
                <w:bCs w:val="0"/>
                <w:spacing w:val="7"/>
                <w:u w:val="none" w:color="auto"/>
              </w:rPr>
              <w:t>透系数</w:t>
            </w:r>
            <w:r>
              <w:rPr>
                <w:rFonts w:ascii="Times New Roman" w:hAnsi="Times New Roman" w:eastAsia="Times New Roman" w:cs="Times New Roman"/>
                <w:b w:val="0"/>
                <w:bCs w:val="0"/>
                <w:spacing w:val="3"/>
                <w:sz w:val="20"/>
                <w:szCs w:val="20"/>
                <w:u w:val="none" w:color="auto"/>
              </w:rPr>
              <w:t>1.2×10</w:t>
            </w:r>
            <w:r>
              <w:rPr>
                <w:rFonts w:ascii="Times New Roman" w:hAnsi="Times New Roman" w:eastAsia="Times New Roman" w:cs="Times New Roman"/>
                <w:b w:val="0"/>
                <w:bCs w:val="0"/>
                <w:spacing w:val="3"/>
                <w:position w:val="6"/>
                <w:sz w:val="13"/>
                <w:szCs w:val="13"/>
                <w:u w:val="none" w:color="auto"/>
              </w:rPr>
              <w:t>-6</w:t>
            </w:r>
            <w:r>
              <w:rPr>
                <w:rFonts w:ascii="Times New Roman" w:hAnsi="Times New Roman" w:eastAsia="Times New Roman" w:cs="Times New Roman"/>
                <w:b w:val="0"/>
                <w:bCs w:val="0"/>
                <w:sz w:val="20"/>
                <w:szCs w:val="20"/>
                <w:u w:val="none" w:color="auto"/>
              </w:rPr>
              <w:t>cm</w:t>
            </w:r>
            <w:r>
              <w:rPr>
                <w:rFonts w:ascii="Times New Roman" w:hAnsi="Times New Roman" w:eastAsia="Times New Roman" w:cs="Times New Roman"/>
                <w:b w:val="0"/>
                <w:bCs w:val="0"/>
                <w:spacing w:val="3"/>
                <w:sz w:val="20"/>
                <w:szCs w:val="20"/>
                <w:u w:val="none" w:color="auto"/>
              </w:rPr>
              <w:t>/s</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07" w:hRule="atLeast"/>
        </w:trPr>
        <w:tc>
          <w:tcPr>
            <w:tcW w:w="788"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u w:val="none" w:color="auto"/>
              </w:rPr>
              <w:t>弱</w:t>
            </w:r>
          </w:p>
        </w:tc>
        <w:tc>
          <w:tcPr>
            <w:tcW w:w="633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岩（土）层不满足上述“强</w:t>
            </w:r>
            <w:r>
              <w:rPr>
                <w:b w:val="0"/>
                <w:bCs w:val="0"/>
                <w:spacing w:val="-61"/>
                <w:u w:val="none" w:color="auto"/>
              </w:rPr>
              <w:t xml:space="preserve"> </w:t>
            </w:r>
            <w:r>
              <w:rPr>
                <w:b w:val="0"/>
                <w:bCs w:val="0"/>
                <w:spacing w:val="5"/>
                <w:u w:val="none" w:color="auto"/>
              </w:rPr>
              <w:t>”和“</w:t>
            </w:r>
            <w:r>
              <w:rPr>
                <w:b w:val="0"/>
                <w:bCs w:val="0"/>
                <w:spacing w:val="-70"/>
                <w:u w:val="none" w:color="auto"/>
              </w:rPr>
              <w:t xml:space="preserve"> </w:t>
            </w:r>
            <w:r>
              <w:rPr>
                <w:b w:val="0"/>
                <w:bCs w:val="0"/>
                <w:spacing w:val="5"/>
                <w:u w:val="none" w:color="auto"/>
              </w:rPr>
              <w:t>中</w:t>
            </w:r>
            <w:r>
              <w:rPr>
                <w:b w:val="0"/>
                <w:bCs w:val="0"/>
                <w:spacing w:val="-70"/>
                <w:u w:val="none" w:color="auto"/>
              </w:rPr>
              <w:t xml:space="preserve"> </w:t>
            </w:r>
            <w:r>
              <w:rPr>
                <w:b w:val="0"/>
                <w:bCs w:val="0"/>
                <w:spacing w:val="5"/>
                <w:u w:val="none" w:color="auto"/>
              </w:rPr>
              <w:t>”条件</w:t>
            </w:r>
          </w:p>
        </w:tc>
        <w:tc>
          <w:tcPr>
            <w:tcW w:w="182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2"/>
                <w:sz w:val="20"/>
                <w:szCs w:val="20"/>
                <w:u w:val="none" w:color="auto"/>
              </w:rPr>
              <w:t>/</w:t>
            </w:r>
          </w:p>
        </w:tc>
      </w:tr>
    </w:tbl>
    <w:p>
      <w:pPr>
        <w:spacing w:before="130" w:line="219" w:lineRule="auto"/>
        <w:ind w:left="2255"/>
      </w:pP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u w:val="none" w:color="auto"/>
        </w:rPr>
        <w:t>6-</w:t>
      </w:r>
      <w:r>
        <w:rPr>
          <w:rFonts w:hint="eastAsia" w:ascii="Times New Roman" w:hAnsi="Times New Roman" w:eastAsia="宋体" w:cs="Times New Roman"/>
          <w:b/>
          <w:bCs/>
          <w:spacing w:val="-1"/>
          <w:sz w:val="24"/>
          <w:szCs w:val="24"/>
          <w:u w:val="none" w:color="auto"/>
          <w:lang w:val="en-US" w:eastAsia="zh-CN"/>
        </w:rPr>
        <w:t>11</w:t>
      </w:r>
      <w:r>
        <w:rPr>
          <w:rFonts w:ascii="Times New Roman" w:hAnsi="Times New Roman" w:eastAsia="Times New Roman" w:cs="Times New Roman"/>
          <w:b/>
          <w:bCs/>
          <w:spacing w:val="-1"/>
          <w:sz w:val="24"/>
          <w:szCs w:val="24"/>
          <w:u w:val="none" w:color="auto"/>
        </w:rPr>
        <w:t xml:space="preserve">              </w:t>
      </w: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地下水污染防渗分区参照表</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386"/>
        <w:gridCol w:w="1735"/>
        <w:gridCol w:w="1679"/>
        <w:gridCol w:w="2014"/>
        <w:gridCol w:w="213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633" w:hRule="atLeast"/>
        </w:trPr>
        <w:tc>
          <w:tcPr>
            <w:tcW w:w="1386" w:type="dxa"/>
            <w:tcBorders>
              <w:tl2br w:val="nil"/>
              <w:tr2bl w:val="nil"/>
            </w:tcBorders>
            <w:vAlign w:val="top"/>
          </w:tcPr>
          <w:p>
            <w:pPr>
              <w:pStyle w:val="25"/>
              <w:spacing w:before="212" w:line="228" w:lineRule="auto"/>
              <w:ind w:left="290"/>
              <w:rPr>
                <w:b w:val="0"/>
                <w:bCs w:val="0"/>
                <w:u w:val="none" w:color="auto"/>
              </w:rPr>
            </w:pPr>
            <w:r>
              <w:rPr>
                <w:b w:val="0"/>
                <w:bCs w:val="0"/>
                <w:spacing w:val="5"/>
                <w:u w:val="none" w:color="auto"/>
              </w:rPr>
              <w:t>防渗分区</w:t>
            </w:r>
          </w:p>
        </w:tc>
        <w:tc>
          <w:tcPr>
            <w:tcW w:w="1735" w:type="dxa"/>
            <w:tcBorders>
              <w:tl2br w:val="nil"/>
              <w:tr2bl w:val="nil"/>
            </w:tcBorders>
            <w:vAlign w:val="top"/>
          </w:tcPr>
          <w:p>
            <w:pPr>
              <w:pStyle w:val="25"/>
              <w:spacing w:before="54" w:line="259" w:lineRule="auto"/>
              <w:ind w:left="661" w:right="129" w:hanging="523"/>
              <w:rPr>
                <w:b w:val="0"/>
                <w:bCs w:val="0"/>
                <w:u w:val="none" w:color="auto"/>
              </w:rPr>
            </w:pPr>
            <w:r>
              <w:rPr>
                <w:b w:val="0"/>
                <w:bCs w:val="0"/>
                <w:spacing w:val="8"/>
                <w:u w:val="none" w:color="auto"/>
              </w:rPr>
              <w:t>天然包气带防污</w:t>
            </w:r>
            <w:r>
              <w:rPr>
                <w:b w:val="0"/>
                <w:bCs w:val="0"/>
                <w:spacing w:val="4"/>
                <w:u w:val="none" w:color="auto"/>
              </w:rPr>
              <w:t xml:space="preserve"> 性能</w:t>
            </w:r>
          </w:p>
        </w:tc>
        <w:tc>
          <w:tcPr>
            <w:tcW w:w="1679" w:type="dxa"/>
            <w:tcBorders>
              <w:tl2br w:val="nil"/>
              <w:tr2bl w:val="nil"/>
            </w:tcBorders>
            <w:vAlign w:val="top"/>
          </w:tcPr>
          <w:p>
            <w:pPr>
              <w:pStyle w:val="25"/>
              <w:spacing w:before="56" w:line="258" w:lineRule="auto"/>
              <w:ind w:left="632" w:right="207" w:hanging="419"/>
              <w:rPr>
                <w:b w:val="0"/>
                <w:bCs w:val="0"/>
                <w:u w:val="none" w:color="auto"/>
              </w:rPr>
            </w:pPr>
            <w:r>
              <w:rPr>
                <w:b w:val="0"/>
                <w:bCs w:val="0"/>
                <w:spacing w:val="8"/>
                <w:u w:val="none" w:color="auto"/>
              </w:rPr>
              <w:t>污染控制难易</w:t>
            </w:r>
            <w:r>
              <w:rPr>
                <w:b w:val="0"/>
                <w:bCs w:val="0"/>
                <w:spacing w:val="3"/>
                <w:u w:val="none" w:color="auto"/>
              </w:rPr>
              <w:t xml:space="preserve"> </w:t>
            </w:r>
            <w:r>
              <w:rPr>
                <w:b w:val="0"/>
                <w:bCs w:val="0"/>
                <w:spacing w:val="6"/>
                <w:u w:val="none" w:color="auto"/>
              </w:rPr>
              <w:t>程度</w:t>
            </w:r>
          </w:p>
        </w:tc>
        <w:tc>
          <w:tcPr>
            <w:tcW w:w="2014" w:type="dxa"/>
            <w:tcBorders>
              <w:tl2br w:val="nil"/>
              <w:tr2bl w:val="nil"/>
            </w:tcBorders>
            <w:vAlign w:val="top"/>
          </w:tcPr>
          <w:p>
            <w:pPr>
              <w:pStyle w:val="25"/>
              <w:spacing w:before="211" w:line="228" w:lineRule="auto"/>
              <w:ind w:left="488"/>
              <w:rPr>
                <w:b w:val="0"/>
                <w:bCs w:val="0"/>
                <w:u w:val="none" w:color="auto"/>
              </w:rPr>
            </w:pPr>
            <w:r>
              <w:rPr>
                <w:b w:val="0"/>
                <w:bCs w:val="0"/>
                <w:spacing w:val="8"/>
                <w:u w:val="none" w:color="auto"/>
              </w:rPr>
              <w:t>污染物类型</w:t>
            </w:r>
          </w:p>
        </w:tc>
        <w:tc>
          <w:tcPr>
            <w:tcW w:w="2136" w:type="dxa"/>
            <w:tcBorders>
              <w:tl2br w:val="nil"/>
              <w:tr2bl w:val="nil"/>
            </w:tcBorders>
            <w:vAlign w:val="top"/>
          </w:tcPr>
          <w:p>
            <w:pPr>
              <w:pStyle w:val="25"/>
              <w:spacing w:before="211" w:line="228" w:lineRule="auto"/>
              <w:ind w:left="453"/>
              <w:rPr>
                <w:b w:val="0"/>
                <w:bCs w:val="0"/>
                <w:u w:val="none" w:color="auto"/>
              </w:rPr>
            </w:pPr>
            <w:r>
              <w:rPr>
                <w:b w:val="0"/>
                <w:bCs w:val="0"/>
                <w:spacing w:val="6"/>
                <w:u w:val="none" w:color="auto"/>
              </w:rPr>
              <w:t>防渗技术要求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316" w:hRule="atLeast"/>
        </w:trPr>
        <w:tc>
          <w:tcPr>
            <w:tcW w:w="1386" w:type="dxa"/>
            <w:vMerge w:val="restart"/>
            <w:tcBorders>
              <w:tl2br w:val="nil"/>
              <w:tr2bl w:val="nil"/>
            </w:tcBorders>
            <w:vAlign w:val="top"/>
          </w:tcPr>
          <w:p>
            <w:pPr>
              <w:spacing w:line="451" w:lineRule="auto"/>
              <w:rPr>
                <w:rFonts w:ascii="Arial"/>
                <w:b w:val="0"/>
                <w:bCs w:val="0"/>
                <w:sz w:val="21"/>
                <w:u w:val="none" w:color="auto"/>
              </w:rPr>
            </w:pPr>
          </w:p>
          <w:p>
            <w:pPr>
              <w:pStyle w:val="25"/>
              <w:spacing w:before="65" w:line="228" w:lineRule="auto"/>
              <w:ind w:left="172"/>
              <w:rPr>
                <w:b w:val="0"/>
                <w:bCs w:val="0"/>
                <w:u w:val="none" w:color="auto"/>
              </w:rPr>
            </w:pPr>
            <w:r>
              <w:rPr>
                <w:b w:val="0"/>
                <w:bCs w:val="0"/>
                <w:spacing w:val="8"/>
                <w:u w:val="none" w:color="auto"/>
              </w:rPr>
              <w:t>重点防渗区</w:t>
            </w:r>
          </w:p>
        </w:tc>
        <w:tc>
          <w:tcPr>
            <w:tcW w:w="1735" w:type="dxa"/>
            <w:tcBorders>
              <w:tl2br w:val="nil"/>
              <w:tr2bl w:val="nil"/>
            </w:tcBorders>
            <w:vAlign w:val="top"/>
          </w:tcPr>
          <w:p>
            <w:pPr>
              <w:pStyle w:val="25"/>
              <w:spacing w:before="51" w:line="229" w:lineRule="auto"/>
              <w:ind w:left="769"/>
              <w:rPr>
                <w:b w:val="0"/>
                <w:bCs w:val="0"/>
                <w:u w:val="none" w:color="auto"/>
              </w:rPr>
            </w:pPr>
            <w:r>
              <w:rPr>
                <w:b w:val="0"/>
                <w:bCs w:val="0"/>
                <w:u w:val="none" w:color="auto"/>
              </w:rPr>
              <w:t>弱</w:t>
            </w:r>
          </w:p>
        </w:tc>
        <w:tc>
          <w:tcPr>
            <w:tcW w:w="1679" w:type="dxa"/>
            <w:tcBorders>
              <w:tl2br w:val="nil"/>
              <w:tr2bl w:val="nil"/>
            </w:tcBorders>
            <w:vAlign w:val="top"/>
          </w:tcPr>
          <w:p>
            <w:pPr>
              <w:pStyle w:val="25"/>
              <w:spacing w:before="51" w:line="229" w:lineRule="auto"/>
              <w:ind w:left="738"/>
              <w:rPr>
                <w:b w:val="0"/>
                <w:bCs w:val="0"/>
                <w:u w:val="none" w:color="auto"/>
              </w:rPr>
            </w:pPr>
            <w:r>
              <w:rPr>
                <w:b w:val="0"/>
                <w:bCs w:val="0"/>
                <w:spacing w:val="1"/>
                <w:u w:val="none" w:color="auto"/>
              </w:rPr>
              <w:t>难</w:t>
            </w:r>
          </w:p>
        </w:tc>
        <w:tc>
          <w:tcPr>
            <w:tcW w:w="2014" w:type="dxa"/>
            <w:vMerge w:val="restart"/>
            <w:tcBorders>
              <w:tl2br w:val="nil"/>
              <w:tr2bl w:val="nil"/>
            </w:tcBorders>
            <w:vAlign w:val="top"/>
          </w:tcPr>
          <w:p>
            <w:pPr>
              <w:spacing w:line="296" w:lineRule="auto"/>
              <w:rPr>
                <w:rFonts w:ascii="Arial"/>
                <w:b w:val="0"/>
                <w:bCs w:val="0"/>
                <w:sz w:val="21"/>
                <w:u w:val="none" w:color="auto"/>
              </w:rPr>
            </w:pPr>
          </w:p>
          <w:p>
            <w:pPr>
              <w:pStyle w:val="25"/>
              <w:spacing w:before="65" w:line="258" w:lineRule="auto"/>
              <w:ind w:left="699" w:right="107" w:hanging="584"/>
              <w:rPr>
                <w:b w:val="0"/>
                <w:bCs w:val="0"/>
                <w:u w:val="none" w:color="auto"/>
              </w:rPr>
            </w:pPr>
            <w:r>
              <w:rPr>
                <w:b w:val="0"/>
                <w:bCs w:val="0"/>
                <w:spacing w:val="-2"/>
                <w:u w:val="none" w:color="auto"/>
              </w:rPr>
              <w:t>重金属、持久性有机</w:t>
            </w:r>
            <w:r>
              <w:rPr>
                <w:b w:val="0"/>
                <w:bCs w:val="0"/>
                <w:spacing w:val="3"/>
                <w:u w:val="none" w:color="auto"/>
              </w:rPr>
              <w:t xml:space="preserve"> </w:t>
            </w:r>
            <w:r>
              <w:rPr>
                <w:b w:val="0"/>
                <w:bCs w:val="0"/>
                <w:spacing w:val="7"/>
                <w:u w:val="none" w:color="auto"/>
              </w:rPr>
              <w:t>污染物</w:t>
            </w:r>
          </w:p>
        </w:tc>
        <w:tc>
          <w:tcPr>
            <w:tcW w:w="2136" w:type="dxa"/>
            <w:vMerge w:val="restart"/>
            <w:tcBorders>
              <w:tl2br w:val="nil"/>
              <w:tr2bl w:val="nil"/>
            </w:tcBorders>
            <w:vAlign w:val="top"/>
          </w:tcPr>
          <w:p>
            <w:pPr>
              <w:pStyle w:val="25"/>
              <w:spacing w:before="50" w:line="228" w:lineRule="auto"/>
              <w:ind w:left="336"/>
              <w:rPr>
                <w:b w:val="0"/>
                <w:bCs w:val="0"/>
                <w:u w:val="none" w:color="auto"/>
              </w:rPr>
            </w:pPr>
            <w:r>
              <w:rPr>
                <w:b w:val="0"/>
                <w:bCs w:val="0"/>
                <w:spacing w:val="9"/>
                <w:u w:val="none" w:color="auto"/>
              </w:rPr>
              <w:t>等效黏土防渗层</w:t>
            </w:r>
          </w:p>
          <w:p>
            <w:pPr>
              <w:pStyle w:val="25"/>
              <w:spacing w:before="65" w:line="230" w:lineRule="auto"/>
              <w:ind w:right="11"/>
              <w:jc w:val="right"/>
              <w:rPr>
                <w:b w:val="0"/>
                <w:bCs w:val="0"/>
                <w:u w:val="none" w:color="auto"/>
              </w:rPr>
            </w:pPr>
            <w:r>
              <w:rPr>
                <w:rFonts w:ascii="Times New Roman" w:hAnsi="Times New Roman" w:eastAsia="Times New Roman" w:cs="Times New Roman"/>
                <w:b w:val="0"/>
                <w:bCs w:val="0"/>
                <w:u w:val="none" w:color="auto"/>
              </w:rPr>
              <w:t>Mb</w:t>
            </w:r>
            <w:r>
              <w:rPr>
                <w:rFonts w:ascii="Times New Roman" w:hAnsi="Times New Roman" w:eastAsia="Times New Roman" w:cs="Times New Roman"/>
                <w:b w:val="0"/>
                <w:bCs w:val="0"/>
                <w:spacing w:val="4"/>
                <w:u w:val="none" w:color="auto"/>
              </w:rPr>
              <w:t>≥6m</w:t>
            </w:r>
            <w:r>
              <w:rPr>
                <w:rFonts w:ascii="Times New Roman" w:hAnsi="Times New Roman" w:eastAsia="Times New Roman" w:cs="Times New Roman"/>
                <w:b w:val="0"/>
                <w:bCs w:val="0"/>
                <w:spacing w:val="-27"/>
                <w:u w:val="none" w:color="auto"/>
              </w:rPr>
              <w:t xml:space="preserve"> </w:t>
            </w:r>
            <w:r>
              <w:rPr>
                <w:b w:val="0"/>
                <w:bCs w:val="0"/>
                <w:spacing w:val="4"/>
                <w:u w:val="none" w:color="auto"/>
              </w:rPr>
              <w:t>，</w:t>
            </w:r>
            <w:r>
              <w:rPr>
                <w:rFonts w:ascii="Times New Roman" w:hAnsi="Times New Roman" w:eastAsia="Times New Roman" w:cs="Times New Roman"/>
                <w:b w:val="0"/>
                <w:bCs w:val="0"/>
                <w:spacing w:val="4"/>
                <w:u w:val="none" w:color="auto"/>
              </w:rPr>
              <w:t>K≤1×10</w:t>
            </w:r>
            <w:r>
              <w:rPr>
                <w:rFonts w:ascii="Times New Roman" w:hAnsi="Times New Roman" w:eastAsia="Times New Roman" w:cs="Times New Roman"/>
                <w:b w:val="0"/>
                <w:bCs w:val="0"/>
                <w:spacing w:val="4"/>
                <w:position w:val="6"/>
                <w:sz w:val="13"/>
                <w:szCs w:val="13"/>
                <w:u w:val="none" w:color="auto"/>
              </w:rPr>
              <w:t>-10</w:t>
            </w:r>
            <w:r>
              <w:rPr>
                <w:b w:val="0"/>
                <w:bCs w:val="0"/>
                <w:spacing w:val="4"/>
                <w:u w:val="none" w:color="auto"/>
              </w:rPr>
              <w:t>；</w:t>
            </w:r>
          </w:p>
          <w:p>
            <w:pPr>
              <w:pStyle w:val="25"/>
              <w:spacing w:before="62" w:line="228" w:lineRule="auto"/>
              <w:ind w:left="188"/>
              <w:rPr>
                <w:b w:val="0"/>
                <w:bCs w:val="0"/>
                <w:u w:val="none" w:color="auto"/>
              </w:rPr>
            </w:pPr>
            <w:r>
              <w:rPr>
                <w:b w:val="0"/>
                <w:bCs w:val="0"/>
                <w:spacing w:val="6"/>
                <w:u w:val="none" w:color="auto"/>
              </w:rPr>
              <w:t>或参照</w:t>
            </w:r>
            <w:r>
              <w:rPr>
                <w:b w:val="0"/>
                <w:bCs w:val="0"/>
                <w:spacing w:val="-37"/>
                <w:u w:val="none" w:color="auto"/>
              </w:rPr>
              <w:t xml:space="preserve"> </w:t>
            </w:r>
            <w:r>
              <w:rPr>
                <w:rFonts w:ascii="Times New Roman" w:hAnsi="Times New Roman" w:eastAsia="Times New Roman" w:cs="Times New Roman"/>
                <w:b w:val="0"/>
                <w:bCs w:val="0"/>
                <w:u w:val="none" w:color="auto"/>
              </w:rPr>
              <w:t>GB</w:t>
            </w:r>
            <w:r>
              <w:rPr>
                <w:rFonts w:ascii="Times New Roman" w:hAnsi="Times New Roman" w:eastAsia="Times New Roman" w:cs="Times New Roman"/>
                <w:b w:val="0"/>
                <w:bCs w:val="0"/>
                <w:spacing w:val="6"/>
                <w:u w:val="none" w:color="auto"/>
              </w:rPr>
              <w:t xml:space="preserve">18598 </w:t>
            </w:r>
            <w:r>
              <w:rPr>
                <w:b w:val="0"/>
                <w:bCs w:val="0"/>
                <w:spacing w:val="6"/>
                <w:u w:val="none" w:color="auto"/>
              </w:rPr>
              <w:t>执</w:t>
            </w:r>
          </w:p>
          <w:p>
            <w:pPr>
              <w:pStyle w:val="25"/>
              <w:spacing w:before="65" w:line="228" w:lineRule="auto"/>
              <w:ind w:left="971"/>
              <w:rPr>
                <w:b w:val="0"/>
                <w:bCs w:val="0"/>
                <w:u w:val="none" w:color="auto"/>
              </w:rPr>
            </w:pPr>
            <w:r>
              <w:rPr>
                <w:b w:val="0"/>
                <w:bCs w:val="0"/>
                <w:u w:val="none" w:color="auto"/>
              </w:rPr>
              <w:t>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386" w:type="dxa"/>
            <w:vMerge w:val="continue"/>
            <w:tcBorders>
              <w:tl2br w:val="nil"/>
              <w:tr2bl w:val="nil"/>
            </w:tcBorders>
            <w:vAlign w:val="top"/>
          </w:tcPr>
          <w:p>
            <w:pPr>
              <w:rPr>
                <w:rFonts w:ascii="Arial"/>
                <w:b w:val="0"/>
                <w:bCs w:val="0"/>
                <w:sz w:val="21"/>
                <w:u w:val="none" w:color="auto"/>
              </w:rPr>
            </w:pPr>
          </w:p>
        </w:tc>
        <w:tc>
          <w:tcPr>
            <w:tcW w:w="1735" w:type="dxa"/>
            <w:tcBorders>
              <w:tl2br w:val="nil"/>
              <w:tr2bl w:val="nil"/>
            </w:tcBorders>
            <w:vAlign w:val="top"/>
          </w:tcPr>
          <w:p>
            <w:pPr>
              <w:pStyle w:val="25"/>
              <w:spacing w:before="52" w:line="228" w:lineRule="auto"/>
              <w:ind w:left="574"/>
              <w:rPr>
                <w:b w:val="0"/>
                <w:bCs w:val="0"/>
                <w:u w:val="none" w:color="auto"/>
              </w:rPr>
            </w:pPr>
            <w:r>
              <w:rPr>
                <w:b w:val="0"/>
                <w:bCs w:val="0"/>
                <w:spacing w:val="1"/>
                <w:u w:val="none" w:color="auto"/>
              </w:rPr>
              <w:t>中</w:t>
            </w:r>
            <w:r>
              <w:rPr>
                <w:rFonts w:ascii="Times New Roman" w:hAnsi="Times New Roman" w:eastAsia="Times New Roman" w:cs="Times New Roman"/>
                <w:b w:val="0"/>
                <w:bCs w:val="0"/>
                <w:spacing w:val="1"/>
                <w:u w:val="none" w:color="auto"/>
              </w:rPr>
              <w:t>—</w:t>
            </w:r>
            <w:r>
              <w:rPr>
                <w:b w:val="0"/>
                <w:bCs w:val="0"/>
                <w:spacing w:val="1"/>
                <w:u w:val="none" w:color="auto"/>
              </w:rPr>
              <w:t>强</w:t>
            </w:r>
          </w:p>
        </w:tc>
        <w:tc>
          <w:tcPr>
            <w:tcW w:w="1679" w:type="dxa"/>
            <w:tcBorders>
              <w:tl2br w:val="nil"/>
              <w:tr2bl w:val="nil"/>
            </w:tcBorders>
            <w:vAlign w:val="top"/>
          </w:tcPr>
          <w:p>
            <w:pPr>
              <w:pStyle w:val="25"/>
              <w:spacing w:before="51" w:line="229" w:lineRule="auto"/>
              <w:ind w:left="738"/>
              <w:rPr>
                <w:b w:val="0"/>
                <w:bCs w:val="0"/>
                <w:u w:val="none" w:color="auto"/>
              </w:rPr>
            </w:pPr>
            <w:r>
              <w:rPr>
                <w:b w:val="0"/>
                <w:bCs w:val="0"/>
                <w:spacing w:val="1"/>
                <w:u w:val="none" w:color="auto"/>
              </w:rPr>
              <w:t>难</w:t>
            </w:r>
          </w:p>
        </w:tc>
        <w:tc>
          <w:tcPr>
            <w:tcW w:w="2014" w:type="dxa"/>
            <w:vMerge w:val="continue"/>
            <w:tcBorders>
              <w:tl2br w:val="nil"/>
              <w:tr2bl w:val="nil"/>
            </w:tcBorders>
            <w:vAlign w:val="top"/>
          </w:tcPr>
          <w:p>
            <w:pPr>
              <w:rPr>
                <w:rFonts w:ascii="Arial"/>
                <w:b w:val="0"/>
                <w:bCs w:val="0"/>
                <w:sz w:val="21"/>
                <w:u w:val="none" w:color="auto"/>
              </w:rPr>
            </w:pPr>
          </w:p>
        </w:tc>
        <w:tc>
          <w:tcPr>
            <w:tcW w:w="2136" w:type="dxa"/>
            <w:vMerge w:val="continue"/>
            <w:tcBorders>
              <w:tl2br w:val="nil"/>
              <w:tr2bl w:val="nil"/>
            </w:tcBorders>
            <w:vAlign w:val="top"/>
          </w:tcPr>
          <w:p>
            <w:pPr>
              <w:rPr>
                <w:rFonts w:ascii="Arial"/>
                <w:b w:val="0"/>
                <w:bCs w:val="0"/>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08" w:hRule="atLeast"/>
        </w:trPr>
        <w:tc>
          <w:tcPr>
            <w:tcW w:w="1386" w:type="dxa"/>
            <w:vMerge w:val="continue"/>
            <w:tcBorders>
              <w:tl2br w:val="nil"/>
              <w:tr2bl w:val="nil"/>
            </w:tcBorders>
            <w:vAlign w:val="top"/>
          </w:tcPr>
          <w:p>
            <w:pPr>
              <w:rPr>
                <w:rFonts w:ascii="Arial"/>
                <w:b w:val="0"/>
                <w:bCs w:val="0"/>
                <w:sz w:val="21"/>
                <w:u w:val="none" w:color="auto"/>
              </w:rPr>
            </w:pPr>
          </w:p>
        </w:tc>
        <w:tc>
          <w:tcPr>
            <w:tcW w:w="1735" w:type="dxa"/>
            <w:tcBorders>
              <w:tl2br w:val="nil"/>
              <w:tr2bl w:val="nil"/>
            </w:tcBorders>
            <w:vAlign w:val="top"/>
          </w:tcPr>
          <w:p>
            <w:pPr>
              <w:pStyle w:val="25"/>
              <w:spacing w:before="198" w:line="229" w:lineRule="auto"/>
              <w:ind w:left="769"/>
              <w:rPr>
                <w:b w:val="0"/>
                <w:bCs w:val="0"/>
                <w:u w:val="none" w:color="auto"/>
              </w:rPr>
            </w:pPr>
            <w:r>
              <w:rPr>
                <w:b w:val="0"/>
                <w:bCs w:val="0"/>
                <w:u w:val="none" w:color="auto"/>
              </w:rPr>
              <w:t>弱</w:t>
            </w:r>
          </w:p>
        </w:tc>
        <w:tc>
          <w:tcPr>
            <w:tcW w:w="1679" w:type="dxa"/>
            <w:tcBorders>
              <w:tl2br w:val="nil"/>
              <w:tr2bl w:val="nil"/>
            </w:tcBorders>
            <w:vAlign w:val="top"/>
          </w:tcPr>
          <w:p>
            <w:pPr>
              <w:pStyle w:val="25"/>
              <w:spacing w:before="198" w:line="229" w:lineRule="auto"/>
              <w:ind w:left="753"/>
              <w:rPr>
                <w:b w:val="0"/>
                <w:bCs w:val="0"/>
                <w:u w:val="none" w:color="auto"/>
              </w:rPr>
            </w:pPr>
            <w:r>
              <w:rPr>
                <w:b w:val="0"/>
                <w:bCs w:val="0"/>
                <w:u w:val="none" w:color="auto"/>
              </w:rPr>
              <w:t>易</w:t>
            </w:r>
          </w:p>
        </w:tc>
        <w:tc>
          <w:tcPr>
            <w:tcW w:w="2014" w:type="dxa"/>
            <w:vMerge w:val="continue"/>
            <w:tcBorders>
              <w:tl2br w:val="nil"/>
              <w:tr2bl w:val="nil"/>
            </w:tcBorders>
            <w:vAlign w:val="top"/>
          </w:tcPr>
          <w:p>
            <w:pPr>
              <w:rPr>
                <w:rFonts w:ascii="Arial"/>
                <w:b w:val="0"/>
                <w:bCs w:val="0"/>
                <w:sz w:val="21"/>
                <w:u w:val="none" w:color="auto"/>
              </w:rPr>
            </w:pPr>
          </w:p>
        </w:tc>
        <w:tc>
          <w:tcPr>
            <w:tcW w:w="2136" w:type="dxa"/>
            <w:vMerge w:val="continue"/>
            <w:tcBorders>
              <w:tl2br w:val="nil"/>
              <w:tr2bl w:val="nil"/>
            </w:tcBorders>
            <w:vAlign w:val="top"/>
          </w:tcPr>
          <w:p>
            <w:pPr>
              <w:rPr>
                <w:rFonts w:ascii="Arial"/>
                <w:b w:val="0"/>
                <w:bCs w:val="0"/>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386" w:type="dxa"/>
            <w:vMerge w:val="restart"/>
            <w:tcBorders>
              <w:tl2br w:val="nil"/>
              <w:tr2bl w:val="nil"/>
            </w:tcBorders>
            <w:vAlign w:val="top"/>
          </w:tcPr>
          <w:p>
            <w:pPr>
              <w:spacing w:line="468" w:lineRule="auto"/>
              <w:rPr>
                <w:rFonts w:ascii="Arial"/>
                <w:b w:val="0"/>
                <w:bCs w:val="0"/>
                <w:sz w:val="21"/>
                <w:u w:val="none" w:color="auto"/>
              </w:rPr>
            </w:pPr>
          </w:p>
          <w:p>
            <w:pPr>
              <w:pStyle w:val="25"/>
              <w:spacing w:before="65" w:line="228" w:lineRule="auto"/>
              <w:ind w:left="175"/>
              <w:rPr>
                <w:b w:val="0"/>
                <w:bCs w:val="0"/>
                <w:u w:val="none" w:color="auto"/>
              </w:rPr>
            </w:pPr>
            <w:r>
              <w:rPr>
                <w:b w:val="0"/>
                <w:bCs w:val="0"/>
                <w:spacing w:val="7"/>
                <w:u w:val="none" w:color="auto"/>
              </w:rPr>
              <w:t>一般防渗区</w:t>
            </w:r>
          </w:p>
        </w:tc>
        <w:tc>
          <w:tcPr>
            <w:tcW w:w="1735" w:type="dxa"/>
            <w:tcBorders>
              <w:tl2br w:val="nil"/>
              <w:tr2bl w:val="nil"/>
            </w:tcBorders>
            <w:vAlign w:val="top"/>
          </w:tcPr>
          <w:p>
            <w:pPr>
              <w:pStyle w:val="25"/>
              <w:spacing w:before="53" w:line="229" w:lineRule="auto"/>
              <w:ind w:left="769"/>
              <w:rPr>
                <w:b w:val="0"/>
                <w:bCs w:val="0"/>
                <w:u w:val="none" w:color="auto"/>
              </w:rPr>
            </w:pPr>
            <w:r>
              <w:rPr>
                <w:b w:val="0"/>
                <w:bCs w:val="0"/>
                <w:u w:val="none" w:color="auto"/>
              </w:rPr>
              <w:t>弱</w:t>
            </w:r>
          </w:p>
        </w:tc>
        <w:tc>
          <w:tcPr>
            <w:tcW w:w="1679" w:type="dxa"/>
            <w:tcBorders>
              <w:tl2br w:val="nil"/>
              <w:tr2bl w:val="nil"/>
            </w:tcBorders>
            <w:vAlign w:val="top"/>
          </w:tcPr>
          <w:p>
            <w:pPr>
              <w:pStyle w:val="25"/>
              <w:spacing w:before="53" w:line="229" w:lineRule="auto"/>
              <w:ind w:left="542"/>
              <w:rPr>
                <w:b w:val="0"/>
                <w:bCs w:val="0"/>
                <w:u w:val="none" w:color="auto"/>
              </w:rPr>
            </w:pPr>
            <w:r>
              <w:rPr>
                <w:b w:val="0"/>
                <w:bCs w:val="0"/>
                <w:spacing w:val="2"/>
                <w:u w:val="none" w:color="auto"/>
              </w:rPr>
              <w:t>易</w:t>
            </w:r>
            <w:r>
              <w:rPr>
                <w:rFonts w:ascii="Times New Roman" w:hAnsi="Times New Roman" w:eastAsia="Times New Roman" w:cs="Times New Roman"/>
                <w:b w:val="0"/>
                <w:bCs w:val="0"/>
                <w:spacing w:val="2"/>
                <w:u w:val="none" w:color="auto"/>
              </w:rPr>
              <w:t>—</w:t>
            </w:r>
            <w:r>
              <w:rPr>
                <w:b w:val="0"/>
                <w:bCs w:val="0"/>
                <w:spacing w:val="2"/>
                <w:u w:val="none" w:color="auto"/>
              </w:rPr>
              <w:t>难</w:t>
            </w:r>
          </w:p>
        </w:tc>
        <w:tc>
          <w:tcPr>
            <w:tcW w:w="2014" w:type="dxa"/>
            <w:vMerge w:val="restart"/>
            <w:tcBorders>
              <w:tl2br w:val="nil"/>
              <w:tr2bl w:val="nil"/>
            </w:tcBorders>
            <w:vAlign w:val="top"/>
          </w:tcPr>
          <w:p>
            <w:pPr>
              <w:pStyle w:val="25"/>
              <w:spacing w:before="214" w:line="228" w:lineRule="auto"/>
              <w:ind w:left="592"/>
              <w:rPr>
                <w:b w:val="0"/>
                <w:bCs w:val="0"/>
                <w:u w:val="none" w:color="auto"/>
              </w:rPr>
            </w:pPr>
            <w:r>
              <w:rPr>
                <w:b w:val="0"/>
                <w:bCs w:val="0"/>
                <w:spacing w:val="8"/>
                <w:u w:val="none" w:color="auto"/>
              </w:rPr>
              <w:t>其他类型</w:t>
            </w:r>
          </w:p>
        </w:tc>
        <w:tc>
          <w:tcPr>
            <w:tcW w:w="2136" w:type="dxa"/>
            <w:vMerge w:val="restart"/>
            <w:tcBorders>
              <w:tl2br w:val="nil"/>
              <w:tr2bl w:val="nil"/>
            </w:tcBorders>
            <w:vAlign w:val="top"/>
          </w:tcPr>
          <w:p>
            <w:pPr>
              <w:pStyle w:val="25"/>
              <w:spacing w:before="67" w:line="228" w:lineRule="auto"/>
              <w:ind w:left="336"/>
              <w:rPr>
                <w:b w:val="0"/>
                <w:bCs w:val="0"/>
                <w:u w:val="none" w:color="auto"/>
              </w:rPr>
            </w:pPr>
            <w:r>
              <w:rPr>
                <w:b w:val="0"/>
                <w:bCs w:val="0"/>
                <w:spacing w:val="9"/>
                <w:u w:val="none" w:color="auto"/>
              </w:rPr>
              <w:t>等效黏土防渗层</w:t>
            </w:r>
          </w:p>
          <w:p>
            <w:pPr>
              <w:pStyle w:val="25"/>
              <w:spacing w:before="65" w:line="230" w:lineRule="auto"/>
              <w:ind w:right="11"/>
              <w:jc w:val="right"/>
              <w:rPr>
                <w:b w:val="0"/>
                <w:bCs w:val="0"/>
                <w:u w:val="none" w:color="auto"/>
              </w:rPr>
            </w:pPr>
            <w:r>
              <w:rPr>
                <w:rFonts w:ascii="Times New Roman" w:hAnsi="Times New Roman" w:eastAsia="Times New Roman" w:cs="Times New Roman"/>
                <w:b w:val="0"/>
                <w:bCs w:val="0"/>
                <w:spacing w:val="-1"/>
                <w:u w:val="none" w:color="auto"/>
              </w:rPr>
              <w:t>Mb≥1.5m</w:t>
            </w:r>
            <w:r>
              <w:rPr>
                <w:b w:val="0"/>
                <w:bCs w:val="0"/>
                <w:spacing w:val="-1"/>
                <w:u w:val="none" w:color="auto"/>
              </w:rPr>
              <w:t>，</w:t>
            </w:r>
            <w:r>
              <w:rPr>
                <w:rFonts w:ascii="Times New Roman" w:hAnsi="Times New Roman" w:eastAsia="Times New Roman" w:cs="Times New Roman"/>
                <w:b w:val="0"/>
                <w:bCs w:val="0"/>
                <w:spacing w:val="-1"/>
                <w:u w:val="none" w:color="auto"/>
              </w:rPr>
              <w:t>K≤1×10</w:t>
            </w:r>
            <w:r>
              <w:rPr>
                <w:rFonts w:ascii="Times New Roman" w:hAnsi="Times New Roman" w:eastAsia="Times New Roman" w:cs="Times New Roman"/>
                <w:b w:val="0"/>
                <w:bCs w:val="0"/>
                <w:spacing w:val="-1"/>
                <w:position w:val="6"/>
                <w:sz w:val="13"/>
                <w:szCs w:val="13"/>
                <w:u w:val="none" w:color="auto"/>
              </w:rPr>
              <w:t>-7</w:t>
            </w:r>
            <w:r>
              <w:rPr>
                <w:b w:val="0"/>
                <w:bCs w:val="0"/>
                <w:spacing w:val="-1"/>
                <w:u w:val="none" w:color="auto"/>
              </w:rPr>
              <w:t>；</w:t>
            </w:r>
          </w:p>
          <w:p>
            <w:pPr>
              <w:pStyle w:val="25"/>
              <w:spacing w:before="62" w:line="228" w:lineRule="auto"/>
              <w:ind w:left="188"/>
              <w:rPr>
                <w:b w:val="0"/>
                <w:bCs w:val="0"/>
                <w:u w:val="none" w:color="auto"/>
              </w:rPr>
            </w:pPr>
            <w:r>
              <w:rPr>
                <w:b w:val="0"/>
                <w:bCs w:val="0"/>
                <w:spacing w:val="6"/>
                <w:u w:val="none" w:color="auto"/>
              </w:rPr>
              <w:t>或参照</w:t>
            </w:r>
            <w:r>
              <w:rPr>
                <w:b w:val="0"/>
                <w:bCs w:val="0"/>
                <w:spacing w:val="-37"/>
                <w:u w:val="none" w:color="auto"/>
              </w:rPr>
              <w:t xml:space="preserve"> </w:t>
            </w:r>
            <w:r>
              <w:rPr>
                <w:rFonts w:ascii="Times New Roman" w:hAnsi="Times New Roman" w:eastAsia="Times New Roman" w:cs="Times New Roman"/>
                <w:b w:val="0"/>
                <w:bCs w:val="0"/>
                <w:u w:val="none" w:color="auto"/>
              </w:rPr>
              <w:t>GB</w:t>
            </w:r>
            <w:r>
              <w:rPr>
                <w:rFonts w:ascii="Times New Roman" w:hAnsi="Times New Roman" w:eastAsia="Times New Roman" w:cs="Times New Roman"/>
                <w:b w:val="0"/>
                <w:bCs w:val="0"/>
                <w:spacing w:val="6"/>
                <w:u w:val="none" w:color="auto"/>
              </w:rPr>
              <w:t xml:space="preserve">16889 </w:t>
            </w:r>
            <w:r>
              <w:rPr>
                <w:b w:val="0"/>
                <w:bCs w:val="0"/>
                <w:spacing w:val="6"/>
                <w:u w:val="none" w:color="auto"/>
              </w:rPr>
              <w:t>执</w:t>
            </w:r>
          </w:p>
          <w:p>
            <w:pPr>
              <w:pStyle w:val="25"/>
              <w:spacing w:before="65" w:line="228" w:lineRule="auto"/>
              <w:ind w:left="971"/>
              <w:rPr>
                <w:b w:val="0"/>
                <w:bCs w:val="0"/>
                <w:u w:val="none" w:color="auto"/>
              </w:rPr>
            </w:pPr>
            <w:r>
              <w:rPr>
                <w:b w:val="0"/>
                <w:bCs w:val="0"/>
                <w:u w:val="none" w:color="auto"/>
              </w:rPr>
              <w:t>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386" w:type="dxa"/>
            <w:vMerge w:val="continue"/>
            <w:tcBorders>
              <w:tl2br w:val="nil"/>
              <w:tr2bl w:val="nil"/>
            </w:tcBorders>
            <w:vAlign w:val="top"/>
          </w:tcPr>
          <w:p>
            <w:pPr>
              <w:rPr>
                <w:rFonts w:ascii="Arial"/>
                <w:b w:val="0"/>
                <w:bCs w:val="0"/>
                <w:sz w:val="21"/>
                <w:u w:val="none" w:color="auto"/>
              </w:rPr>
            </w:pPr>
          </w:p>
        </w:tc>
        <w:tc>
          <w:tcPr>
            <w:tcW w:w="1735" w:type="dxa"/>
            <w:tcBorders>
              <w:tl2br w:val="nil"/>
              <w:tr2bl w:val="nil"/>
            </w:tcBorders>
            <w:vAlign w:val="top"/>
          </w:tcPr>
          <w:p>
            <w:pPr>
              <w:pStyle w:val="25"/>
              <w:spacing w:before="53" w:line="228" w:lineRule="auto"/>
              <w:ind w:left="574"/>
              <w:rPr>
                <w:b w:val="0"/>
                <w:bCs w:val="0"/>
                <w:u w:val="none" w:color="auto"/>
              </w:rPr>
            </w:pPr>
            <w:r>
              <w:rPr>
                <w:b w:val="0"/>
                <w:bCs w:val="0"/>
                <w:spacing w:val="1"/>
                <w:u w:val="none" w:color="auto"/>
              </w:rPr>
              <w:t>中</w:t>
            </w:r>
            <w:r>
              <w:rPr>
                <w:rFonts w:ascii="Times New Roman" w:hAnsi="Times New Roman" w:eastAsia="Times New Roman" w:cs="Times New Roman"/>
                <w:b w:val="0"/>
                <w:bCs w:val="0"/>
                <w:spacing w:val="1"/>
                <w:u w:val="none" w:color="auto"/>
              </w:rPr>
              <w:t>—</w:t>
            </w:r>
            <w:r>
              <w:rPr>
                <w:b w:val="0"/>
                <w:bCs w:val="0"/>
                <w:spacing w:val="1"/>
                <w:u w:val="none" w:color="auto"/>
              </w:rPr>
              <w:t>强</w:t>
            </w:r>
          </w:p>
        </w:tc>
        <w:tc>
          <w:tcPr>
            <w:tcW w:w="1679" w:type="dxa"/>
            <w:tcBorders>
              <w:tl2br w:val="nil"/>
              <w:tr2bl w:val="nil"/>
            </w:tcBorders>
            <w:vAlign w:val="top"/>
          </w:tcPr>
          <w:p>
            <w:pPr>
              <w:pStyle w:val="25"/>
              <w:spacing w:before="53" w:line="229" w:lineRule="auto"/>
              <w:ind w:left="738"/>
              <w:rPr>
                <w:b w:val="0"/>
                <w:bCs w:val="0"/>
                <w:u w:val="none" w:color="auto"/>
              </w:rPr>
            </w:pPr>
            <w:r>
              <w:rPr>
                <w:b w:val="0"/>
                <w:bCs w:val="0"/>
                <w:spacing w:val="1"/>
                <w:u w:val="none" w:color="auto"/>
              </w:rPr>
              <w:t>难</w:t>
            </w:r>
          </w:p>
        </w:tc>
        <w:tc>
          <w:tcPr>
            <w:tcW w:w="2014" w:type="dxa"/>
            <w:vMerge w:val="continue"/>
            <w:tcBorders>
              <w:tl2br w:val="nil"/>
              <w:tr2bl w:val="nil"/>
            </w:tcBorders>
            <w:vAlign w:val="top"/>
          </w:tcPr>
          <w:p>
            <w:pPr>
              <w:rPr>
                <w:rFonts w:ascii="Arial"/>
                <w:b w:val="0"/>
                <w:bCs w:val="0"/>
                <w:sz w:val="21"/>
                <w:u w:val="none" w:color="auto"/>
              </w:rPr>
            </w:pPr>
          </w:p>
        </w:tc>
        <w:tc>
          <w:tcPr>
            <w:tcW w:w="2136" w:type="dxa"/>
            <w:vMerge w:val="continue"/>
            <w:tcBorders>
              <w:tl2br w:val="nil"/>
              <w:tr2bl w:val="nil"/>
            </w:tcBorders>
            <w:vAlign w:val="top"/>
          </w:tcPr>
          <w:p>
            <w:pPr>
              <w:rPr>
                <w:rFonts w:ascii="Arial"/>
                <w:b w:val="0"/>
                <w:bCs w:val="0"/>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386" w:type="dxa"/>
            <w:vMerge w:val="continue"/>
            <w:tcBorders>
              <w:tl2br w:val="nil"/>
              <w:tr2bl w:val="nil"/>
            </w:tcBorders>
            <w:vAlign w:val="top"/>
          </w:tcPr>
          <w:p>
            <w:pPr>
              <w:rPr>
                <w:rFonts w:ascii="Arial"/>
                <w:b w:val="0"/>
                <w:bCs w:val="0"/>
                <w:sz w:val="21"/>
                <w:u w:val="none" w:color="auto"/>
              </w:rPr>
            </w:pPr>
          </w:p>
        </w:tc>
        <w:tc>
          <w:tcPr>
            <w:tcW w:w="1735" w:type="dxa"/>
            <w:tcBorders>
              <w:tl2br w:val="nil"/>
              <w:tr2bl w:val="nil"/>
            </w:tcBorders>
            <w:vAlign w:val="top"/>
          </w:tcPr>
          <w:p>
            <w:pPr>
              <w:pStyle w:val="25"/>
              <w:spacing w:before="56" w:line="228" w:lineRule="auto"/>
              <w:ind w:left="785"/>
              <w:rPr>
                <w:b w:val="0"/>
                <w:bCs w:val="0"/>
                <w:u w:val="none" w:color="auto"/>
              </w:rPr>
            </w:pPr>
            <w:r>
              <w:rPr>
                <w:b w:val="0"/>
                <w:bCs w:val="0"/>
                <w:u w:val="none" w:color="auto"/>
              </w:rPr>
              <w:t>中</w:t>
            </w:r>
          </w:p>
        </w:tc>
        <w:tc>
          <w:tcPr>
            <w:tcW w:w="1679" w:type="dxa"/>
            <w:tcBorders>
              <w:tl2br w:val="nil"/>
              <w:tr2bl w:val="nil"/>
            </w:tcBorders>
            <w:vAlign w:val="top"/>
          </w:tcPr>
          <w:p>
            <w:pPr>
              <w:pStyle w:val="25"/>
              <w:spacing w:before="56" w:line="229" w:lineRule="auto"/>
              <w:ind w:left="753"/>
              <w:rPr>
                <w:b w:val="0"/>
                <w:bCs w:val="0"/>
                <w:u w:val="none" w:color="auto"/>
              </w:rPr>
            </w:pPr>
            <w:r>
              <w:rPr>
                <w:b w:val="0"/>
                <w:bCs w:val="0"/>
                <w:u w:val="none" w:color="auto"/>
              </w:rPr>
              <w:t>易</w:t>
            </w:r>
          </w:p>
        </w:tc>
        <w:tc>
          <w:tcPr>
            <w:tcW w:w="2014" w:type="dxa"/>
            <w:vMerge w:val="restart"/>
            <w:tcBorders>
              <w:tl2br w:val="nil"/>
              <w:tr2bl w:val="nil"/>
            </w:tcBorders>
            <w:vAlign w:val="top"/>
          </w:tcPr>
          <w:p>
            <w:pPr>
              <w:pStyle w:val="25"/>
              <w:spacing w:before="61" w:line="258" w:lineRule="auto"/>
              <w:ind w:left="699" w:right="107" w:hanging="584"/>
              <w:rPr>
                <w:b w:val="0"/>
                <w:bCs w:val="0"/>
                <w:u w:val="none" w:color="auto"/>
              </w:rPr>
            </w:pPr>
            <w:r>
              <w:rPr>
                <w:b w:val="0"/>
                <w:bCs w:val="0"/>
                <w:spacing w:val="-2"/>
                <w:u w:val="none" w:color="auto"/>
              </w:rPr>
              <w:t>重金属、持久性有机</w:t>
            </w:r>
            <w:r>
              <w:rPr>
                <w:b w:val="0"/>
                <w:bCs w:val="0"/>
                <w:spacing w:val="3"/>
                <w:u w:val="none" w:color="auto"/>
              </w:rPr>
              <w:t xml:space="preserve"> </w:t>
            </w:r>
            <w:r>
              <w:rPr>
                <w:b w:val="0"/>
                <w:bCs w:val="0"/>
                <w:spacing w:val="7"/>
                <w:u w:val="none" w:color="auto"/>
              </w:rPr>
              <w:t>污染物</w:t>
            </w:r>
          </w:p>
        </w:tc>
        <w:tc>
          <w:tcPr>
            <w:tcW w:w="2136" w:type="dxa"/>
            <w:vMerge w:val="continue"/>
            <w:tcBorders>
              <w:tl2br w:val="nil"/>
              <w:tr2bl w:val="nil"/>
            </w:tcBorders>
            <w:vAlign w:val="top"/>
          </w:tcPr>
          <w:p>
            <w:pPr>
              <w:rPr>
                <w:rFonts w:ascii="Arial"/>
                <w:b w:val="0"/>
                <w:bCs w:val="0"/>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386" w:type="dxa"/>
            <w:vMerge w:val="continue"/>
            <w:tcBorders>
              <w:tl2br w:val="nil"/>
              <w:tr2bl w:val="nil"/>
            </w:tcBorders>
            <w:vAlign w:val="top"/>
          </w:tcPr>
          <w:p>
            <w:pPr>
              <w:rPr>
                <w:rFonts w:ascii="Arial"/>
                <w:b w:val="0"/>
                <w:bCs w:val="0"/>
                <w:sz w:val="21"/>
                <w:u w:val="none" w:color="auto"/>
              </w:rPr>
            </w:pPr>
          </w:p>
        </w:tc>
        <w:tc>
          <w:tcPr>
            <w:tcW w:w="1735" w:type="dxa"/>
            <w:tcBorders>
              <w:tl2br w:val="nil"/>
              <w:tr2bl w:val="nil"/>
            </w:tcBorders>
            <w:vAlign w:val="top"/>
          </w:tcPr>
          <w:p>
            <w:pPr>
              <w:pStyle w:val="25"/>
              <w:spacing w:before="55" w:line="231" w:lineRule="auto"/>
              <w:ind w:left="770"/>
              <w:rPr>
                <w:b w:val="0"/>
                <w:bCs w:val="0"/>
                <w:u w:val="none" w:color="auto"/>
              </w:rPr>
            </w:pPr>
            <w:r>
              <w:rPr>
                <w:b w:val="0"/>
                <w:bCs w:val="0"/>
                <w:u w:val="none" w:color="auto"/>
              </w:rPr>
              <w:t>强</w:t>
            </w:r>
          </w:p>
        </w:tc>
        <w:tc>
          <w:tcPr>
            <w:tcW w:w="1679" w:type="dxa"/>
            <w:tcBorders>
              <w:tl2br w:val="nil"/>
              <w:tr2bl w:val="nil"/>
            </w:tcBorders>
            <w:vAlign w:val="top"/>
          </w:tcPr>
          <w:p>
            <w:pPr>
              <w:pStyle w:val="25"/>
              <w:spacing w:before="56" w:line="229" w:lineRule="auto"/>
              <w:ind w:left="753"/>
              <w:rPr>
                <w:b w:val="0"/>
                <w:bCs w:val="0"/>
                <w:u w:val="none" w:color="auto"/>
              </w:rPr>
            </w:pPr>
            <w:r>
              <w:rPr>
                <w:b w:val="0"/>
                <w:bCs w:val="0"/>
                <w:u w:val="none" w:color="auto"/>
              </w:rPr>
              <w:t>易</w:t>
            </w:r>
          </w:p>
        </w:tc>
        <w:tc>
          <w:tcPr>
            <w:tcW w:w="2014" w:type="dxa"/>
            <w:vMerge w:val="continue"/>
            <w:tcBorders>
              <w:tl2br w:val="nil"/>
              <w:tr2bl w:val="nil"/>
            </w:tcBorders>
            <w:vAlign w:val="top"/>
          </w:tcPr>
          <w:p>
            <w:pPr>
              <w:rPr>
                <w:rFonts w:ascii="Arial"/>
                <w:b w:val="0"/>
                <w:bCs w:val="0"/>
                <w:sz w:val="21"/>
                <w:u w:val="none" w:color="auto"/>
              </w:rPr>
            </w:pPr>
          </w:p>
        </w:tc>
        <w:tc>
          <w:tcPr>
            <w:tcW w:w="2136" w:type="dxa"/>
            <w:vMerge w:val="continue"/>
            <w:tcBorders>
              <w:tl2br w:val="nil"/>
              <w:tr2bl w:val="nil"/>
            </w:tcBorders>
            <w:vAlign w:val="top"/>
          </w:tcPr>
          <w:p>
            <w:pPr>
              <w:rPr>
                <w:rFonts w:ascii="Arial"/>
                <w:b w:val="0"/>
                <w:bCs w:val="0"/>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386" w:type="dxa"/>
            <w:tcBorders>
              <w:tl2br w:val="nil"/>
              <w:tr2bl w:val="nil"/>
            </w:tcBorders>
            <w:vAlign w:val="top"/>
          </w:tcPr>
          <w:p>
            <w:pPr>
              <w:pStyle w:val="25"/>
              <w:spacing w:before="55" w:line="227" w:lineRule="auto"/>
              <w:ind w:left="176"/>
              <w:rPr>
                <w:b w:val="0"/>
                <w:bCs w:val="0"/>
                <w:u w:val="none" w:color="auto"/>
              </w:rPr>
            </w:pPr>
            <w:r>
              <w:rPr>
                <w:b w:val="0"/>
                <w:bCs w:val="0"/>
                <w:spacing w:val="7"/>
                <w:u w:val="none" w:color="auto"/>
              </w:rPr>
              <w:t>简单防渗区</w:t>
            </w:r>
          </w:p>
        </w:tc>
        <w:tc>
          <w:tcPr>
            <w:tcW w:w="1735" w:type="dxa"/>
            <w:tcBorders>
              <w:tl2br w:val="nil"/>
              <w:tr2bl w:val="nil"/>
            </w:tcBorders>
            <w:vAlign w:val="top"/>
          </w:tcPr>
          <w:p>
            <w:pPr>
              <w:pStyle w:val="25"/>
              <w:spacing w:before="56" w:line="228" w:lineRule="auto"/>
              <w:ind w:left="574"/>
              <w:rPr>
                <w:b w:val="0"/>
                <w:bCs w:val="0"/>
                <w:u w:val="none" w:color="auto"/>
              </w:rPr>
            </w:pPr>
            <w:r>
              <w:rPr>
                <w:b w:val="0"/>
                <w:bCs w:val="0"/>
                <w:spacing w:val="1"/>
                <w:u w:val="none" w:color="auto"/>
              </w:rPr>
              <w:t>中</w:t>
            </w:r>
            <w:r>
              <w:rPr>
                <w:rFonts w:ascii="Times New Roman" w:hAnsi="Times New Roman" w:eastAsia="Times New Roman" w:cs="Times New Roman"/>
                <w:b w:val="0"/>
                <w:bCs w:val="0"/>
                <w:spacing w:val="1"/>
                <w:u w:val="none" w:color="auto"/>
              </w:rPr>
              <w:t>—</w:t>
            </w:r>
            <w:r>
              <w:rPr>
                <w:b w:val="0"/>
                <w:bCs w:val="0"/>
                <w:spacing w:val="1"/>
                <w:u w:val="none" w:color="auto"/>
              </w:rPr>
              <w:t>强</w:t>
            </w:r>
          </w:p>
        </w:tc>
        <w:tc>
          <w:tcPr>
            <w:tcW w:w="1679" w:type="dxa"/>
            <w:tcBorders>
              <w:tl2br w:val="nil"/>
              <w:tr2bl w:val="nil"/>
            </w:tcBorders>
            <w:vAlign w:val="top"/>
          </w:tcPr>
          <w:p>
            <w:pPr>
              <w:pStyle w:val="25"/>
              <w:spacing w:before="55" w:line="229" w:lineRule="auto"/>
              <w:ind w:left="753"/>
              <w:rPr>
                <w:b w:val="0"/>
                <w:bCs w:val="0"/>
                <w:u w:val="none" w:color="auto"/>
              </w:rPr>
            </w:pPr>
            <w:r>
              <w:rPr>
                <w:b w:val="0"/>
                <w:bCs w:val="0"/>
                <w:u w:val="none" w:color="auto"/>
              </w:rPr>
              <w:t>易</w:t>
            </w:r>
          </w:p>
        </w:tc>
        <w:tc>
          <w:tcPr>
            <w:tcW w:w="2014" w:type="dxa"/>
            <w:tcBorders>
              <w:tl2br w:val="nil"/>
              <w:tr2bl w:val="nil"/>
            </w:tcBorders>
            <w:vAlign w:val="top"/>
          </w:tcPr>
          <w:p>
            <w:pPr>
              <w:pStyle w:val="25"/>
              <w:spacing w:before="55" w:line="228" w:lineRule="auto"/>
              <w:ind w:left="592"/>
              <w:rPr>
                <w:b w:val="0"/>
                <w:bCs w:val="0"/>
                <w:u w:val="none" w:color="auto"/>
              </w:rPr>
            </w:pPr>
            <w:r>
              <w:rPr>
                <w:b w:val="0"/>
                <w:bCs w:val="0"/>
                <w:spacing w:val="8"/>
                <w:u w:val="none" w:color="auto"/>
              </w:rPr>
              <w:t>其他类型</w:t>
            </w:r>
          </w:p>
        </w:tc>
        <w:tc>
          <w:tcPr>
            <w:tcW w:w="2136" w:type="dxa"/>
            <w:tcBorders>
              <w:tl2br w:val="nil"/>
              <w:tr2bl w:val="nil"/>
            </w:tcBorders>
            <w:vAlign w:val="top"/>
          </w:tcPr>
          <w:p>
            <w:pPr>
              <w:pStyle w:val="25"/>
              <w:spacing w:before="55" w:line="229" w:lineRule="auto"/>
              <w:ind w:left="443"/>
              <w:rPr>
                <w:b w:val="0"/>
                <w:bCs w:val="0"/>
                <w:u w:val="none" w:color="auto"/>
              </w:rPr>
            </w:pPr>
            <w:r>
              <w:rPr>
                <w:b w:val="0"/>
                <w:bCs w:val="0"/>
                <w:spacing w:val="8"/>
                <w:u w:val="none" w:color="auto"/>
              </w:rPr>
              <w:t>一般地面硬化</w:t>
            </w:r>
          </w:p>
        </w:tc>
      </w:tr>
    </w:tbl>
    <w:p>
      <w:pPr>
        <w:spacing w:before="78" w:line="220" w:lineRule="auto"/>
        <w:ind w:left="2490"/>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6-</w:t>
      </w:r>
      <w:r>
        <w:rPr>
          <w:rFonts w:hint="eastAsia" w:ascii="Times New Roman" w:hAnsi="Times New Roman" w:eastAsia="宋体" w:cs="Times New Roman"/>
          <w:b/>
          <w:bCs/>
          <w:sz w:val="24"/>
          <w:szCs w:val="24"/>
          <w:u w:val="none" w:color="auto"/>
          <w:lang w:val="en-US" w:eastAsia="zh-CN"/>
        </w:rPr>
        <w:t>12</w:t>
      </w:r>
      <w:r>
        <w:rPr>
          <w:rFonts w:ascii="Times New Roman" w:hAnsi="Times New Roman" w:eastAsia="Times New Roman" w:cs="Times New Roman"/>
          <w:b/>
          <w:bCs/>
          <w:sz w:val="24"/>
          <w:szCs w:val="24"/>
          <w:u w:val="none" w:color="auto"/>
        </w:rPr>
        <w:t xml:space="preserve">             </w:t>
      </w: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厂区防渗分区划分要求</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3750"/>
        <w:gridCol w:w="387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防渗分区</w:t>
            </w:r>
          </w:p>
        </w:tc>
        <w:tc>
          <w:tcPr>
            <w:tcW w:w="37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防渗区域及部位</w:t>
            </w:r>
          </w:p>
        </w:tc>
        <w:tc>
          <w:tcPr>
            <w:tcW w:w="3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防渗要求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1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重点防渗区</w:t>
            </w:r>
          </w:p>
        </w:tc>
        <w:tc>
          <w:tcPr>
            <w:tcW w:w="37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污水站池底及池壁</w:t>
            </w:r>
            <w:r>
              <w:rPr>
                <w:rFonts w:hint="eastAsia"/>
                <w:b w:val="0"/>
                <w:bCs w:val="0"/>
                <w:spacing w:val="9"/>
                <w:u w:val="none" w:color="auto"/>
                <w:lang w:eastAsia="zh-CN"/>
              </w:rPr>
              <w:t>以及进水主干管</w:t>
            </w:r>
            <w:r>
              <w:rPr>
                <w:b w:val="0"/>
                <w:bCs w:val="0"/>
                <w:spacing w:val="9"/>
                <w:u w:val="none" w:color="auto"/>
              </w:rPr>
              <w:t>、危废暂存间</w:t>
            </w:r>
          </w:p>
        </w:tc>
        <w:tc>
          <w:tcPr>
            <w:tcW w:w="3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u w:val="none" w:color="auto"/>
              </w:rPr>
              <w:t>等效黏土防渗层</w:t>
            </w:r>
            <w:r>
              <w:rPr>
                <w:rFonts w:ascii="Times New Roman" w:hAnsi="Times New Roman" w:eastAsia="Times New Roman" w:cs="Times New Roman"/>
                <w:b w:val="0"/>
                <w:bCs w:val="0"/>
                <w:u w:val="none" w:color="auto"/>
              </w:rPr>
              <w:t>Mb</w:t>
            </w:r>
            <w:r>
              <w:rPr>
                <w:rFonts w:ascii="Times New Roman" w:hAnsi="Times New Roman" w:eastAsia="Times New Roman" w:cs="Times New Roman"/>
                <w:b w:val="0"/>
                <w:bCs w:val="0"/>
                <w:spacing w:val="6"/>
                <w:u w:val="none" w:color="auto"/>
              </w:rPr>
              <w:t>≥6m</w:t>
            </w:r>
            <w:r>
              <w:rPr>
                <w:b w:val="0"/>
                <w:bCs w:val="0"/>
                <w:spacing w:val="6"/>
                <w:u w:val="none" w:color="auto"/>
              </w:rPr>
              <w:t>，</w:t>
            </w:r>
            <w:r>
              <w:rPr>
                <w:rFonts w:ascii="Times New Roman" w:hAnsi="Times New Roman" w:eastAsia="Times New Roman" w:cs="Times New Roman"/>
                <w:b w:val="0"/>
                <w:bCs w:val="0"/>
                <w:spacing w:val="6"/>
                <w:u w:val="none" w:color="auto"/>
              </w:rPr>
              <w:t>K≤1×10</w:t>
            </w:r>
            <w:r>
              <w:rPr>
                <w:rFonts w:ascii="Times New Roman" w:hAnsi="Times New Roman" w:eastAsia="Times New Roman" w:cs="Times New Roman"/>
                <w:b w:val="0"/>
                <w:bCs w:val="0"/>
                <w:spacing w:val="6"/>
                <w:position w:val="6"/>
                <w:sz w:val="13"/>
                <w:szCs w:val="13"/>
                <w:u w:val="none" w:color="auto"/>
              </w:rPr>
              <w:t>-10</w:t>
            </w:r>
            <w:r>
              <w:rPr>
                <w:b w:val="0"/>
                <w:bCs w:val="0"/>
                <w:spacing w:val="6"/>
                <w:u w:val="none" w:color="auto"/>
              </w:rPr>
              <w:t>；或参照</w:t>
            </w:r>
            <w:r>
              <w:rPr>
                <w:rFonts w:ascii="Times New Roman" w:hAnsi="Times New Roman" w:eastAsia="Times New Roman" w:cs="Times New Roman"/>
                <w:b w:val="0"/>
                <w:bCs w:val="0"/>
                <w:u w:val="none" w:color="auto"/>
              </w:rPr>
              <w:t>GB</w:t>
            </w:r>
            <w:r>
              <w:rPr>
                <w:rFonts w:ascii="Times New Roman" w:hAnsi="Times New Roman" w:eastAsia="Times New Roman" w:cs="Times New Roman"/>
                <w:b w:val="0"/>
                <w:bCs w:val="0"/>
                <w:spacing w:val="6"/>
                <w:u w:val="none" w:color="auto"/>
              </w:rPr>
              <w:t>18598</w:t>
            </w:r>
            <w:r>
              <w:rPr>
                <w:b w:val="0"/>
                <w:bCs w:val="0"/>
                <w:spacing w:val="6"/>
                <w:u w:val="none" w:color="auto"/>
              </w:rPr>
              <w:t>执行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1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一般防渗区</w:t>
            </w:r>
          </w:p>
        </w:tc>
        <w:tc>
          <w:tcPr>
            <w:tcW w:w="37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b w:val="0"/>
                <w:bCs w:val="0"/>
                <w:u w:val="none" w:color="auto"/>
                <w:lang w:eastAsia="zh-CN"/>
              </w:rPr>
            </w:pPr>
            <w:r>
              <w:rPr>
                <w:b w:val="0"/>
                <w:bCs w:val="0"/>
                <w:spacing w:val="10"/>
                <w:u w:val="none" w:color="auto"/>
              </w:rPr>
              <w:t>屠宰车间地面、待宰区、</w:t>
            </w:r>
            <w:r>
              <w:rPr>
                <w:rFonts w:hint="eastAsia"/>
                <w:b w:val="0"/>
                <w:bCs w:val="0"/>
                <w:spacing w:val="10"/>
                <w:u w:val="none" w:color="auto"/>
                <w:lang w:eastAsia="zh-CN"/>
              </w:rPr>
              <w:t>一般固废间</w:t>
            </w:r>
          </w:p>
        </w:tc>
        <w:tc>
          <w:tcPr>
            <w:tcW w:w="3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等效黏土防渗层</w:t>
            </w:r>
            <w:r>
              <w:rPr>
                <w:rFonts w:ascii="Times New Roman" w:hAnsi="Times New Roman" w:eastAsia="Times New Roman" w:cs="Times New Roman"/>
                <w:b w:val="0"/>
                <w:bCs w:val="0"/>
                <w:u w:val="none" w:color="auto"/>
              </w:rPr>
              <w:t>Mb</w:t>
            </w:r>
            <w:r>
              <w:rPr>
                <w:rFonts w:ascii="Times New Roman" w:hAnsi="Times New Roman" w:eastAsia="Times New Roman" w:cs="Times New Roman"/>
                <w:b w:val="0"/>
                <w:bCs w:val="0"/>
                <w:spacing w:val="5"/>
                <w:u w:val="none" w:color="auto"/>
              </w:rPr>
              <w:t>≥1.5m</w:t>
            </w:r>
            <w:r>
              <w:rPr>
                <w:b w:val="0"/>
                <w:bCs w:val="0"/>
                <w:spacing w:val="5"/>
                <w:u w:val="none" w:color="auto"/>
              </w:rPr>
              <w:t>，</w:t>
            </w:r>
            <w:r>
              <w:rPr>
                <w:rFonts w:ascii="Times New Roman" w:hAnsi="Times New Roman" w:eastAsia="Times New Roman" w:cs="Times New Roman"/>
                <w:b w:val="0"/>
                <w:bCs w:val="0"/>
                <w:spacing w:val="5"/>
                <w:u w:val="none" w:color="auto"/>
              </w:rPr>
              <w:t>K≤1×10</w:t>
            </w:r>
            <w:r>
              <w:rPr>
                <w:rFonts w:ascii="Times New Roman" w:hAnsi="Times New Roman" w:eastAsia="Times New Roman" w:cs="Times New Roman"/>
                <w:b w:val="0"/>
                <w:bCs w:val="0"/>
                <w:spacing w:val="4"/>
                <w:position w:val="6"/>
                <w:sz w:val="13"/>
                <w:szCs w:val="13"/>
                <w:u w:val="none" w:color="auto"/>
              </w:rPr>
              <w:t>-7</w:t>
            </w:r>
            <w:r>
              <w:rPr>
                <w:rFonts w:ascii="Times New Roman" w:hAnsi="Times New Roman" w:eastAsia="Times New Roman" w:cs="Times New Roman"/>
                <w:b w:val="0"/>
                <w:bCs w:val="0"/>
                <w:spacing w:val="-5"/>
                <w:position w:val="6"/>
                <w:sz w:val="13"/>
                <w:szCs w:val="13"/>
                <w:u w:val="none" w:color="auto"/>
              </w:rPr>
              <w:t xml:space="preserve"> </w:t>
            </w:r>
            <w:r>
              <w:rPr>
                <w:b w:val="0"/>
                <w:bCs w:val="0"/>
                <w:spacing w:val="4"/>
                <w:u w:val="none" w:color="auto"/>
              </w:rPr>
              <w:t>；</w:t>
            </w:r>
            <w:r>
              <w:rPr>
                <w:b w:val="0"/>
                <w:bCs w:val="0"/>
                <w:spacing w:val="6"/>
                <w:u w:val="none" w:color="auto"/>
              </w:rPr>
              <w:t>或参照</w:t>
            </w:r>
            <w:r>
              <w:rPr>
                <w:rFonts w:ascii="Times New Roman" w:hAnsi="Times New Roman" w:eastAsia="Times New Roman" w:cs="Times New Roman"/>
                <w:b w:val="0"/>
                <w:bCs w:val="0"/>
                <w:u w:val="none" w:color="auto"/>
              </w:rPr>
              <w:t>GB</w:t>
            </w:r>
            <w:r>
              <w:rPr>
                <w:rFonts w:ascii="Times New Roman" w:hAnsi="Times New Roman" w:eastAsia="Times New Roman" w:cs="Times New Roman"/>
                <w:b w:val="0"/>
                <w:bCs w:val="0"/>
                <w:spacing w:val="6"/>
                <w:u w:val="none" w:color="auto"/>
              </w:rPr>
              <w:t xml:space="preserve">16889 </w:t>
            </w:r>
            <w:r>
              <w:rPr>
                <w:b w:val="0"/>
                <w:bCs w:val="0"/>
                <w:spacing w:val="6"/>
                <w:u w:val="none" w:color="auto"/>
              </w:rPr>
              <w:t>执行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简单防渗区</w:t>
            </w:r>
          </w:p>
        </w:tc>
        <w:tc>
          <w:tcPr>
            <w:tcW w:w="37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b w:val="0"/>
                <w:bCs w:val="0"/>
                <w:u w:val="none" w:color="auto"/>
                <w:lang w:eastAsia="zh-CN"/>
              </w:rPr>
            </w:pPr>
            <w:r>
              <w:rPr>
                <w:b w:val="0"/>
                <w:bCs w:val="0"/>
                <w:spacing w:val="6"/>
                <w:u w:val="none" w:color="auto"/>
              </w:rPr>
              <w:t>办公区</w:t>
            </w:r>
            <w:r>
              <w:rPr>
                <w:rFonts w:hint="eastAsia"/>
                <w:b w:val="0"/>
                <w:bCs w:val="0"/>
                <w:spacing w:val="6"/>
                <w:u w:val="none" w:color="auto"/>
                <w:lang w:eastAsia="zh-CN"/>
              </w:rPr>
              <w:t>及道路</w:t>
            </w:r>
          </w:p>
        </w:tc>
        <w:tc>
          <w:tcPr>
            <w:tcW w:w="38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一般地面硬化</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（1）重点防渗区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污水收集及处理池、危废暂存间采用钢筋混凝土结构，采用特殊防腐、防渗处理，在防腐、防渗结构上设隔离层，并与地面隔离层连成整体，先用三合土处理，再用水泥硬化，然后再沥青防腐、防渗，并对水泥池内墙贴玻璃纤维布及环氧树脂，以达到防腐、防渗漏目的，渗透系数≤1.0×10</w:t>
      </w:r>
      <w:r>
        <w:rPr>
          <w:rFonts w:hint="default" w:ascii="Times New Roman" w:hAnsi="Times New Roman" w:cs="Times New Roman"/>
          <w:sz w:val="24"/>
          <w:szCs w:val="24"/>
          <w:u w:val="single"/>
          <w:vertAlign w:val="superscript"/>
        </w:rPr>
        <w:t>-10</w:t>
      </w:r>
      <w:r>
        <w:rPr>
          <w:rFonts w:hint="default" w:ascii="Times New Roman" w:hAnsi="Times New Roman" w:cs="Times New Roman"/>
          <w:sz w:val="24"/>
          <w:szCs w:val="24"/>
          <w:u w:val="single"/>
        </w:rPr>
        <w:t>cm/s。</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（2）一般防渗区</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各车间及临时堆粪场地基先用三合土处理，然后上层再铺装防渗聚酯膜，防渗膜上面再铺装混凝土，最上层再用水泥沙浆进行抹面，渗透系数≤10</w:t>
      </w:r>
      <w:r>
        <w:rPr>
          <w:rFonts w:hint="default" w:ascii="Times New Roman" w:hAnsi="Times New Roman" w:cs="Times New Roman"/>
          <w:sz w:val="24"/>
          <w:szCs w:val="24"/>
          <w:u w:val="single"/>
          <w:vertAlign w:val="superscript"/>
        </w:rPr>
        <w:t>-7</w:t>
      </w:r>
      <w:r>
        <w:rPr>
          <w:rFonts w:hint="default" w:ascii="Times New Roman" w:hAnsi="Times New Roman" w:cs="Times New Roman"/>
          <w:sz w:val="24"/>
          <w:szCs w:val="24"/>
          <w:u w:val="single"/>
        </w:rPr>
        <w:t>cm/s。</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（3）简单</w:t>
      </w:r>
      <w:r>
        <w:rPr>
          <w:rFonts w:hint="eastAsia" w:ascii="Times New Roman" w:hAnsi="Times New Roman" w:eastAsia="宋体" w:cs="Times New Roman"/>
          <w:sz w:val="24"/>
          <w:szCs w:val="24"/>
          <w:u w:val="single"/>
          <w:lang w:eastAsia="zh-CN"/>
        </w:rPr>
        <w:t>防渗</w:t>
      </w:r>
      <w:r>
        <w:rPr>
          <w:rFonts w:hint="default" w:ascii="Times New Roman" w:hAnsi="Times New Roman" w:cs="Times New Roman"/>
          <w:sz w:val="24"/>
          <w:szCs w:val="24"/>
          <w:u w:val="single"/>
        </w:rPr>
        <w:t>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rPr>
        <w:t>主要包括办公楼</w:t>
      </w:r>
      <w:r>
        <w:rPr>
          <w:rFonts w:hint="eastAsia" w:ascii="Times New Roman" w:hAnsi="Times New Roman" w:eastAsia="宋体" w:cs="Times New Roman"/>
          <w:sz w:val="24"/>
          <w:szCs w:val="24"/>
          <w:u w:val="single"/>
          <w:lang w:val="en-US" w:eastAsia="zh-CN"/>
        </w:rPr>
        <w:t>和市场</w:t>
      </w:r>
      <w:r>
        <w:rPr>
          <w:rFonts w:hint="default" w:ascii="Times New Roman" w:hAnsi="Times New Roman" w:cs="Times New Roman"/>
          <w:sz w:val="24"/>
          <w:szCs w:val="24"/>
          <w:u w:val="single"/>
        </w:rPr>
        <w:t>区等不会对地下水造成污染的区域。对于基本上不产生污染物的非污染防治区，一般进行地面硬化。</w:t>
      </w:r>
      <w:r>
        <w:rPr>
          <w:rFonts w:hint="eastAsia" w:ascii="Times New Roman" w:hAnsi="Times New Roman" w:eastAsia="宋体" w:cs="Times New Roman"/>
          <w:sz w:val="24"/>
          <w:szCs w:val="24"/>
          <w:u w:val="single"/>
          <w:lang w:eastAsia="zh-CN"/>
        </w:rPr>
        <w:t>本项目</w:t>
      </w:r>
      <w:r>
        <w:rPr>
          <w:rFonts w:hint="default" w:ascii="Times New Roman" w:hAnsi="Times New Roman" w:cs="Times New Roman"/>
          <w:sz w:val="24"/>
          <w:szCs w:val="24"/>
          <w:u w:val="single"/>
          <w:lang w:val="en-US" w:eastAsia="zh-CN"/>
        </w:rPr>
        <w:t>厂区</w:t>
      </w:r>
      <w:r>
        <w:rPr>
          <w:rFonts w:hint="default" w:ascii="Times New Roman" w:hAnsi="Times New Roman" w:cs="Times New Roman"/>
          <w:sz w:val="24"/>
          <w:szCs w:val="24"/>
          <w:u w:val="single"/>
          <w:lang w:eastAsia="zh-CN"/>
        </w:rPr>
        <w:t>分区防渗示意</w:t>
      </w:r>
      <w:r>
        <w:rPr>
          <w:rFonts w:hint="default" w:ascii="Times New Roman" w:hAnsi="Times New Roman" w:cs="Times New Roman"/>
          <w:sz w:val="24"/>
          <w:szCs w:val="24"/>
          <w:u w:val="single"/>
        </w:rPr>
        <w:t>图</w:t>
      </w:r>
      <w:r>
        <w:rPr>
          <w:rFonts w:hint="eastAsia" w:ascii="Times New Roman" w:hAnsi="Times New Roman" w:eastAsia="宋体" w:cs="Times New Roman"/>
          <w:sz w:val="24"/>
          <w:szCs w:val="24"/>
          <w:u w:val="single"/>
          <w:lang w:eastAsia="zh-CN"/>
        </w:rPr>
        <w:t>，见附图四。</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eastAsia="宋体" w:cs="Times New Roman"/>
          <w:b/>
          <w:bCs/>
          <w:sz w:val="24"/>
          <w:szCs w:val="24"/>
          <w:lang w:val="en-US" w:eastAsia="zh-CN"/>
        </w:rPr>
        <w:t>6.2.3.</w:t>
      </w:r>
      <w:r>
        <w:rPr>
          <w:rFonts w:hint="default" w:ascii="Times New Roman" w:hAnsi="Times New Roman" w:cs="Times New Roman"/>
          <w:b/>
          <w:bCs/>
          <w:sz w:val="24"/>
          <w:szCs w:val="24"/>
        </w:rPr>
        <w:t>3环境保护措施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（1）污染途径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污染物从污染源进入地下水所经过路径称为地下水污染途径，地下水污染途径 是多种多样的。根据工程所处区域的地质情况，拟建项目可能对下水造成污染的途径主要有：废水处理设施（包括生活污水收集设施、污水处理站）渗漏、固体废物堆放处置不当对地下水造成的污染。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（2）影响分析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①对浅层地下水的污染影响</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正常情况下，对地下水的污染主要是由于污染物迁移穿过包气带进入含水层造成。项目场地为粉质粘土层，包气带防污性能为强级，说明浅层地下水不容易受到污染。若废水发生渗漏，污染物不会很快穿过包气带进入浅层地下水，对浅层地下水的污染很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②对深层地下水的污染影响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判断深层地下水是否会受到污染影响，通常分析深层地下水含水组上覆地层的防污性能和有无与浅层地下水的水利联系。通过水文地质条件分析，区内在耕植层以下有一层0.1～1m厚的重亚砂土层，所以垂直渗入补给条件较差，与浅层地下水水利联系不密切。因此，深层地下水不会受到项目下渗污水的污染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（3）地下水保护预防措施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①污水处理站：采用抗渗等级大于P8的混凝土进行施工，混凝土厚度大于15cm，底部及池壁加设防渗层，确保防渗系数小于1×10</w:t>
      </w:r>
      <w:r>
        <w:rPr>
          <w:rFonts w:hint="default" w:ascii="Times New Roman" w:hAnsi="Times New Roman" w:cs="Times New Roman"/>
          <w:sz w:val="24"/>
          <w:szCs w:val="24"/>
          <w:vertAlign w:val="superscript"/>
        </w:rPr>
        <w:t>-10</w:t>
      </w:r>
      <w:r>
        <w:rPr>
          <w:rFonts w:hint="default" w:ascii="Times New Roman" w:hAnsi="Times New Roman" w:cs="Times New Roman"/>
          <w:sz w:val="24"/>
          <w:szCs w:val="24"/>
        </w:rPr>
        <w:t>cm/s。</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②应急事故池：采用采用抗渗等级大于P8的混凝土进行施工，混凝土厚度大于15cm，底部及池壁加设防渗层，确保防渗系数小于1×10</w:t>
      </w:r>
      <w:r>
        <w:rPr>
          <w:rFonts w:hint="default" w:ascii="Times New Roman" w:hAnsi="Times New Roman" w:cs="Times New Roman"/>
          <w:sz w:val="24"/>
          <w:szCs w:val="24"/>
          <w:vertAlign w:val="superscript"/>
        </w:rPr>
        <w:t>-10</w:t>
      </w:r>
      <w:r>
        <w:rPr>
          <w:rFonts w:hint="default" w:ascii="Times New Roman" w:hAnsi="Times New Roman" w:cs="Times New Roman"/>
          <w:sz w:val="24"/>
          <w:szCs w:val="24"/>
        </w:rPr>
        <w:t>cm/s。</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③待宰间、屠宰车间：地面及墙裙采用抗渗等级大于P6混凝土进行施工，混凝土厚度大于15cm，同时屠宰车间地面涂刷防渗涂料，确保防渗系数小于1×10</w:t>
      </w:r>
      <w:r>
        <w:rPr>
          <w:rFonts w:hint="default" w:ascii="Times New Roman" w:hAnsi="Times New Roman" w:cs="Times New Roman"/>
          <w:sz w:val="24"/>
          <w:szCs w:val="24"/>
          <w:vertAlign w:val="superscript"/>
        </w:rPr>
        <w:t>-7</w:t>
      </w:r>
      <w:r>
        <w:rPr>
          <w:rFonts w:hint="default" w:ascii="Times New Roman" w:hAnsi="Times New Roman" w:cs="Times New Roman"/>
          <w:sz w:val="24"/>
          <w:szCs w:val="24"/>
        </w:rPr>
        <w:t>cm/s。</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④污水管道：地下布置的污水管道耐腐蚀PP或PVC厚壁管材，此外，沿管道铺设的位置进行地面混泥土硬化处理，同时沿管道设置检查井。</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（4）地下水污染监控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建设单位应定期委托有资质机构对项目内的地下水进行分析，以了解该区域地下水的水质情况。同时，应对各防渗区域尤其是重点防渗区域进行定期检查，如发现泄漏或发生事故，应及时确定泄漏污染源，并采取应急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（5）污染突发事件应急措施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地下水污染事件发生后，为防止污染物向下游扩散，根据前述分析，可以采取以下相应措施来控制：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源头控制：一旦发生调节池、污水处理站废水泄漏，应及时切断并封堵泄漏源，将泄漏量控制在最小程度；对泄漏物所在的地面进行及时截流封堵，尽可能将泄漏物控制在一个相对较小的范围内，防止泄漏物四处流淌而增加地下水污染的风险；</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途径控制：项目区地下水埋深浅、含水层厚度薄、富水性差，受污染的地下水会较长时间的存在于项目建设区所在区域的潜水含水层中，对于明显受泄漏物影响的土壤要及时挖掘清理并妥善处置，防止泄漏物进一步下渗，同时可考虑通过小范围内的地下水导排措施降低地下水水位，切断污染物在地下水中的迁移途径，防止污染羽扩散。</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eastAsia="宋体" w:cs="Times New Roman"/>
          <w:b/>
          <w:bCs/>
          <w:sz w:val="24"/>
          <w:szCs w:val="24"/>
          <w:lang w:val="en-US" w:eastAsia="zh-CN"/>
        </w:rPr>
        <w:t>6.2.3.</w:t>
      </w:r>
      <w:r>
        <w:rPr>
          <w:rFonts w:hint="default" w:ascii="Times New Roman" w:hAnsi="Times New Roman" w:cs="Times New Roman"/>
          <w:b/>
          <w:bCs/>
          <w:sz w:val="24"/>
          <w:szCs w:val="24"/>
        </w:rPr>
        <w:t>4地下水环境监测</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企业应建立地下水环境监测管理体系，制定地下水环境影响跟踪监测计划，建立地下水环境影响跟踪监测制度，配备先进的监测仪器和设备，以便及时发现问题采取措施。根据项目实际情况，将厂区下游水井作为跟踪监测井，在生产运营过程中，应按照监测计划，及时开展跟踪监测。具体跟踪监测计划见第八章环境管理与监测计划。同时出具的地下水跟踪监测报告应当具备以下内容：</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（1）建设项目所在场地及其影响区地下水环境跟踪监测数据，排放污染物种类、数量、浓度。</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（2）生产设备、管廊或管线、贮存与运输装置、污染物贮存与处理装置、事故应急装置等设施运行情况、跑冒滴漏记录、维护记录。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（3）信息公开计划应至少包括建设项目特征因子（K</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、Na</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、Ca</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、Mg</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、CO</w:t>
      </w:r>
      <w:r>
        <w:rPr>
          <w:rFonts w:hint="default" w:ascii="Times New Roman" w:hAnsi="Times New Roman" w:cs="Times New Roman"/>
          <w:sz w:val="24"/>
          <w:szCs w:val="24"/>
          <w:vertAlign w:val="subscript"/>
        </w:rPr>
        <w:t>3</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、HCO</w:t>
      </w:r>
      <w:r>
        <w:rPr>
          <w:rFonts w:hint="default" w:ascii="Times New Roman" w:hAnsi="Times New Roman" w:cs="Times New Roman"/>
          <w:sz w:val="24"/>
          <w:szCs w:val="24"/>
          <w:vertAlign w:val="subscript"/>
        </w:rPr>
        <w:t>3</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、Cl</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、SO</w:t>
      </w:r>
      <w:r>
        <w:rPr>
          <w:rFonts w:hint="default" w:ascii="Times New Roman" w:hAnsi="Times New Roman" w:cs="Times New Roman"/>
          <w:sz w:val="24"/>
          <w:szCs w:val="24"/>
          <w:vertAlign w:val="subscript"/>
        </w:rPr>
        <w:t>4</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；pH、氨氮、硝酸盐（以N计）、亚硝酸盐（以N计）、挥发性酚类、氰化物、砷、汞、铬（六价）、总硬度（以CaCO</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计）、铅、氟、镉、铁、锰、溶解性总固体、硫酸盐、氯化物、总大肠菌群）的地下水环境监测值。</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szCs w:val="24"/>
        </w:rPr>
      </w:pPr>
      <w:r>
        <w:rPr>
          <w:rFonts w:hint="eastAsia" w:ascii="Times New Roman" w:hAnsi="Times New Roman" w:eastAsia="宋体" w:cs="Times New Roman"/>
          <w:b/>
          <w:bCs/>
          <w:sz w:val="24"/>
          <w:szCs w:val="24"/>
          <w:lang w:val="en-US" w:eastAsia="zh-CN"/>
        </w:rPr>
        <w:t>6.2.3.</w:t>
      </w:r>
      <w:r>
        <w:rPr>
          <w:rFonts w:hint="default" w:ascii="Times New Roman" w:hAnsi="Times New Roman" w:cs="Times New Roman"/>
          <w:b/>
          <w:bCs/>
          <w:sz w:val="24"/>
          <w:szCs w:val="24"/>
        </w:rPr>
        <w:t>5应急响应</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企业应制定响应的地下水污染应急响应预案。在地下水跟踪监测过程中，发现地下水受到污染，应立即启动应急响应预案，并上报</w:t>
      </w:r>
      <w:r>
        <w:rPr>
          <w:rFonts w:hint="eastAsia" w:ascii="Times New Roman" w:hAnsi="Times New Roman" w:eastAsia="宋体" w:cs="Times New Roman"/>
          <w:sz w:val="24"/>
          <w:szCs w:val="24"/>
          <w:lang w:eastAsia="zh-CN"/>
        </w:rPr>
        <w:t>叶县</w:t>
      </w:r>
      <w:r>
        <w:rPr>
          <w:rFonts w:hint="default" w:ascii="Times New Roman" w:hAnsi="Times New Roman" w:cs="Times New Roman"/>
          <w:sz w:val="24"/>
          <w:szCs w:val="24"/>
        </w:rPr>
        <w:t>环保局及政府，公告当地居民。并根据污染特性，采取相应的控制污染源、切断污染途径等措施。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综合以上分析，评价认为经采取以上措施后，可以有效避免对地下水的影响，</w:t>
      </w:r>
      <w:bookmarkStart w:id="439" w:name="bookmark113"/>
      <w:bookmarkEnd w:id="439"/>
      <w:r>
        <w:rPr>
          <w:rFonts w:hint="default" w:ascii="Times New Roman" w:hAnsi="Times New Roman" w:cs="Times New Roman"/>
          <w:sz w:val="24"/>
          <w:szCs w:val="24"/>
        </w:rPr>
        <w:t>措施可行。</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r>
        <w:rPr>
          <w:rFonts w:ascii="Times New Roman" w:hAnsi="Times New Roman" w:eastAsia="Times New Roman" w:cs="Times New Roman"/>
          <w:spacing w:val="-1"/>
          <w:sz w:val="28"/>
          <w:szCs w:val="28"/>
        </w:rPr>
        <w:t>6.2.4</w:t>
      </w:r>
      <w:r>
        <w:rPr>
          <w:rFonts w:ascii="楷体" w:hAnsi="楷体" w:eastAsia="楷体" w:cs="楷体"/>
          <w:spacing w:val="-1"/>
          <w:sz w:val="28"/>
          <w:szCs w:val="28"/>
        </w:rPr>
        <w:t>营运期噪声污染防治措施分析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24"/>
        </w:rPr>
      </w:pPr>
      <w:r>
        <w:rPr>
          <w:sz w:val="24"/>
          <w:szCs w:val="24"/>
        </w:rPr>
        <w:t>工程噪声源主要为制冷系统压缩机、污水站内的泵房、风机、屠宰加工车间设备以及车间配套风机噪声。工程拟采取以下措施对高噪源进行治理：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（1）风机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lang w:eastAsia="zh-CN"/>
        </w:rPr>
        <w:t>生物除臭塔引</w:t>
      </w:r>
      <w:r>
        <w:rPr>
          <w:rFonts w:hint="default" w:ascii="Times New Roman" w:hAnsi="Times New Roman" w:cs="Times New Roman"/>
          <w:sz w:val="24"/>
          <w:szCs w:val="24"/>
        </w:rPr>
        <w:t>风机以空气动力性噪声为主，选型时应选择高效低噪声风机；风机进、出口与管道连接处，应安装柔性接管</w:t>
      </w:r>
      <w:r>
        <w:rPr>
          <w:rFonts w:hint="eastAsia" w:ascii="Times New Roman" w:hAnsi="Times New Roman" w:eastAsia="宋体" w:cs="Times New Roman"/>
          <w:sz w:val="24"/>
          <w:szCs w:val="24"/>
          <w:lang w:eastAsia="zh-CN"/>
        </w:rPr>
        <w:t>，并配套采取基础减振的措施</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（2）制冷压缩机、屠宰加工车间设备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该类高噪设备一般放置在车间内，评价建议采取基础减</w:t>
      </w:r>
      <w:r>
        <w:rPr>
          <w:rFonts w:hint="eastAsia" w:ascii="Times New Roman" w:hAnsi="Times New Roman" w:eastAsia="宋体" w:cs="Times New Roman"/>
          <w:sz w:val="24"/>
          <w:szCs w:val="24"/>
          <w:lang w:eastAsia="zh-CN"/>
        </w:rPr>
        <w:t>振</w:t>
      </w:r>
      <w:r>
        <w:rPr>
          <w:rFonts w:hint="default" w:ascii="Times New Roman" w:hAnsi="Times New Roman" w:cs="Times New Roman"/>
          <w:sz w:val="24"/>
          <w:szCs w:val="24"/>
        </w:rPr>
        <w:t>、厂房隔声的措施。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（3）泵类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泵类噪声主要来自液力系统和机械部件，根据其特点，降噪措施主要采用基础减振、厂房隔音等措施。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通过采取上述安装减震、加设隔音和等措施，可以有效地降低噪声。类比同类 企业情况，评价认为可以将高噪声设备</w:t>
      </w:r>
      <w:r>
        <w:rPr>
          <w:rFonts w:hint="eastAsia" w:ascii="Times New Roman" w:hAnsi="Times New Roman" w:eastAsia="宋体" w:cs="Times New Roman"/>
          <w:sz w:val="24"/>
          <w:szCs w:val="24"/>
          <w:lang w:eastAsia="zh-CN"/>
        </w:rPr>
        <w:t>源强</w:t>
      </w:r>
      <w:r>
        <w:rPr>
          <w:rFonts w:hint="default" w:ascii="Times New Roman" w:hAnsi="Times New Roman" w:cs="Times New Roman"/>
          <w:sz w:val="24"/>
          <w:szCs w:val="24"/>
        </w:rPr>
        <w:t>降低</w:t>
      </w:r>
      <w:r>
        <w:rPr>
          <w:rFonts w:hint="eastAsia" w:ascii="Times New Roman" w:hAnsi="Times New Roman" w:eastAsia="宋体" w:cs="Times New Roman"/>
          <w:sz w:val="24"/>
          <w:szCs w:val="24"/>
          <w:lang w:val="en-US" w:eastAsia="zh-CN"/>
        </w:rPr>
        <w:t>2</w:t>
      </w:r>
      <w:r>
        <w:rPr>
          <w:rFonts w:hint="default" w:ascii="Times New Roman" w:hAnsi="Times New Roman" w:cs="Times New Roman"/>
          <w:sz w:val="24"/>
          <w:szCs w:val="24"/>
        </w:rPr>
        <w:t>0dB（A），大大减轻项目噪声对周围环境的影响。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本次工程拟采取的隔音、降噪措施具体见表6-1</w:t>
      </w:r>
      <w:r>
        <w:rPr>
          <w:rFonts w:hint="eastAsia" w:ascii="Times New Roman" w:hAnsi="Times New Roman" w:eastAsia="宋体" w:cs="Times New Roman"/>
          <w:sz w:val="24"/>
          <w:szCs w:val="24"/>
          <w:lang w:val="en-US" w:eastAsia="zh-CN"/>
        </w:rPr>
        <w:t>3</w:t>
      </w:r>
      <w:r>
        <w:rPr>
          <w:rFonts w:hint="default" w:ascii="Times New Roman" w:hAnsi="Times New Roman" w:cs="Times New Roman"/>
          <w:sz w:val="24"/>
          <w:szCs w:val="24"/>
        </w:rPr>
        <w:t>。</w:t>
      </w:r>
    </w:p>
    <w:p>
      <w:pPr>
        <w:jc w:val="center"/>
        <w:rPr>
          <w:rFonts w:hint="default" w:ascii="Times New Roman" w:hAnsi="Times New Roman" w:cs="Times New Roman"/>
          <w:b/>
          <w:bCs/>
          <w:sz w:val="24"/>
          <w:szCs w:val="24"/>
        </w:rPr>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6-1</w:t>
      </w:r>
      <w:r>
        <w:rPr>
          <w:rFonts w:hint="eastAsia" w:ascii="Times New Roman" w:hAnsi="Times New Roman" w:eastAsia="宋体" w:cs="Times New Roman"/>
          <w:b/>
          <w:bCs/>
          <w:sz w:val="24"/>
          <w:szCs w:val="24"/>
          <w:lang w:val="en-US" w:eastAsia="zh-CN"/>
        </w:rPr>
        <w:t>3</w:t>
      </w:r>
      <w:r>
        <w:rPr>
          <w:rFonts w:ascii="Times New Roman" w:hAnsi="Times New Roman" w:eastAsia="Times New Roman" w:cs="Times New Roman"/>
          <w:b/>
          <w:bCs/>
          <w:sz w:val="24"/>
          <w:szCs w:val="24"/>
        </w:rPr>
        <w:t xml:space="preserve">         </w:t>
      </w:r>
      <w:bookmarkStart w:id="440" w:name="bookmark114"/>
      <w:bookmarkEnd w:id="440"/>
      <w:r>
        <w:rPr>
          <w:rFonts w:hint="default" w:ascii="Times New Roman" w:hAnsi="Times New Roman" w:cs="Times New Roman"/>
          <w:b/>
          <w:bCs/>
          <w:sz w:val="24"/>
          <w:szCs w:val="24"/>
        </w:rPr>
        <w:t>拟建项目噪声源源强一览表</w:t>
      </w:r>
    </w:p>
    <w:tbl>
      <w:tblPr>
        <w:tblStyle w:val="24"/>
        <w:tblW w:w="9137"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
      <w:tblGrid>
        <w:gridCol w:w="673"/>
        <w:gridCol w:w="2119"/>
        <w:gridCol w:w="1450"/>
        <w:gridCol w:w="2550"/>
        <w:gridCol w:w="1252"/>
        <w:gridCol w:w="109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454" w:hRule="atLeast"/>
          <w:jc w:val="center"/>
        </w:trPr>
        <w:tc>
          <w:tcPr>
            <w:tcW w:w="67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5"/>
                <w:sz w:val="20"/>
                <w:szCs w:val="20"/>
              </w:rPr>
              <w:t>序号</w:t>
            </w:r>
          </w:p>
        </w:tc>
        <w:tc>
          <w:tcPr>
            <w:tcW w:w="21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3"/>
                <w:sz w:val="20"/>
                <w:szCs w:val="20"/>
              </w:rPr>
              <w:t>噪声源</w:t>
            </w:r>
          </w:p>
        </w:tc>
        <w:tc>
          <w:tcPr>
            <w:tcW w:w="145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5"/>
                <w:sz w:val="20"/>
                <w:szCs w:val="20"/>
              </w:rPr>
              <w:t>源强</w:t>
            </w:r>
          </w:p>
        </w:tc>
        <w:tc>
          <w:tcPr>
            <w:tcW w:w="255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4"/>
                <w:sz w:val="20"/>
                <w:szCs w:val="20"/>
              </w:rPr>
              <w:t>措施</w:t>
            </w:r>
          </w:p>
        </w:tc>
        <w:tc>
          <w:tcPr>
            <w:tcW w:w="12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8"/>
                <w:sz w:val="20"/>
                <w:szCs w:val="20"/>
              </w:rPr>
              <w:t>措施后源强</w:t>
            </w:r>
          </w:p>
        </w:tc>
        <w:tc>
          <w:tcPr>
            <w:tcW w:w="10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7"/>
                <w:sz w:val="20"/>
                <w:szCs w:val="20"/>
              </w:rPr>
              <w:t>排放特征</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454" w:hRule="atLeast"/>
          <w:jc w:val="center"/>
        </w:trPr>
        <w:tc>
          <w:tcPr>
            <w:tcW w:w="67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rPr>
            </w:pPr>
            <w:r>
              <w:rPr>
                <w:rFonts w:hint="default" w:ascii="Times New Roman" w:hAnsi="Times New Roman" w:cs="Times New Roman"/>
              </w:rPr>
              <w:t>1</w:t>
            </w:r>
          </w:p>
        </w:tc>
        <w:tc>
          <w:tcPr>
            <w:tcW w:w="21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pacing w:val="8"/>
                <w:sz w:val="20"/>
                <w:szCs w:val="20"/>
              </w:rPr>
              <w:t>待宰圈内</w:t>
            </w:r>
            <w:r>
              <w:rPr>
                <w:rFonts w:hint="eastAsia" w:ascii="Times New Roman" w:hAnsi="Times New Roman" w:eastAsia="宋体" w:cs="Times New Roman"/>
                <w:spacing w:val="8"/>
                <w:sz w:val="20"/>
                <w:szCs w:val="20"/>
                <w:lang w:eastAsia="zh-CN"/>
              </w:rPr>
              <w:t>牛羊</w:t>
            </w:r>
            <w:r>
              <w:rPr>
                <w:rFonts w:hint="default" w:ascii="Times New Roman" w:hAnsi="Times New Roman" w:eastAsia="宋体" w:cs="Times New Roman"/>
                <w:spacing w:val="8"/>
                <w:sz w:val="20"/>
                <w:szCs w:val="20"/>
              </w:rPr>
              <w:t>鸣叫声</w:t>
            </w:r>
          </w:p>
        </w:tc>
        <w:tc>
          <w:tcPr>
            <w:tcW w:w="14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en-US" w:bidi="ar-SA"/>
              </w:rPr>
            </w:pPr>
            <w:r>
              <w:rPr>
                <w:rFonts w:hint="eastAsia" w:ascii="Times New Roman" w:hAnsi="Times New Roman" w:cs="Times New Roman"/>
                <w:spacing w:val="1"/>
                <w:lang w:val="en-US" w:eastAsia="zh-CN"/>
              </w:rPr>
              <w:t>90</w:t>
            </w:r>
            <w:r>
              <w:rPr>
                <w:rFonts w:hint="default" w:ascii="Times New Roman" w:hAnsi="Times New Roman" w:cs="Times New Roman"/>
              </w:rPr>
              <w:t>dB</w:t>
            </w:r>
            <w:r>
              <w:rPr>
                <w:rFonts w:hint="default" w:ascii="Times New Roman" w:hAnsi="Times New Roman" w:cs="Times New Roman"/>
                <w:spacing w:val="1"/>
              </w:rPr>
              <w:t>(A)</w:t>
            </w:r>
          </w:p>
        </w:tc>
        <w:tc>
          <w:tcPr>
            <w:tcW w:w="255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宋体" w:cs="Times New Roman"/>
                <w:spacing w:val="9"/>
                <w:sz w:val="20"/>
                <w:szCs w:val="20"/>
              </w:rPr>
            </w:pPr>
            <w:r>
              <w:rPr>
                <w:rFonts w:hint="default" w:ascii="Times New Roman" w:hAnsi="Times New Roman" w:eastAsia="宋体" w:cs="Times New Roman"/>
                <w:spacing w:val="9"/>
                <w:sz w:val="20"/>
                <w:szCs w:val="20"/>
              </w:rPr>
              <w:t>采用低噪声设备、对基础做减振处理、对高噪设备如各类风机与水泵加装减震基础、柔性接头；</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9"/>
                <w:sz w:val="20"/>
                <w:szCs w:val="20"/>
              </w:rPr>
              <w:t>对空气动力性噪声设备引风机进风口安装消声器，再经墙壁衰减</w:t>
            </w:r>
            <w:r>
              <w:rPr>
                <w:rFonts w:hint="default" w:ascii="Times New Roman" w:hAnsi="Times New Roman" w:eastAsia="宋体" w:cs="Times New Roman"/>
                <w:spacing w:val="5"/>
                <w:sz w:val="20"/>
                <w:szCs w:val="20"/>
              </w:rPr>
              <w:t>围墙顶棚隔挡</w:t>
            </w:r>
          </w:p>
        </w:tc>
        <w:tc>
          <w:tcPr>
            <w:tcW w:w="12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snapToGrid w:val="0"/>
                <w:color w:val="000000"/>
                <w:kern w:val="0"/>
                <w:sz w:val="20"/>
                <w:szCs w:val="20"/>
                <w:lang w:val="en-US" w:eastAsia="zh-CN" w:bidi="ar-SA"/>
              </w:rPr>
            </w:pPr>
            <w:r>
              <w:rPr>
                <w:rFonts w:hint="eastAsia" w:ascii="Times New Roman" w:hAnsi="Times New Roman" w:cs="Times New Roman"/>
                <w:spacing w:val="-2"/>
                <w:lang w:val="en-US" w:eastAsia="zh-CN"/>
              </w:rPr>
              <w:t>70</w:t>
            </w:r>
          </w:p>
        </w:tc>
        <w:tc>
          <w:tcPr>
            <w:tcW w:w="10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pacing w:val="-4"/>
                <w:sz w:val="20"/>
                <w:szCs w:val="20"/>
              </w:rPr>
              <w:t>间歇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454" w:hRule="atLeast"/>
          <w:jc w:val="center"/>
        </w:trPr>
        <w:tc>
          <w:tcPr>
            <w:tcW w:w="67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rPr>
            </w:pPr>
            <w:r>
              <w:rPr>
                <w:rFonts w:hint="default" w:ascii="Times New Roman" w:hAnsi="Times New Roman" w:cs="Times New Roman"/>
              </w:rPr>
              <w:t>2</w:t>
            </w:r>
          </w:p>
        </w:tc>
        <w:tc>
          <w:tcPr>
            <w:tcW w:w="21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pacing w:val="8"/>
                <w:sz w:val="20"/>
                <w:szCs w:val="20"/>
              </w:rPr>
              <w:t>屠宰车间加工</w:t>
            </w:r>
            <w:r>
              <w:rPr>
                <w:rFonts w:hint="eastAsia" w:ascii="Times New Roman" w:hAnsi="Times New Roman" w:eastAsia="宋体" w:cs="Times New Roman"/>
                <w:spacing w:val="8"/>
                <w:sz w:val="20"/>
                <w:szCs w:val="20"/>
                <w:lang w:eastAsia="zh-CN"/>
              </w:rPr>
              <w:t>设备</w:t>
            </w:r>
          </w:p>
        </w:tc>
        <w:tc>
          <w:tcPr>
            <w:tcW w:w="14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cs="Times New Roman"/>
                <w:spacing w:val="4"/>
              </w:rPr>
              <w:t>80</w:t>
            </w:r>
            <w:r>
              <w:rPr>
                <w:rFonts w:hint="default" w:ascii="Times New Roman" w:hAnsi="Times New Roman" w:cs="Times New Roman"/>
              </w:rPr>
              <w:t>dB</w:t>
            </w:r>
            <w:r>
              <w:rPr>
                <w:rFonts w:hint="default" w:ascii="Times New Roman" w:hAnsi="Times New Roman" w:cs="Times New Roman"/>
                <w:spacing w:val="4"/>
              </w:rPr>
              <w:t>(A)</w:t>
            </w:r>
          </w:p>
        </w:tc>
        <w:tc>
          <w:tcPr>
            <w:tcW w:w="25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pacing w:val="9"/>
                <w:sz w:val="20"/>
                <w:szCs w:val="20"/>
              </w:rPr>
            </w:pPr>
          </w:p>
        </w:tc>
        <w:tc>
          <w:tcPr>
            <w:tcW w:w="12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rPr>
              <w:t>6</w:t>
            </w:r>
            <w:r>
              <w:rPr>
                <w:rFonts w:hint="eastAsia" w:ascii="Times New Roman" w:hAnsi="Times New Roman" w:cs="Times New Roman"/>
                <w:lang w:val="en-US" w:eastAsia="zh-CN"/>
              </w:rPr>
              <w:t>0</w:t>
            </w:r>
          </w:p>
        </w:tc>
        <w:tc>
          <w:tcPr>
            <w:tcW w:w="10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pacing w:val="4"/>
                <w:sz w:val="20"/>
                <w:szCs w:val="20"/>
              </w:rPr>
              <w:t>连续</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454" w:hRule="atLeast"/>
          <w:jc w:val="center"/>
        </w:trPr>
        <w:tc>
          <w:tcPr>
            <w:tcW w:w="67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rPr>
            </w:pPr>
            <w:r>
              <w:rPr>
                <w:rFonts w:hint="default" w:ascii="Times New Roman" w:hAnsi="Times New Roman" w:cs="Times New Roman"/>
              </w:rPr>
              <w:t>3</w:t>
            </w:r>
          </w:p>
        </w:tc>
        <w:tc>
          <w:tcPr>
            <w:tcW w:w="21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Times New Roman" w:hAnsi="Times New Roman" w:eastAsia="宋体" w:cs="Times New Roman"/>
                <w:sz w:val="20"/>
                <w:szCs w:val="20"/>
                <w:lang w:eastAsia="zh-CN"/>
              </w:rPr>
            </w:pPr>
            <w:r>
              <w:rPr>
                <w:rFonts w:hint="default" w:ascii="Times New Roman" w:hAnsi="Times New Roman" w:eastAsia="宋体" w:cs="Times New Roman"/>
                <w:spacing w:val="7"/>
                <w:sz w:val="20"/>
                <w:szCs w:val="20"/>
              </w:rPr>
              <w:t>污水处理站</w:t>
            </w:r>
            <w:r>
              <w:rPr>
                <w:rFonts w:hint="eastAsia" w:ascii="Times New Roman" w:hAnsi="Times New Roman" w:eastAsia="宋体" w:cs="Times New Roman"/>
                <w:spacing w:val="7"/>
                <w:sz w:val="20"/>
                <w:szCs w:val="20"/>
                <w:lang w:eastAsia="zh-CN"/>
              </w:rPr>
              <w:t>污水泵</w:t>
            </w:r>
          </w:p>
        </w:tc>
        <w:tc>
          <w:tcPr>
            <w:tcW w:w="14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rPr>
            </w:pPr>
            <w:r>
              <w:rPr>
                <w:rFonts w:hint="eastAsia" w:ascii="Times New Roman" w:hAnsi="Times New Roman" w:cs="Times New Roman"/>
                <w:spacing w:val="2"/>
                <w:lang w:val="en-US" w:eastAsia="zh-CN"/>
              </w:rPr>
              <w:t>85</w:t>
            </w:r>
            <w:r>
              <w:rPr>
                <w:rFonts w:hint="default" w:ascii="Times New Roman" w:hAnsi="Times New Roman" w:cs="Times New Roman"/>
              </w:rPr>
              <w:t>dB</w:t>
            </w:r>
            <w:r>
              <w:rPr>
                <w:rFonts w:hint="default" w:ascii="Times New Roman" w:hAnsi="Times New Roman" w:cs="Times New Roman"/>
                <w:spacing w:val="2"/>
              </w:rPr>
              <w:t>(A)</w:t>
            </w:r>
          </w:p>
        </w:tc>
        <w:tc>
          <w:tcPr>
            <w:tcW w:w="25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sz w:val="21"/>
              </w:rPr>
            </w:pPr>
          </w:p>
        </w:tc>
        <w:tc>
          <w:tcPr>
            <w:tcW w:w="12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lang w:val="en-US" w:eastAsia="zh-CN"/>
              </w:rPr>
            </w:pPr>
            <w:r>
              <w:rPr>
                <w:rFonts w:hint="eastAsia" w:ascii="Times New Roman" w:hAnsi="Times New Roman" w:cs="Times New Roman"/>
                <w:spacing w:val="-2"/>
                <w:lang w:val="en-US" w:eastAsia="zh-CN"/>
              </w:rPr>
              <w:t>65</w:t>
            </w:r>
          </w:p>
        </w:tc>
        <w:tc>
          <w:tcPr>
            <w:tcW w:w="10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4"/>
                <w:sz w:val="20"/>
                <w:szCs w:val="20"/>
              </w:rPr>
              <w:t>连续</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454" w:hRule="atLeast"/>
          <w:jc w:val="center"/>
        </w:trPr>
        <w:tc>
          <w:tcPr>
            <w:tcW w:w="67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rPr>
            </w:pPr>
            <w:r>
              <w:rPr>
                <w:rFonts w:hint="eastAsia" w:ascii="Times New Roman" w:hAnsi="Times New Roman" w:cs="Times New Roman"/>
                <w:lang w:val="en-US" w:eastAsia="zh-CN"/>
              </w:rPr>
              <w:t>4</w:t>
            </w:r>
          </w:p>
        </w:tc>
        <w:tc>
          <w:tcPr>
            <w:tcW w:w="21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生物除臭塔引风机</w:t>
            </w:r>
          </w:p>
        </w:tc>
        <w:tc>
          <w:tcPr>
            <w:tcW w:w="14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85</w:t>
            </w:r>
            <w:r>
              <w:rPr>
                <w:rFonts w:hint="default" w:ascii="Times New Roman" w:hAnsi="Times New Roman" w:cs="Times New Roman"/>
              </w:rPr>
              <w:t>dB</w:t>
            </w:r>
            <w:r>
              <w:rPr>
                <w:rFonts w:hint="default" w:ascii="Times New Roman" w:hAnsi="Times New Roman" w:cs="Times New Roman"/>
                <w:spacing w:val="2"/>
              </w:rPr>
              <w:t>(A)</w:t>
            </w:r>
          </w:p>
        </w:tc>
        <w:tc>
          <w:tcPr>
            <w:tcW w:w="25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sz w:val="21"/>
              </w:rPr>
            </w:pPr>
          </w:p>
        </w:tc>
        <w:tc>
          <w:tcPr>
            <w:tcW w:w="12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rPr>
            </w:pPr>
            <w:r>
              <w:rPr>
                <w:rFonts w:hint="eastAsia" w:ascii="Times New Roman" w:hAnsi="Times New Roman" w:cs="Times New Roman"/>
                <w:spacing w:val="-2"/>
                <w:lang w:val="en-US" w:eastAsia="zh-CN"/>
              </w:rPr>
              <w:t>65</w:t>
            </w:r>
          </w:p>
        </w:tc>
        <w:tc>
          <w:tcPr>
            <w:tcW w:w="10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4"/>
                <w:sz w:val="20"/>
                <w:szCs w:val="20"/>
              </w:rPr>
              <w:t>连续</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Ex>
        <w:trPr>
          <w:trHeight w:val="454" w:hRule="atLeast"/>
          <w:jc w:val="center"/>
        </w:trPr>
        <w:tc>
          <w:tcPr>
            <w:tcW w:w="673"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5</w:t>
            </w:r>
          </w:p>
        </w:tc>
        <w:tc>
          <w:tcPr>
            <w:tcW w:w="21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eastAsia="宋体" w:cs="Times New Roman"/>
                <w:spacing w:val="8"/>
                <w:sz w:val="20"/>
                <w:szCs w:val="20"/>
              </w:rPr>
              <w:t>制冷压缩机房</w:t>
            </w:r>
            <w:r>
              <w:rPr>
                <w:rFonts w:hint="eastAsia" w:ascii="Times New Roman" w:hAnsi="Times New Roman" w:eastAsia="宋体" w:cs="Times New Roman"/>
                <w:spacing w:val="8"/>
                <w:sz w:val="20"/>
                <w:szCs w:val="20"/>
                <w:lang w:eastAsia="zh-CN"/>
              </w:rPr>
              <w:t>设备</w:t>
            </w:r>
          </w:p>
        </w:tc>
        <w:tc>
          <w:tcPr>
            <w:tcW w:w="145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cs="Times New Roman"/>
                <w:spacing w:val="4"/>
              </w:rPr>
              <w:t>8</w:t>
            </w:r>
            <w:r>
              <w:rPr>
                <w:rFonts w:hint="eastAsia" w:ascii="Times New Roman" w:hAnsi="Times New Roman" w:cs="Times New Roman"/>
                <w:spacing w:val="4"/>
                <w:lang w:val="en-US" w:eastAsia="zh-CN"/>
              </w:rPr>
              <w:t>0</w:t>
            </w:r>
            <w:r>
              <w:rPr>
                <w:rFonts w:hint="default" w:ascii="Times New Roman" w:hAnsi="Times New Roman" w:cs="Times New Roman"/>
              </w:rPr>
              <w:t>dB</w:t>
            </w:r>
            <w:r>
              <w:rPr>
                <w:rFonts w:hint="default" w:ascii="Times New Roman" w:hAnsi="Times New Roman" w:cs="Times New Roman"/>
                <w:spacing w:val="4"/>
              </w:rPr>
              <w:t>(A)</w:t>
            </w:r>
          </w:p>
        </w:tc>
        <w:tc>
          <w:tcPr>
            <w:tcW w:w="255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z w:val="20"/>
                <w:szCs w:val="20"/>
              </w:rPr>
            </w:pPr>
          </w:p>
        </w:tc>
        <w:tc>
          <w:tcPr>
            <w:tcW w:w="1252"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cs="Times New Roman"/>
                <w:spacing w:val="1"/>
                <w:lang w:val="en-US" w:eastAsia="zh-CN"/>
              </w:rPr>
              <w:t>60</w:t>
            </w:r>
          </w:p>
        </w:tc>
        <w:tc>
          <w:tcPr>
            <w:tcW w:w="109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000000"/>
                <w:kern w:val="0"/>
                <w:sz w:val="20"/>
                <w:szCs w:val="20"/>
                <w:lang w:val="en-US" w:eastAsia="en-US" w:bidi="ar-SA"/>
              </w:rPr>
            </w:pPr>
            <w:r>
              <w:rPr>
                <w:rFonts w:hint="default" w:ascii="Times New Roman" w:hAnsi="Times New Roman" w:eastAsia="宋体" w:cs="Times New Roman"/>
                <w:spacing w:val="4"/>
                <w:sz w:val="20"/>
                <w:szCs w:val="20"/>
              </w:rPr>
              <w:t>连续</w:t>
            </w:r>
          </w:p>
        </w:tc>
      </w:tr>
    </w:tbl>
    <w:p>
      <w:pPr>
        <w:keepNext w:val="0"/>
        <w:keepLines w:val="0"/>
        <w:pageBreakBefore w:val="0"/>
        <w:widowControl/>
        <w:kinsoku w:val="0"/>
        <w:wordWrap/>
        <w:overflowPunct/>
        <w:topLinePunct w:val="0"/>
        <w:autoSpaceDE w:val="0"/>
        <w:autoSpaceDN w:val="0"/>
        <w:bidi w:val="0"/>
        <w:adjustRightInd w:val="0"/>
        <w:snapToGrid w:val="0"/>
        <w:spacing w:before="150" w:line="360" w:lineRule="auto"/>
        <w:textAlignment w:val="baseline"/>
        <w:outlineLvl w:val="3"/>
        <w:rPr>
          <w:rFonts w:ascii="楷体" w:hAnsi="楷体" w:eastAsia="楷体" w:cs="楷体"/>
          <w:b/>
          <w:bCs/>
          <w:sz w:val="28"/>
          <w:szCs w:val="28"/>
        </w:rPr>
      </w:pPr>
      <w:r>
        <w:rPr>
          <w:rFonts w:ascii="Times New Roman" w:hAnsi="Times New Roman" w:eastAsia="Times New Roman" w:cs="Times New Roman"/>
          <w:b/>
          <w:bCs/>
          <w:spacing w:val="-1"/>
          <w:sz w:val="28"/>
          <w:szCs w:val="28"/>
        </w:rPr>
        <w:t xml:space="preserve">6.2.5  </w:t>
      </w:r>
      <w:r>
        <w:rPr>
          <w:rFonts w:ascii="楷体" w:hAnsi="楷体" w:eastAsia="楷体" w:cs="楷体"/>
          <w:b/>
          <w:bCs/>
          <w:spacing w:val="-1"/>
          <w:sz w:val="28"/>
          <w:szCs w:val="28"/>
        </w:rPr>
        <w:t>营运期固体废物污染防治措施分析</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本工程产生的固体废物主要有</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羊粪便、病死</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羊及不合格肉品、肠胃内容物、污水处理站污泥、栅渣和废油脂、检疫废物、职工生活垃圾等。评价要求企业对固体废物采用分类收集、暂存、处置的方式。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（1）一般工业固体废物</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项目产生的一般固体废物包括</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羊粪便、肠胃内容物、污水处理站污泥、栅渣、职工生活垃圾。</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屠宰车间内设肠胃容物风送系统暂存罐（2m</w:t>
      </w:r>
      <w:r>
        <w:rPr>
          <w:rFonts w:hint="eastAsia" w:ascii="Times New Roman" w:hAnsi="Times New Roman" w:eastAsia="宋体" w:cs="Times New Roman"/>
          <w:sz w:val="24"/>
          <w:szCs w:val="24"/>
          <w:u w:val="single"/>
          <w:vertAlign w:val="superscript"/>
          <w:lang w:val="en-US" w:eastAsia="zh-CN"/>
        </w:rPr>
        <w:t>3</w:t>
      </w:r>
      <w:r>
        <w:rPr>
          <w:rFonts w:hint="eastAsia" w:ascii="Times New Roman" w:hAnsi="Times New Roman" w:eastAsia="宋体" w:cs="Times New Roman"/>
          <w:sz w:val="24"/>
          <w:szCs w:val="24"/>
          <w:u w:val="single"/>
          <w:lang w:val="en-US" w:eastAsia="zh-CN"/>
        </w:rPr>
        <w:t>），用于暂存屠宰过程中产生的牛羊粪便、肠胃内容物，并在储存量达到设计压力值时（一般情况30min~1h输送一次），空压机风送系统将该部分固废通过管道完整密闭输送至厂区</w:t>
      </w:r>
      <w:r>
        <w:rPr>
          <w:rFonts w:hint="eastAsia" w:ascii="Times New Roman" w:hAnsi="Times New Roman" w:eastAsia="宋体" w:cs="Times New Roman"/>
          <w:sz w:val="24"/>
          <w:szCs w:val="24"/>
          <w:highlight w:val="none"/>
          <w:u w:val="single"/>
          <w:lang w:eastAsia="zh-CN"/>
        </w:rPr>
        <w:t>一般固废暂存间。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lang w:val="en-US" w:eastAsia="zh-CN"/>
        </w:rPr>
      </w:pPr>
      <w:r>
        <w:rPr>
          <w:rFonts w:hint="default" w:ascii="Times New Roman" w:hAnsi="Times New Roman" w:cs="Times New Roman"/>
          <w:sz w:val="24"/>
          <w:szCs w:val="24"/>
          <w:u w:val="single"/>
        </w:rPr>
        <w:t>①</w:t>
      </w:r>
      <w:r>
        <w:rPr>
          <w:rFonts w:hint="eastAsia" w:ascii="Times New Roman" w:hAnsi="Times New Roman" w:eastAsia="宋体" w:cs="Times New Roman"/>
          <w:sz w:val="24"/>
          <w:szCs w:val="24"/>
          <w:u w:val="single"/>
          <w:lang w:val="en-US" w:eastAsia="zh-CN"/>
        </w:rPr>
        <w:t>一般固废暂存间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一般固废</w:t>
      </w:r>
      <w:r>
        <w:rPr>
          <w:rFonts w:hint="default" w:ascii="Times New Roman" w:hAnsi="Times New Roman" w:cs="Times New Roman"/>
          <w:sz w:val="24"/>
          <w:szCs w:val="24"/>
          <w:u w:val="single"/>
          <w:lang w:val="en-US" w:eastAsia="zh-CN"/>
        </w:rPr>
        <w:t>暂存间</w:t>
      </w:r>
      <w:r>
        <w:rPr>
          <w:rFonts w:hint="default" w:ascii="Times New Roman" w:hAnsi="Times New Roman" w:cs="Times New Roman"/>
          <w:sz w:val="24"/>
          <w:szCs w:val="24"/>
          <w:u w:val="single"/>
        </w:rPr>
        <w:t>应根据《一般工业固体废物贮存和填埋污染控制标准》（GB18599-2020）中的要求规范化建设，固废临时贮存场应满足如下要求：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val="en-US" w:eastAsia="zh-CN"/>
        </w:rPr>
        <w:t>a、</w:t>
      </w:r>
      <w:r>
        <w:rPr>
          <w:rFonts w:hint="default" w:ascii="Times New Roman" w:hAnsi="Times New Roman" w:cs="Times New Roman"/>
          <w:sz w:val="24"/>
          <w:szCs w:val="24"/>
          <w:u w:val="single"/>
        </w:rPr>
        <w:t>临时堆放场应选在防渗性能好的地基上天然基础层地表距地下水位的距离不得小于1.5m。临时堆放场四周应建有围墙，防止固废流失。</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val="en-US" w:eastAsia="zh-CN"/>
        </w:rPr>
        <w:t>b</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临时堆粪场应建有防雨淋、反渗透措施。本项目厂区地面进行硬化，可以满足防雨淋、反渗透要求。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厂区建设一座10m</w:t>
      </w:r>
      <w:r>
        <w:rPr>
          <w:rFonts w:hint="default" w:ascii="Times New Roman" w:hAnsi="Times New Roman" w:cs="Times New Roman"/>
          <w:sz w:val="24"/>
          <w:szCs w:val="24"/>
          <w:u w:val="single"/>
          <w:vertAlign w:val="superscript"/>
        </w:rPr>
        <w:t>2</w:t>
      </w:r>
      <w:r>
        <w:rPr>
          <w:rFonts w:hint="default" w:ascii="Times New Roman" w:hAnsi="Times New Roman" w:cs="Times New Roman"/>
          <w:sz w:val="24"/>
          <w:szCs w:val="24"/>
          <w:u w:val="single"/>
        </w:rPr>
        <w:t>的</w:t>
      </w:r>
      <w:r>
        <w:rPr>
          <w:rFonts w:hint="eastAsia" w:ascii="Times New Roman" w:hAnsi="Times New Roman" w:eastAsia="宋体" w:cs="Times New Roman"/>
          <w:sz w:val="24"/>
          <w:szCs w:val="24"/>
          <w:highlight w:val="none"/>
          <w:u w:val="single"/>
          <w:lang w:eastAsia="zh-CN"/>
        </w:rPr>
        <w:t>一般固废暂存间</w:t>
      </w:r>
      <w:r>
        <w:rPr>
          <w:rFonts w:hint="default" w:ascii="Times New Roman" w:hAnsi="Times New Roman" w:cs="Times New Roman"/>
          <w:sz w:val="24"/>
          <w:szCs w:val="24"/>
          <w:u w:val="single"/>
        </w:rPr>
        <w:t>，</w:t>
      </w:r>
      <w:r>
        <w:rPr>
          <w:rFonts w:hint="eastAsia" w:ascii="Times New Roman" w:hAnsi="Times New Roman" w:eastAsia="宋体" w:cs="Times New Roman"/>
          <w:sz w:val="24"/>
          <w:szCs w:val="24"/>
          <w:u w:val="single"/>
          <w:lang w:eastAsia="zh-CN"/>
        </w:rPr>
        <w:t>牛</w:t>
      </w:r>
      <w:r>
        <w:rPr>
          <w:rFonts w:hint="default" w:ascii="Times New Roman" w:hAnsi="Times New Roman" w:cs="Times New Roman"/>
          <w:sz w:val="24"/>
          <w:szCs w:val="24"/>
          <w:u w:val="single"/>
        </w:rPr>
        <w:t>羊粪便、肠胃内容物和栅渣</w:t>
      </w:r>
      <w:r>
        <w:rPr>
          <w:rFonts w:hint="eastAsia" w:ascii="Times New Roman" w:hAnsi="Times New Roman" w:eastAsia="宋体" w:cs="Times New Roman"/>
          <w:sz w:val="24"/>
          <w:szCs w:val="24"/>
          <w:u w:val="single"/>
          <w:lang w:val="en-US" w:eastAsia="zh-CN"/>
        </w:rPr>
        <w:t>共502.2t/a</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1.57t/d；该部分固废</w:t>
      </w:r>
      <w:r>
        <w:rPr>
          <w:rFonts w:hint="default" w:ascii="Times New Roman" w:hAnsi="Times New Roman" w:cs="Times New Roman"/>
          <w:sz w:val="24"/>
          <w:szCs w:val="24"/>
          <w:u w:val="single"/>
        </w:rPr>
        <w:t>在堆粪场当天临时暂存后，当日使用密闭运输车拉走，做到日产日清，不在厂区长期堆存</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highlight w:val="none"/>
          <w:u w:val="single"/>
          <w:lang w:val="en-US" w:eastAsia="zh-CN"/>
        </w:rPr>
        <w:t>本单位与</w:t>
      </w:r>
      <w:r>
        <w:rPr>
          <w:rFonts w:hint="eastAsia" w:ascii="Times New Roman" w:hAnsi="Times New Roman" w:cs="Times New Roman"/>
          <w:sz w:val="24"/>
          <w:szCs w:val="24"/>
          <w:highlight w:val="none"/>
          <w:u w:val="single"/>
          <w:lang w:val="en-US" w:eastAsia="zh-CN"/>
        </w:rPr>
        <w:t>叶县迎桂农业种植有限公司，</w:t>
      </w:r>
      <w:r>
        <w:rPr>
          <w:rFonts w:hint="default" w:ascii="Times New Roman" w:hAnsi="Times New Roman" w:cs="Times New Roman"/>
          <w:sz w:val="24"/>
          <w:szCs w:val="24"/>
          <w:highlight w:val="none"/>
          <w:u w:val="single"/>
          <w:lang w:val="en-US" w:eastAsia="zh-CN"/>
        </w:rPr>
        <w:t>签订有收购协议</w:t>
      </w:r>
      <w:r>
        <w:rPr>
          <w:rFonts w:hint="eastAsia" w:ascii="Times New Roman" w:hAnsi="Times New Roman" w:eastAsia="宋体" w:cs="Times New Roman"/>
          <w:sz w:val="24"/>
          <w:szCs w:val="24"/>
          <w:u w:val="single"/>
          <w:lang w:val="en-US" w:eastAsia="zh-CN"/>
        </w:rPr>
        <w:t>，见附件7</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eastAsia="zh-CN"/>
        </w:rPr>
        <w:t>②污水处理站污泥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lang w:eastAsia="zh-CN"/>
        </w:rPr>
        <w:t>污水处理站</w:t>
      </w:r>
      <w:r>
        <w:rPr>
          <w:rFonts w:hint="default" w:ascii="Times New Roman" w:hAnsi="Times New Roman" w:cs="Times New Roman"/>
          <w:sz w:val="24"/>
          <w:szCs w:val="24"/>
          <w:u w:val="single"/>
        </w:rPr>
        <w:t>污泥</w:t>
      </w:r>
      <w:r>
        <w:rPr>
          <w:rFonts w:hint="default" w:ascii="Times New Roman" w:hAnsi="Times New Roman" w:cs="Times New Roman"/>
          <w:sz w:val="24"/>
          <w:szCs w:val="24"/>
          <w:u w:val="single"/>
          <w:lang w:val="en-US" w:eastAsia="zh-CN"/>
        </w:rPr>
        <w:t>由板框压滤机进行脱水处理</w:t>
      </w:r>
      <w:r>
        <w:rPr>
          <w:rFonts w:hint="eastAsia" w:ascii="Times New Roman" w:hAnsi="Times New Roman" w:cs="Times New Roman"/>
          <w:sz w:val="24"/>
          <w:szCs w:val="24"/>
          <w:u w:val="single"/>
          <w:lang w:val="en-US" w:eastAsia="zh-CN"/>
        </w:rPr>
        <w:t>，</w:t>
      </w:r>
      <w:r>
        <w:rPr>
          <w:rFonts w:hint="default" w:ascii="Times New Roman" w:hAnsi="Times New Roman" w:cs="Times New Roman"/>
          <w:sz w:val="24"/>
          <w:szCs w:val="24"/>
          <w:u w:val="single"/>
          <w:lang w:val="en-US" w:eastAsia="zh-CN"/>
        </w:rPr>
        <w:t>制成泥饼</w:t>
      </w:r>
      <w:r>
        <w:rPr>
          <w:rFonts w:hint="default" w:ascii="Times New Roman" w:hAnsi="Times New Roman" w:cs="Times New Roman"/>
          <w:sz w:val="24"/>
          <w:szCs w:val="24"/>
          <w:u w:val="single"/>
        </w:rPr>
        <w:t>后</w:t>
      </w:r>
      <w:r>
        <w:rPr>
          <w:rFonts w:hint="default" w:ascii="Times New Roman" w:hAnsi="Times New Roman" w:cs="Times New Roman"/>
          <w:sz w:val="24"/>
          <w:szCs w:val="24"/>
          <w:u w:val="single"/>
          <w:lang w:eastAsia="zh-CN"/>
        </w:rPr>
        <w:t>，暂存于</w:t>
      </w:r>
      <w:r>
        <w:rPr>
          <w:rFonts w:hint="default" w:ascii="Times New Roman" w:hAnsi="Times New Roman" w:cs="Times New Roman"/>
          <w:sz w:val="24"/>
          <w:szCs w:val="24"/>
          <w:u w:val="single"/>
        </w:rPr>
        <w:t>污泥间</w:t>
      </w:r>
      <w:r>
        <w:rPr>
          <w:rFonts w:hint="default" w:ascii="Times New Roman" w:hAnsi="Times New Roman" w:cs="Times New Roman"/>
          <w:sz w:val="24"/>
          <w:szCs w:val="24"/>
          <w:u w:val="single"/>
          <w:lang w:eastAsia="zh-CN"/>
        </w:rPr>
        <w:t>内</w:t>
      </w:r>
      <w:r>
        <w:rPr>
          <w:rFonts w:hint="default" w:ascii="Times New Roman" w:hAnsi="Times New Roman" w:cs="Times New Roman"/>
          <w:sz w:val="24"/>
          <w:szCs w:val="24"/>
          <w:u w:val="single"/>
        </w:rPr>
        <w:t>，定期外售</w:t>
      </w:r>
      <w:r>
        <w:rPr>
          <w:rFonts w:hint="default" w:ascii="Times New Roman" w:hAnsi="Times New Roman" w:cs="Times New Roman"/>
          <w:sz w:val="24"/>
          <w:szCs w:val="24"/>
          <w:u w:val="single"/>
          <w:lang w:val="en-US" w:eastAsia="zh-CN"/>
        </w:rPr>
        <w:t>制有机肥</w:t>
      </w:r>
      <w:r>
        <w:rPr>
          <w:rFonts w:hint="eastAsia" w:ascii="Times New Roman" w:hAnsi="Times New Roman" w:eastAsia="宋体" w:cs="Times New Roman"/>
          <w:sz w:val="24"/>
          <w:szCs w:val="24"/>
          <w:u w:val="singl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③生活垃圾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eastAsia="zh-CN"/>
        </w:rPr>
        <w:t>厂区生活垃圾</w:t>
      </w:r>
      <w:r>
        <w:rPr>
          <w:rFonts w:hint="default" w:ascii="Times New Roman" w:hAnsi="Times New Roman" w:cs="Times New Roman"/>
          <w:sz w:val="24"/>
          <w:szCs w:val="24"/>
          <w:u w:val="single"/>
        </w:rPr>
        <w:t>经</w:t>
      </w:r>
      <w:r>
        <w:rPr>
          <w:rFonts w:hint="eastAsia" w:ascii="Times New Roman" w:hAnsi="Times New Roman" w:eastAsia="宋体" w:cs="Times New Roman"/>
          <w:sz w:val="24"/>
          <w:szCs w:val="24"/>
          <w:u w:val="single"/>
          <w:lang w:eastAsia="zh-CN"/>
        </w:rPr>
        <w:t>员工</w:t>
      </w:r>
      <w:r>
        <w:rPr>
          <w:rFonts w:hint="default" w:ascii="Times New Roman" w:hAnsi="Times New Roman" w:cs="Times New Roman"/>
          <w:sz w:val="24"/>
          <w:szCs w:val="24"/>
          <w:u w:val="single"/>
        </w:rPr>
        <w:t>收集后</w:t>
      </w:r>
      <w:r>
        <w:rPr>
          <w:rFonts w:hint="eastAsia" w:ascii="Times New Roman" w:hAnsi="Times New Roman" w:eastAsia="宋体" w:cs="Times New Roman"/>
          <w:sz w:val="24"/>
          <w:szCs w:val="24"/>
          <w:u w:val="single"/>
          <w:lang w:eastAsia="zh-CN"/>
        </w:rPr>
        <w:t>，</w:t>
      </w:r>
      <w:r>
        <w:rPr>
          <w:rFonts w:hint="default" w:ascii="Times New Roman" w:hAnsi="Times New Roman" w:cs="Times New Roman"/>
          <w:sz w:val="24"/>
          <w:szCs w:val="24"/>
          <w:u w:val="single"/>
        </w:rPr>
        <w:t>定期交由环卫部门统一处置。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lang w:val="en-US"/>
        </w:rPr>
      </w:pPr>
      <w:r>
        <w:rPr>
          <w:rFonts w:hint="default" w:ascii="Times New Roman" w:hAnsi="Times New Roman" w:cs="Times New Roman"/>
          <w:sz w:val="24"/>
          <w:szCs w:val="24"/>
          <w:u w:val="single"/>
        </w:rPr>
        <w:t>②</w:t>
      </w:r>
      <w:r>
        <w:rPr>
          <w:rFonts w:hint="eastAsia" w:ascii="Times New Roman" w:hAnsi="Times New Roman" w:eastAsia="宋体" w:cs="Times New Roman"/>
          <w:sz w:val="24"/>
          <w:szCs w:val="24"/>
          <w:highlight w:val="none"/>
          <w:u w:val="single"/>
          <w:lang w:val="en-US" w:eastAsia="zh-CN"/>
        </w:rPr>
        <w:t>叶县迎桂农业种植有限公司消纳粪污的可行性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根据《畜禽粪污土地承载力测算技术指南》（农业部办公厅，2018年1月15日），若以氮为基础，土壤氮养分水平II，粪肥比例50%，当季利用率25%，旱地的土地承载力推荐值为2.3（固体粪便堆肥外供+肥水）计算，周边农田消纳全部粪污的需要的土地数量为2717.4亩/a。本地区土地上的农作物包括冬小麦和玉米两季作物，则实际需要的土地消纳量为1358.7亩/季。</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lang w:val="en-US"/>
        </w:rPr>
      </w:pPr>
      <w:r>
        <w:rPr>
          <w:rFonts w:hint="eastAsia" w:ascii="Times New Roman" w:hAnsi="Times New Roman" w:eastAsia="宋体" w:cs="Times New Roman"/>
          <w:sz w:val="24"/>
          <w:szCs w:val="24"/>
          <w:highlight w:val="none"/>
          <w:u w:val="single"/>
          <w:lang w:val="en-US" w:eastAsia="zh-CN"/>
        </w:rPr>
        <w:t>叶县迎桂农业种植有限公司位于叶县马庄乡雷庄村（营业执照见附件七），公司下辖管理农田、蔬菜、水果、林木、花卉以及中草药的种植，其中农田管理面积约1000亩，蔬菜管理面积约800亩，水果、林木、花卉以及中草药的管理总面积不低于600亩。此外，马庄乡内个人种植和管理农田不低于</w:t>
      </w:r>
      <w:r>
        <w:rPr>
          <w:rFonts w:hint="eastAsia" w:ascii="Times New Roman" w:hAnsi="Times New Roman" w:eastAsia="宋体" w:cs="Times New Roman"/>
          <w:sz w:val="24"/>
          <w:szCs w:val="24"/>
          <w:u w:val="single"/>
          <w:lang w:val="en-US" w:eastAsia="zh-CN"/>
        </w:rPr>
        <w:t>2000亩，因此，本项目粪污固废销售后，用于周边农田、蔬菜、果园等的施肥，具有较好的可行性。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rPr>
        <w:t>（2）病死</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羊、不合格肉品</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含牛羊三腺</w:t>
      </w:r>
      <w:r>
        <w:rPr>
          <w:rFonts w:hint="eastAsia" w:ascii="Times New Roman" w:hAnsi="Times New Roman" w:eastAsia="宋体" w:cs="Times New Roman"/>
          <w:sz w:val="24"/>
          <w:szCs w:val="24"/>
          <w:u w:val="singl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u w:val="single"/>
          <w:lang w:val="en-US"/>
        </w:rPr>
      </w:pPr>
      <w:r>
        <w:rPr>
          <w:rFonts w:hint="eastAsia" w:ascii="Times New Roman" w:hAnsi="Times New Roman" w:eastAsia="宋体" w:cs="Times New Roman"/>
          <w:sz w:val="24"/>
          <w:szCs w:val="24"/>
          <w:u w:val="single"/>
          <w:lang w:eastAsia="zh-CN"/>
        </w:rPr>
        <w:t>根据《关于病害动物无害化处理有关意见的复函》（环保部办公厅环办函[2014]789 号，2014.6.26）中规定病害动物的无害化处理应执行《中华人民共和国动物防疫法》和农村部门规定的《病死及病害动物无害化处理技术规范》（农医发[2017]25号2017年7月3日）要求</w:t>
      </w:r>
      <w:r>
        <w:rPr>
          <w:rFonts w:hint="eastAsia" w:ascii="Times New Roman" w:hAnsi="Times New Roman" w:eastAsia="宋体" w:cs="Times New Roman"/>
          <w:sz w:val="24"/>
          <w:szCs w:val="24"/>
          <w:u w:val="single"/>
          <w:lang w:val="en-US" w:eastAsia="zh-CN"/>
        </w:rPr>
        <w:t>进行无害化处理和处置，不纳入危险废物管理。但该部分固废有一定的感染性，需要严格按照《病死及病害动物无害化处理技术规范》（农医发[2017]25号2017年7月3日）进行管理。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default" w:ascii="Times New Roman" w:hAnsi="Times New Roman" w:cs="Times New Roman"/>
          <w:sz w:val="24"/>
          <w:szCs w:val="24"/>
          <w:highlight w:val="none"/>
          <w:u w:val="single"/>
        </w:rPr>
        <w:t>①</w:t>
      </w:r>
      <w:r>
        <w:rPr>
          <w:rFonts w:hint="eastAsia" w:ascii="Times New Roman" w:hAnsi="Times New Roman" w:eastAsia="宋体" w:cs="Times New Roman"/>
          <w:sz w:val="24"/>
          <w:szCs w:val="24"/>
          <w:highlight w:val="none"/>
          <w:u w:val="single"/>
          <w:lang w:val="en-US" w:eastAsia="zh-CN"/>
        </w:rPr>
        <w:t>包装、暂存及转运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a、包装</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highlight w:val="none"/>
          <w:u w:val="single"/>
          <w:lang w:val="en-US" w:eastAsia="zh-CN"/>
        </w:rPr>
        <w:t>厂区</w:t>
      </w:r>
      <w:r>
        <w:rPr>
          <w:rFonts w:hint="default" w:ascii="Times New Roman" w:hAnsi="Times New Roman" w:cs="Times New Roman"/>
          <w:sz w:val="24"/>
          <w:szCs w:val="24"/>
          <w:u w:val="single"/>
        </w:rPr>
        <w:t>病死</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羊、不合格肉品</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含牛羊三腺</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，配套有专门的一次性包装材料（瓦楞纸+塑料薄膜），确保包装后防水、防渗、防破损以及耐腐蚀；</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u w:val="single"/>
          <w:lang w:val="en-US" w:eastAsia="zh-CN"/>
        </w:rPr>
        <w:t>包装材料的容积、尺寸和数量与需包装产品的体积、数量、相匹配；包装完毕后，应进行胶带密封。</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b</w:t>
      </w:r>
      <w:r>
        <w:rPr>
          <w:rFonts w:hint="eastAsia" w:ascii="Times New Roman" w:hAnsi="Times New Roman" w:eastAsia="宋体" w:cs="Times New Roman"/>
          <w:sz w:val="24"/>
          <w:szCs w:val="24"/>
          <w:highlight w:val="none"/>
          <w:u w:val="single"/>
          <w:lang w:eastAsia="zh-CN"/>
        </w:rPr>
        <w:t>、</w:t>
      </w:r>
      <w:r>
        <w:rPr>
          <w:rFonts w:hint="eastAsia" w:ascii="Times New Roman" w:hAnsi="Times New Roman" w:eastAsia="宋体" w:cs="Times New Roman"/>
          <w:sz w:val="24"/>
          <w:szCs w:val="24"/>
          <w:highlight w:val="none"/>
          <w:u w:val="single"/>
          <w:lang w:val="en-US" w:eastAsia="zh-CN"/>
        </w:rPr>
        <w:t>暂存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包装完毕后的</w:t>
      </w:r>
      <w:r>
        <w:rPr>
          <w:rFonts w:hint="default" w:ascii="Times New Roman" w:hAnsi="Times New Roman" w:cs="Times New Roman"/>
          <w:sz w:val="24"/>
          <w:szCs w:val="24"/>
          <w:u w:val="single"/>
        </w:rPr>
        <w:t>病死</w:t>
      </w:r>
      <w:r>
        <w:rPr>
          <w:rFonts w:hint="eastAsia" w:ascii="Times New Roman" w:hAnsi="Times New Roman" w:eastAsia="宋体" w:cs="Times New Roman"/>
          <w:sz w:val="24"/>
          <w:szCs w:val="24"/>
          <w:u w:val="single"/>
          <w:lang w:val="en-US" w:eastAsia="zh-CN"/>
        </w:rPr>
        <w:t>牛</w:t>
      </w:r>
      <w:r>
        <w:rPr>
          <w:rFonts w:hint="default" w:ascii="Times New Roman" w:hAnsi="Times New Roman" w:cs="Times New Roman"/>
          <w:sz w:val="24"/>
          <w:szCs w:val="24"/>
          <w:u w:val="single"/>
        </w:rPr>
        <w:t>羊、不合格肉品</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含牛羊三腺</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highlight w:val="none"/>
          <w:u w:val="single"/>
          <w:lang w:val="en-US" w:eastAsia="zh-CN"/>
        </w:rPr>
        <w:t>，采用冷冻方式进行暂存，防止无害化处理前，发生产品腐败；</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highlight w:val="yellow"/>
          <w:u w:val="single"/>
          <w:lang w:eastAsia="zh-CN"/>
        </w:rPr>
      </w:pPr>
      <w:r>
        <w:rPr>
          <w:rFonts w:hint="eastAsia" w:ascii="Times New Roman" w:hAnsi="Times New Roman" w:eastAsia="宋体" w:cs="Times New Roman"/>
          <w:sz w:val="24"/>
          <w:szCs w:val="24"/>
          <w:highlight w:val="none"/>
          <w:u w:val="single"/>
          <w:lang w:val="en-US" w:eastAsia="zh-CN"/>
        </w:rPr>
        <w:t>该暂存场所与正常肉制品暂存区域相隔离，为冷库内独立的区域；有明显的警示标识，且能定期进行清洗和消毒</w:t>
      </w:r>
      <w:r>
        <w:rPr>
          <w:rFonts w:hint="default" w:ascii="Times New Roman" w:hAnsi="Times New Roman" w:cs="Times New Roman"/>
          <w:sz w:val="24"/>
          <w:szCs w:val="24"/>
          <w:highlight w:val="none"/>
          <w:u w:val="singl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c、转运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u w:val="single"/>
          <w:lang w:val="en-US"/>
        </w:rPr>
      </w:pPr>
      <w:r>
        <w:rPr>
          <w:rFonts w:hint="eastAsia" w:ascii="Times New Roman" w:hAnsi="Times New Roman" w:eastAsia="宋体" w:cs="Times New Roman"/>
          <w:sz w:val="24"/>
          <w:szCs w:val="24"/>
          <w:highlight w:val="none"/>
          <w:u w:val="single"/>
          <w:lang w:val="en-US" w:eastAsia="zh-CN"/>
        </w:rPr>
        <w:t>由叶县益康动物无害化处理有限公司提供符合GB19217条件的运输车辆，负责该部分固废的转运。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该转运转移车辆应有明显标识，并加装车载定位系统，记录转运时间和路径等信息；在驶离暂存场所前，对车轮及车厢外部进行消毒；在行驶过程中应尽量避免进入人口密集区。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u w:val="single"/>
          <w:lang w:val="en-US" w:eastAsia="zh-CN"/>
        </w:rPr>
      </w:pPr>
      <w:r>
        <w:rPr>
          <w:rFonts w:hint="default" w:ascii="Times New Roman" w:hAnsi="Times New Roman" w:cs="Times New Roman"/>
          <w:sz w:val="24"/>
          <w:szCs w:val="24"/>
          <w:highlight w:val="none"/>
          <w:u w:val="single"/>
        </w:rPr>
        <w:t>②</w:t>
      </w:r>
      <w:r>
        <w:rPr>
          <w:rFonts w:hint="eastAsia" w:ascii="Times New Roman" w:hAnsi="Times New Roman" w:eastAsia="宋体" w:cs="Times New Roman"/>
          <w:sz w:val="24"/>
          <w:szCs w:val="24"/>
          <w:highlight w:val="none"/>
          <w:u w:val="single"/>
          <w:lang w:val="en-US" w:eastAsia="zh-CN"/>
        </w:rPr>
        <w:t>无害化处理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eastAsia="zh-CN"/>
        </w:rPr>
      </w:pPr>
      <w:r>
        <w:rPr>
          <w:rFonts w:hint="eastAsia" w:ascii="Times New Roman" w:hAnsi="Times New Roman" w:eastAsia="宋体" w:cs="Times New Roman"/>
          <w:sz w:val="24"/>
          <w:szCs w:val="24"/>
          <w:u w:val="single"/>
          <w:lang w:val="en-US" w:eastAsia="zh-CN"/>
        </w:rPr>
        <w:t>本单位</w:t>
      </w:r>
      <w:r>
        <w:rPr>
          <w:rFonts w:hint="eastAsia" w:ascii="Times New Roman" w:hAnsi="Times New Roman" w:eastAsia="宋体" w:cs="Times New Roman"/>
          <w:sz w:val="24"/>
          <w:szCs w:val="24"/>
          <w:u w:val="single"/>
          <w:lang w:eastAsia="zh-CN"/>
        </w:rPr>
        <w:t>病死</w:t>
      </w:r>
      <w:r>
        <w:rPr>
          <w:rFonts w:hint="eastAsia" w:ascii="Times New Roman" w:hAnsi="Times New Roman" w:eastAsia="宋体" w:cs="Times New Roman"/>
          <w:sz w:val="24"/>
          <w:szCs w:val="24"/>
          <w:u w:val="single"/>
          <w:lang w:val="en-US" w:eastAsia="zh-CN"/>
        </w:rPr>
        <w:t>牛</w:t>
      </w:r>
      <w:r>
        <w:rPr>
          <w:rFonts w:hint="eastAsia" w:ascii="Times New Roman" w:hAnsi="Times New Roman" w:eastAsia="宋体" w:cs="Times New Roman"/>
          <w:sz w:val="24"/>
          <w:szCs w:val="24"/>
          <w:u w:val="single"/>
          <w:lang w:eastAsia="zh-CN"/>
        </w:rPr>
        <w:t>羊、不合格肉品</w:t>
      </w:r>
      <w:r>
        <w:rPr>
          <w:rFonts w:hint="eastAsia" w:ascii="Times New Roman" w:hAnsi="Times New Roman" w:eastAsia="宋体" w:cs="Times New Roman"/>
          <w:sz w:val="24"/>
          <w:szCs w:val="24"/>
          <w:u w:val="single"/>
          <w:lang w:val="en-US" w:eastAsia="zh-CN"/>
        </w:rPr>
        <w:t>经厂区包装和暂存后，送至</w:t>
      </w:r>
      <w:r>
        <w:rPr>
          <w:rFonts w:hint="default" w:ascii="Times New Roman" w:hAnsi="Times New Roman" w:cs="Times New Roman"/>
          <w:sz w:val="24"/>
          <w:szCs w:val="24"/>
          <w:u w:val="single"/>
        </w:rPr>
        <w:t>叶县益康动物无害化处理有限公司</w:t>
      </w:r>
      <w:r>
        <w:rPr>
          <w:rFonts w:hint="eastAsia" w:ascii="Times New Roman" w:hAnsi="Times New Roman" w:eastAsia="宋体" w:cs="Times New Roman"/>
          <w:sz w:val="24"/>
          <w:szCs w:val="24"/>
          <w:u w:val="single"/>
          <w:lang w:val="en-US" w:eastAsia="zh-CN"/>
        </w:rPr>
        <w:t>进行无害化处理（</w:t>
      </w:r>
      <w:r>
        <w:rPr>
          <w:rFonts w:hint="default" w:ascii="Times New Roman" w:hAnsi="Times New Roman" w:cs="Times New Roman"/>
          <w:sz w:val="24"/>
          <w:szCs w:val="24"/>
          <w:u w:val="single"/>
        </w:rPr>
        <w:t>已与</w:t>
      </w:r>
      <w:r>
        <w:rPr>
          <w:rFonts w:hint="eastAsia" w:ascii="Times New Roman" w:hAnsi="Times New Roman" w:eastAsia="宋体" w:cs="Times New Roman"/>
          <w:sz w:val="24"/>
          <w:szCs w:val="24"/>
          <w:u w:val="single"/>
          <w:lang w:val="en-US" w:eastAsia="zh-CN"/>
        </w:rPr>
        <w:t>该</w:t>
      </w:r>
      <w:r>
        <w:rPr>
          <w:rFonts w:hint="default" w:ascii="Times New Roman" w:hAnsi="Times New Roman" w:cs="Times New Roman"/>
          <w:sz w:val="24"/>
          <w:szCs w:val="24"/>
          <w:u w:val="single"/>
        </w:rPr>
        <w:t>动物无害化处理有限公司签署无害化处理协议</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见附件7）</w:t>
      </w:r>
      <w:r>
        <w:rPr>
          <w:rFonts w:hint="default" w:ascii="Times New Roman" w:hAnsi="Times New Roman" w:cs="Times New Roman"/>
          <w:sz w:val="24"/>
          <w:szCs w:val="24"/>
          <w:u w:val="singl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a</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外协处理单位的基本情况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叶县益康动物无害化处理有限公司位于河南省平顶山市叶县保安镇罗冲村，成立于2016年03月，主要经营范围为</w:t>
      </w:r>
      <w:r>
        <w:rPr>
          <w:rFonts w:hint="eastAsia" w:ascii="Times New Roman" w:hAnsi="Times New Roman" w:eastAsia="宋体" w:cs="Times New Roman"/>
          <w:sz w:val="24"/>
          <w:szCs w:val="24"/>
          <w:u w:val="single"/>
          <w:lang w:eastAsia="zh-CN"/>
        </w:rPr>
        <w:t>动物尸体</w:t>
      </w:r>
      <w:r>
        <w:rPr>
          <w:rFonts w:hint="default" w:ascii="Times New Roman" w:hAnsi="Times New Roman" w:cs="Times New Roman"/>
          <w:sz w:val="24"/>
          <w:szCs w:val="24"/>
          <w:u w:val="single"/>
        </w:rPr>
        <w:t>无害化处理。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default" w:ascii="Times New Roman" w:hAnsi="Times New Roman" w:cs="Times New Roman"/>
          <w:sz w:val="24"/>
          <w:szCs w:val="24"/>
          <w:u w:val="single"/>
        </w:rPr>
        <w:t>2017年6月，叶县益康动物无害化处理有限公司委托环评公司编制了《叶县益康动物无害化处理有限公司动物尸体无害化年处理10000吨项目环境影响分析报告表》，2017年8月，叶县益康动 物无害化处理有限公司动物尸体无害化年处理10000吨项目建成，2019年9月，叶县益康动物无害化处理有限公司对叶县益康动物无害化处理有限公司动物尸体无害 化年处理10000吨项目进行自主验收，2017年9月27日，叶县环境保护局出具了关于叶县益康动物无害化处理有限公司动物尸体无害化年处理10000吨项目环境保护设施竣工验收申请的批复，批复文号叶环验(2017)10号。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b、可行性分析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u w:val="single"/>
        </w:rPr>
      </w:pPr>
      <w:r>
        <w:rPr>
          <w:rFonts w:hint="eastAsia" w:ascii="Times New Roman" w:hAnsi="Times New Roman" w:eastAsia="宋体" w:cs="Times New Roman"/>
          <w:sz w:val="24"/>
          <w:szCs w:val="24"/>
          <w:u w:val="single"/>
          <w:lang w:val="en-US" w:eastAsia="zh-CN"/>
        </w:rPr>
        <w:t>2023年，</w:t>
      </w:r>
      <w:r>
        <w:rPr>
          <w:rFonts w:hint="default" w:ascii="Times New Roman" w:hAnsi="Times New Roman" w:cs="Times New Roman"/>
          <w:sz w:val="24"/>
          <w:szCs w:val="24"/>
          <w:u w:val="single"/>
        </w:rPr>
        <w:t>叶县益康动物无害化处理有限公司动物尸体无害化</w:t>
      </w:r>
      <w:r>
        <w:rPr>
          <w:rFonts w:hint="eastAsia" w:ascii="Times New Roman" w:hAnsi="Times New Roman" w:eastAsia="宋体" w:cs="Times New Roman"/>
          <w:sz w:val="24"/>
          <w:szCs w:val="24"/>
          <w:u w:val="single"/>
          <w:lang w:eastAsia="zh-CN"/>
        </w:rPr>
        <w:t>实际处理量约为</w:t>
      </w:r>
      <w:r>
        <w:rPr>
          <w:rFonts w:hint="eastAsia" w:ascii="Times New Roman" w:hAnsi="Times New Roman" w:eastAsia="宋体" w:cs="Times New Roman"/>
          <w:sz w:val="24"/>
          <w:szCs w:val="24"/>
          <w:u w:val="single"/>
          <w:lang w:val="en-US" w:eastAsia="zh-CN"/>
        </w:rPr>
        <w:t>6000t/a</w:t>
      </w:r>
      <w:r>
        <w:rPr>
          <w:rFonts w:hint="default" w:ascii="Times New Roman" w:hAnsi="Times New Roman" w:cs="Times New Roman"/>
          <w:sz w:val="24"/>
          <w:szCs w:val="24"/>
          <w:u w:val="single"/>
        </w:rPr>
        <w:t>，本项目病死</w:t>
      </w:r>
      <w:r>
        <w:rPr>
          <w:rFonts w:hint="eastAsia" w:ascii="Times New Roman" w:hAnsi="Times New Roman" w:eastAsia="宋体" w:cs="Times New Roman"/>
          <w:sz w:val="24"/>
          <w:szCs w:val="24"/>
          <w:u w:val="single"/>
          <w:lang w:eastAsia="zh-CN"/>
        </w:rPr>
        <w:t>牛牛</w:t>
      </w:r>
      <w:r>
        <w:rPr>
          <w:rFonts w:hint="default" w:ascii="Times New Roman" w:hAnsi="Times New Roman" w:cs="Times New Roman"/>
          <w:sz w:val="24"/>
          <w:szCs w:val="24"/>
          <w:u w:val="single"/>
        </w:rPr>
        <w:t>羊及不合格肉品产生量为</w:t>
      </w:r>
      <w:r>
        <w:rPr>
          <w:rFonts w:hint="eastAsia" w:ascii="Times New Roman" w:hAnsi="Times New Roman" w:eastAsia="宋体" w:cs="Times New Roman"/>
          <w:sz w:val="24"/>
          <w:szCs w:val="24"/>
          <w:u w:val="single"/>
          <w:lang w:val="en-US" w:eastAsia="zh-CN"/>
        </w:rPr>
        <w:t>26.25</w:t>
      </w:r>
      <w:r>
        <w:rPr>
          <w:rFonts w:hint="default" w:ascii="Times New Roman" w:hAnsi="Times New Roman" w:cs="Times New Roman"/>
          <w:sz w:val="24"/>
          <w:szCs w:val="24"/>
          <w:u w:val="single"/>
        </w:rPr>
        <w:t>t/a，</w:t>
      </w:r>
      <w:r>
        <w:rPr>
          <w:rFonts w:hint="eastAsia" w:ascii="Times New Roman" w:hAnsi="Times New Roman" w:eastAsia="宋体" w:cs="Times New Roman"/>
          <w:sz w:val="24"/>
          <w:szCs w:val="24"/>
          <w:u w:val="single"/>
          <w:lang w:eastAsia="zh-CN"/>
        </w:rPr>
        <w:t>可以全部交给该公司进行处理</w:t>
      </w:r>
      <w:r>
        <w:rPr>
          <w:rFonts w:hint="default" w:ascii="Times New Roman" w:hAnsi="Times New Roman" w:cs="Times New Roman"/>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（3）检疫废物、废油脂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本项目产生危险废物主要为检疫废物、废油脂，暂存于危废暂存间，定期交有资质的单位处置。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项目拟在厂区设置独立危废暂存间，建筑面积约5m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。本项目危险废物委托有 资质单位处置，企业不得擅自处理，在投入生产前应当与相应资质单位签订相应的危废处置协议。</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106"/>
        <w:textAlignment w:val="baseline"/>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6-1</w:t>
      </w:r>
      <w:r>
        <w:rPr>
          <w:rFonts w:hint="eastAsia" w:ascii="Times New Roman" w:hAnsi="Times New Roman" w:eastAsia="宋体" w:cs="Times New Roman"/>
          <w:b/>
          <w:bCs/>
          <w:sz w:val="24"/>
          <w:szCs w:val="24"/>
          <w:u w:val="none" w:color="auto"/>
          <w:lang w:val="en-US" w:eastAsia="zh-CN"/>
        </w:rPr>
        <w:t>4</w:t>
      </w:r>
      <w:r>
        <w:rPr>
          <w:rFonts w:ascii="Times New Roman" w:hAnsi="Times New Roman" w:eastAsia="Times New Roman" w:cs="Times New Roman"/>
          <w:b/>
          <w:bCs/>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建设项目危险废物贮存场所（设施）基本情况样表</w:t>
      </w:r>
    </w:p>
    <w:tbl>
      <w:tblPr>
        <w:tblStyle w:val="24"/>
        <w:tblW w:w="8595" w:type="dxa"/>
        <w:tblInd w:w="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1259"/>
        <w:gridCol w:w="1030"/>
        <w:gridCol w:w="1222"/>
        <w:gridCol w:w="867"/>
        <w:gridCol w:w="741"/>
        <w:gridCol w:w="756"/>
        <w:gridCol w:w="798"/>
        <w:gridCol w:w="81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21" w:hRule="atLeast"/>
        </w:trPr>
        <w:tc>
          <w:tcPr>
            <w:tcW w:w="110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贮存场所（设施）</w:t>
            </w:r>
          </w:p>
        </w:tc>
        <w:tc>
          <w:tcPr>
            <w:tcW w:w="125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危险废物名称</w:t>
            </w:r>
          </w:p>
        </w:tc>
        <w:tc>
          <w:tcPr>
            <w:tcW w:w="103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类别</w:t>
            </w:r>
          </w:p>
        </w:tc>
        <w:tc>
          <w:tcPr>
            <w:tcW w:w="122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废物代码</w:t>
            </w:r>
          </w:p>
        </w:tc>
        <w:tc>
          <w:tcPr>
            <w:tcW w:w="867"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位置</w:t>
            </w:r>
          </w:p>
        </w:tc>
        <w:tc>
          <w:tcPr>
            <w:tcW w:w="741"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占地</w:t>
            </w:r>
          </w:p>
          <w:p>
            <w:pPr>
              <w:jc w:val="center"/>
              <w:rPr>
                <w:rFonts w:hint="default" w:ascii="Times New Roman" w:hAnsi="Times New Roman" w:cs="Times New Roman"/>
              </w:rPr>
            </w:pPr>
            <w:r>
              <w:rPr>
                <w:rFonts w:hint="default" w:ascii="Times New Roman" w:hAnsi="Times New Roman" w:cs="Times New Roman"/>
              </w:rPr>
              <w:t>面积</w:t>
            </w:r>
          </w:p>
        </w:tc>
        <w:tc>
          <w:tcPr>
            <w:tcW w:w="75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贮存</w:t>
            </w:r>
          </w:p>
          <w:p>
            <w:pPr>
              <w:jc w:val="center"/>
              <w:rPr>
                <w:rFonts w:hint="default" w:ascii="Times New Roman" w:hAnsi="Times New Roman" w:cs="Times New Roman"/>
              </w:rPr>
            </w:pPr>
            <w:r>
              <w:rPr>
                <w:rFonts w:hint="default" w:ascii="Times New Roman" w:hAnsi="Times New Roman" w:cs="Times New Roman"/>
              </w:rPr>
              <w:t>方式</w:t>
            </w:r>
          </w:p>
        </w:tc>
        <w:tc>
          <w:tcPr>
            <w:tcW w:w="7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贮存</w:t>
            </w:r>
          </w:p>
          <w:p>
            <w:pPr>
              <w:jc w:val="center"/>
              <w:rPr>
                <w:rFonts w:hint="default" w:ascii="Times New Roman" w:hAnsi="Times New Roman" w:cs="Times New Roman"/>
              </w:rPr>
            </w:pPr>
            <w:r>
              <w:rPr>
                <w:rFonts w:hint="default" w:ascii="Times New Roman" w:hAnsi="Times New Roman" w:cs="Times New Roman"/>
              </w:rPr>
              <w:t>能力</w:t>
            </w:r>
          </w:p>
        </w:tc>
        <w:tc>
          <w:tcPr>
            <w:tcW w:w="81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贮存</w:t>
            </w:r>
          </w:p>
          <w:p>
            <w:pPr>
              <w:jc w:val="center"/>
              <w:rPr>
                <w:rFonts w:hint="default" w:ascii="Times New Roman" w:hAnsi="Times New Roman" w:cs="Times New Roman"/>
              </w:rPr>
            </w:pPr>
            <w:r>
              <w:rPr>
                <w:rFonts w:hint="default" w:ascii="Times New Roman" w:hAnsi="Times New Roman" w:cs="Times New Roman"/>
              </w:rPr>
              <w:t>周期</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1109"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危废暂存间</w:t>
            </w:r>
          </w:p>
        </w:tc>
        <w:tc>
          <w:tcPr>
            <w:tcW w:w="125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检疫废物</w:t>
            </w:r>
          </w:p>
        </w:tc>
        <w:tc>
          <w:tcPr>
            <w:tcW w:w="103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HW49</w:t>
            </w:r>
          </w:p>
        </w:tc>
        <w:tc>
          <w:tcPr>
            <w:tcW w:w="122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900-047-49</w:t>
            </w:r>
          </w:p>
        </w:tc>
        <w:tc>
          <w:tcPr>
            <w:tcW w:w="867"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highlight w:val="none"/>
              </w:rPr>
              <w:t>厂区东</w:t>
            </w:r>
            <w:r>
              <w:rPr>
                <w:rFonts w:hint="eastAsia" w:ascii="Times New Roman" w:hAnsi="Times New Roman" w:eastAsia="宋体" w:cs="Times New Roman"/>
                <w:highlight w:val="none"/>
                <w:lang w:eastAsia="zh-CN"/>
              </w:rPr>
              <w:t>南</w:t>
            </w:r>
            <w:r>
              <w:rPr>
                <w:rFonts w:hint="default" w:ascii="Times New Roman" w:hAnsi="Times New Roman" w:cs="Times New Roman"/>
                <w:highlight w:val="none"/>
              </w:rPr>
              <w:t>侧</w:t>
            </w:r>
          </w:p>
        </w:tc>
        <w:tc>
          <w:tcPr>
            <w:tcW w:w="741"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5m</w:t>
            </w:r>
            <w:r>
              <w:rPr>
                <w:rFonts w:hint="default" w:ascii="Times New Roman" w:hAnsi="Times New Roman" w:cs="Times New Roman"/>
                <w:vertAlign w:val="superscript"/>
              </w:rPr>
              <w:t>2</w:t>
            </w:r>
          </w:p>
        </w:tc>
        <w:tc>
          <w:tcPr>
            <w:tcW w:w="756"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桶装</w:t>
            </w:r>
          </w:p>
        </w:tc>
        <w:tc>
          <w:tcPr>
            <w:tcW w:w="7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0.5t</w:t>
            </w:r>
          </w:p>
        </w:tc>
        <w:tc>
          <w:tcPr>
            <w:tcW w:w="81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7 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74" w:hRule="atLeast"/>
        </w:trPr>
        <w:tc>
          <w:tcPr>
            <w:tcW w:w="1109" w:type="dxa"/>
            <w:vMerge w:val="continue"/>
            <w:tcBorders>
              <w:tl2br w:val="nil"/>
              <w:tr2bl w:val="nil"/>
            </w:tcBorders>
            <w:vAlign w:val="center"/>
          </w:tcPr>
          <w:p>
            <w:pPr>
              <w:jc w:val="center"/>
              <w:rPr>
                <w:rFonts w:hint="default" w:ascii="Times New Roman" w:hAnsi="Times New Roman" w:cs="Times New Roman"/>
              </w:rPr>
            </w:pPr>
          </w:p>
        </w:tc>
        <w:tc>
          <w:tcPr>
            <w:tcW w:w="125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废油脂</w:t>
            </w:r>
          </w:p>
        </w:tc>
        <w:tc>
          <w:tcPr>
            <w:tcW w:w="103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HW08</w:t>
            </w:r>
          </w:p>
        </w:tc>
        <w:tc>
          <w:tcPr>
            <w:tcW w:w="122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900-210-08</w:t>
            </w:r>
          </w:p>
        </w:tc>
        <w:tc>
          <w:tcPr>
            <w:tcW w:w="867" w:type="dxa"/>
            <w:vMerge w:val="continue"/>
            <w:tcBorders>
              <w:tl2br w:val="nil"/>
              <w:tr2bl w:val="nil"/>
            </w:tcBorders>
            <w:vAlign w:val="center"/>
          </w:tcPr>
          <w:p>
            <w:pPr>
              <w:jc w:val="center"/>
              <w:rPr>
                <w:rFonts w:hint="default" w:ascii="Times New Roman" w:hAnsi="Times New Roman" w:cs="Times New Roman"/>
              </w:rPr>
            </w:pPr>
          </w:p>
        </w:tc>
        <w:tc>
          <w:tcPr>
            <w:tcW w:w="741" w:type="dxa"/>
            <w:vMerge w:val="continue"/>
            <w:tcBorders>
              <w:tl2br w:val="nil"/>
              <w:tr2bl w:val="nil"/>
            </w:tcBorders>
            <w:vAlign w:val="center"/>
          </w:tcPr>
          <w:p>
            <w:pPr>
              <w:jc w:val="center"/>
              <w:rPr>
                <w:rFonts w:hint="default" w:ascii="Times New Roman" w:hAnsi="Times New Roman" w:cs="Times New Roman"/>
              </w:rPr>
            </w:pPr>
          </w:p>
        </w:tc>
        <w:tc>
          <w:tcPr>
            <w:tcW w:w="756" w:type="dxa"/>
            <w:vMerge w:val="continue"/>
            <w:tcBorders>
              <w:tl2br w:val="nil"/>
              <w:tr2bl w:val="nil"/>
            </w:tcBorders>
            <w:vAlign w:val="center"/>
          </w:tcPr>
          <w:p>
            <w:pPr>
              <w:jc w:val="center"/>
              <w:rPr>
                <w:rFonts w:hint="default" w:ascii="Times New Roman" w:hAnsi="Times New Roman" w:cs="Times New Roman"/>
              </w:rPr>
            </w:pPr>
          </w:p>
        </w:tc>
        <w:tc>
          <w:tcPr>
            <w:tcW w:w="7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0.3t</w:t>
            </w:r>
          </w:p>
        </w:tc>
        <w:tc>
          <w:tcPr>
            <w:tcW w:w="81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3 个月</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本项目对危险废物的收集、运输、贮存、管理以及转运应严格按照《危险废物污染防治技术政策》（环发【2001】199 号）、《危险废物转移管理办法》（生态环境部、公安部、交通运输部令第23号公布，2022年1月1日起施行）和《危险废物贮存污染控制标准》（GB 18597-2023）实行，对危险废物外运采取防渗透、防泄漏、防中途流失措施，并落实安全管理责任，避免二次污染。</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危险废物应尽快由资质单位运走处理，不宜在厂内存放过长时间，且暂存期间应做到以下几点：</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①危险废物临时贮存设施应符合《危险废物贮存污染控制标准》（GB18597-2023）规定的临时贮存控制要求，有符合要求的专用标志。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②贮存区内禁止混放不相容危险废物。按照危废特性分类进行储存，禁止危险废物混入一般废物中储存。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③贮存区考虑相应的集排水和防渗设施。贮存库地面必须采用防腐、防渗措施， 如水泥硬化前铺设一定厚度的防渗膜（如 HDPE 膜）。防渗等级应满足《危险废物贮存污染控制标准》要求。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④贮存区符合消防要求。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⑤危废的暂存区必须有明显标志，具有耐腐蚀、耐压、密封和不与所贮存的废物发生发应等特性。</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⑥危废应由相应资质的处置公司定期清运，包装容器为密封桶，桶上粘贴有标签，注明种类、成份、危险类别、产地、禁忌与安全措施等。专用运输车辆为厢式货车，可保证运输过程无泄漏。</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综上所述，项目各类固体废物均采取了有效可行的处理、处置措施，只要严格管理，固体废物经妥善安全处理处置后，不会对环境产生明显不良影响。</w:t>
      </w:r>
    </w:p>
    <w:p>
      <w:pPr>
        <w:pStyle w:val="4"/>
        <w:keepNext/>
        <w:keepLines/>
        <w:pageBreakBefore w:val="0"/>
        <w:widowControl/>
        <w:kinsoku w:val="0"/>
        <w:wordWrap/>
        <w:overflowPunct/>
        <w:topLinePunct w:val="0"/>
        <w:autoSpaceDE w:val="0"/>
        <w:autoSpaceDN w:val="0"/>
        <w:bidi w:val="0"/>
        <w:adjustRightInd w:val="0"/>
        <w:snapToGrid w:val="0"/>
        <w:spacing w:before="20"/>
        <w:textAlignment w:val="baseline"/>
        <w:rPr>
          <w:rFonts w:ascii="黑体" w:hAnsi="黑体" w:eastAsia="黑体" w:cs="黑体"/>
          <w:sz w:val="32"/>
          <w:szCs w:val="32"/>
        </w:rPr>
      </w:pPr>
      <w:bookmarkStart w:id="441" w:name="bookmark115"/>
      <w:bookmarkEnd w:id="441"/>
      <w:bookmarkStart w:id="442" w:name="_Toc10272"/>
      <w:bookmarkStart w:id="443" w:name="_Toc8952"/>
      <w:r>
        <w:rPr>
          <w:rFonts w:ascii="Times New Roman" w:hAnsi="Times New Roman" w:eastAsia="Times New Roman" w:cs="Times New Roman"/>
          <w:spacing w:val="-1"/>
          <w:sz w:val="32"/>
          <w:szCs w:val="32"/>
        </w:rPr>
        <w:t>6.3</w:t>
      </w:r>
      <w:r>
        <w:rPr>
          <w:rFonts w:ascii="黑体" w:hAnsi="黑体" w:eastAsia="黑体" w:cs="黑体"/>
          <w:spacing w:val="-1"/>
          <w:sz w:val="32"/>
          <w:szCs w:val="32"/>
        </w:rPr>
        <w:t>项目环保设施设施投资估算及竣工验收</w:t>
      </w:r>
      <w:bookmarkEnd w:id="442"/>
      <w:bookmarkEnd w:id="443"/>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项目总投资金额为</w:t>
      </w:r>
      <w:r>
        <w:rPr>
          <w:rFonts w:hint="default" w:ascii="Times New Roman" w:hAnsi="Times New Roman" w:cs="Times New Roman"/>
          <w:sz w:val="24"/>
          <w:szCs w:val="24"/>
          <w:lang w:val="en-US" w:eastAsia="zh-CN"/>
        </w:rPr>
        <w:t>2074.53</w:t>
      </w:r>
      <w:r>
        <w:rPr>
          <w:rFonts w:hint="default" w:ascii="Times New Roman" w:hAnsi="Times New Roman" w:cs="Times New Roman"/>
          <w:sz w:val="24"/>
          <w:szCs w:val="24"/>
        </w:rPr>
        <w:t>万元，其中环保投资为171.5万元，主要用于废气防治、废水治理、噪声防治和固体废物储存及处置等，环保投资占总投资的</w:t>
      </w:r>
      <w:r>
        <w:rPr>
          <w:rFonts w:hint="eastAsia" w:ascii="Times New Roman" w:hAnsi="Times New Roman" w:eastAsia="宋体" w:cs="Times New Roman"/>
          <w:sz w:val="24"/>
          <w:szCs w:val="24"/>
          <w:lang w:val="en-US" w:eastAsia="zh-CN"/>
        </w:rPr>
        <w:t>8.27</w:t>
      </w:r>
      <w:r>
        <w:rPr>
          <w:rFonts w:hint="default" w:ascii="Times New Roman" w:hAnsi="Times New Roman" w:cs="Times New Roman"/>
          <w:sz w:val="24"/>
          <w:szCs w:val="24"/>
        </w:rPr>
        <w:t>%。本项目环保投资一览表见表6-1</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1225"/>
        <w:textAlignment w:val="baseline"/>
        <w:rPr>
          <w:u w:val="none" w:color="auto"/>
        </w:rPr>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6-1</w:t>
      </w:r>
      <w:r>
        <w:rPr>
          <w:rFonts w:hint="eastAsia" w:ascii="Times New Roman" w:hAnsi="Times New Roman" w:eastAsia="宋体" w:cs="Times New Roman"/>
          <w:b/>
          <w:bCs/>
          <w:sz w:val="24"/>
          <w:szCs w:val="24"/>
          <w:u w:val="none" w:color="auto"/>
          <w:lang w:val="en-US" w:eastAsia="zh-CN"/>
        </w:rPr>
        <w:t>5</w:t>
      </w:r>
      <w:r>
        <w:rPr>
          <w:rFonts w:ascii="Times New Roman" w:hAnsi="Times New Roman" w:eastAsia="Times New Roman" w:cs="Times New Roman"/>
          <w:b/>
          <w:bCs/>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本项目环保投资估算一览表</w:t>
      </w:r>
      <w:r>
        <w:rPr>
          <w:rFonts w:ascii="宋体" w:hAnsi="宋体" w:eastAsia="宋体" w:cs="宋体"/>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单位：万元</w:t>
      </w:r>
    </w:p>
    <w:tbl>
      <w:tblPr>
        <w:tblStyle w:val="24"/>
        <w:tblW w:w="8619" w:type="dxa"/>
        <w:tblInd w:w="45"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194"/>
        <w:gridCol w:w="681"/>
        <w:gridCol w:w="3027"/>
        <w:gridCol w:w="726"/>
        <w:gridCol w:w="2562"/>
        <w:gridCol w:w="86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563"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项目</w:t>
            </w: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污染源</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采取的治理措施</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数量</w:t>
            </w:r>
          </w:p>
        </w:tc>
        <w:tc>
          <w:tcPr>
            <w:tcW w:w="2562"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验收指标</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投资</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563" w:type="dxa"/>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施工</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期</w:t>
            </w: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废气</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围挡、地面硬化、洒水等</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563"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废水</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临时沉淀池10m</w:t>
            </w:r>
            <w:r>
              <w:rPr>
                <w:rFonts w:hint="default" w:ascii="Times New Roman" w:hAnsi="Times New Roman" w:cs="Times New Roman"/>
                <w:sz w:val="21"/>
                <w:szCs w:val="21"/>
                <w:u w:val="single"/>
                <w:vertAlign w:val="superscript"/>
              </w:rPr>
              <w:t>3</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563"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固废</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垃圾桶</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若干</w:t>
            </w:r>
          </w:p>
        </w:tc>
        <w:tc>
          <w:tcPr>
            <w:tcW w:w="2562"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563"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噪声</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隔声、减振、降噪等措施</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564" w:hRule="atLeast"/>
        </w:trPr>
        <w:tc>
          <w:tcPr>
            <w:tcW w:w="563" w:type="dxa"/>
            <w:vMerge w:val="restart"/>
            <w:tcBorders>
              <w:tl2br w:val="nil"/>
              <w:tr2bl w:val="nil"/>
            </w:tcBorders>
            <w:textDirection w:val="tbRlV"/>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废 气</w:t>
            </w:r>
            <w:r>
              <w:rPr>
                <w:rFonts w:hint="default" w:ascii="Times New Roman" w:hAnsi="Times New Roman" w:cs="Times New Roman"/>
                <w:sz w:val="21"/>
                <w:szCs w:val="21"/>
                <w:u w:val="single"/>
              </w:rPr>
              <w:drawing>
                <wp:inline distT="0" distB="0" distL="0" distR="0">
                  <wp:extent cx="132080" cy="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113"/>
                          <a:stretch>
                            <a:fillRect/>
                          </a:stretch>
                        </pic:blipFill>
                        <pic:spPr>
                          <a:xfrm>
                            <a:off x="0" y="0"/>
                            <a:ext cx="132714" cy="0"/>
                          </a:xfrm>
                          <a:prstGeom prst="rect">
                            <a:avLst/>
                          </a:prstGeom>
                        </pic:spPr>
                      </pic:pic>
                    </a:graphicData>
                  </a:graphic>
                </wp:inline>
              </w:drawing>
            </w:r>
          </w:p>
        </w:tc>
        <w:tc>
          <w:tcPr>
            <w:tcW w:w="875" w:type="dxa"/>
            <w:gridSpan w:val="2"/>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恶臭</w:t>
            </w:r>
          </w:p>
        </w:tc>
        <w:tc>
          <w:tcPr>
            <w:tcW w:w="3027" w:type="dxa"/>
            <w:tcBorders>
              <w:tl2br w:val="nil"/>
              <w:tr2bl w:val="nil"/>
            </w:tcBorders>
            <w:vAlign w:val="center"/>
          </w:tcPr>
          <w:p>
            <w:pPr>
              <w:jc w:val="center"/>
              <w:rPr>
                <w:rFonts w:hint="eastAsia" w:ascii="Times New Roman" w:hAnsi="Times New Roman" w:eastAsia="宋体" w:cs="Times New Roman"/>
                <w:sz w:val="21"/>
                <w:szCs w:val="21"/>
                <w:u w:val="single"/>
                <w:lang w:eastAsia="zh-CN"/>
              </w:rPr>
            </w:pPr>
            <w:r>
              <w:rPr>
                <w:rFonts w:hint="default" w:ascii="Times New Roman" w:hAnsi="Times New Roman" w:cs="Times New Roman"/>
                <w:sz w:val="21"/>
                <w:szCs w:val="21"/>
                <w:u w:val="single"/>
              </w:rPr>
              <w:t>污水站</w:t>
            </w:r>
            <w:r>
              <w:rPr>
                <w:rFonts w:hint="eastAsia" w:ascii="Times New Roman" w:hAnsi="Times New Roman" w:eastAsia="宋体" w:cs="Times New Roman"/>
                <w:sz w:val="21"/>
                <w:szCs w:val="21"/>
                <w:u w:val="single"/>
                <w:lang w:eastAsia="zh-CN"/>
              </w:rPr>
              <w:t>恶臭单元通过加装封闭盖板</w:t>
            </w:r>
            <w:r>
              <w:rPr>
                <w:rFonts w:hint="default" w:ascii="Times New Roman" w:hAnsi="Times New Roman" w:cs="Times New Roman"/>
                <w:sz w:val="21"/>
                <w:szCs w:val="21"/>
                <w:u w:val="single"/>
              </w:rPr>
              <w:t>、屠宰车间封闭且</w:t>
            </w:r>
            <w:r>
              <w:rPr>
                <w:rFonts w:hint="eastAsia" w:ascii="Times New Roman" w:hAnsi="Times New Roman" w:eastAsia="宋体" w:cs="Times New Roman"/>
                <w:sz w:val="21"/>
                <w:szCs w:val="21"/>
                <w:u w:val="single"/>
                <w:lang w:eastAsia="zh-CN"/>
              </w:rPr>
              <w:t>均通过引</w:t>
            </w:r>
            <w:r>
              <w:rPr>
                <w:rFonts w:hint="default" w:ascii="Times New Roman" w:hAnsi="Times New Roman" w:cs="Times New Roman"/>
                <w:sz w:val="21"/>
                <w:szCs w:val="21"/>
                <w:u w:val="single"/>
              </w:rPr>
              <w:t>风机收集废气</w:t>
            </w:r>
            <w:r>
              <w:rPr>
                <w:rFonts w:hint="eastAsia" w:ascii="Times New Roman" w:hAnsi="Times New Roman" w:eastAsia="宋体" w:cs="Times New Roman"/>
                <w:sz w:val="21"/>
                <w:szCs w:val="21"/>
                <w:u w:val="single"/>
                <w:lang w:eastAsia="zh-CN"/>
              </w:rPr>
              <w:t>，将恶臭气体全部引至</w:t>
            </w:r>
            <w:r>
              <w:rPr>
                <w:rFonts w:hint="default" w:ascii="Times New Roman" w:hAnsi="Times New Roman" w:cs="Times New Roman"/>
                <w:sz w:val="21"/>
                <w:szCs w:val="21"/>
                <w:u w:val="single"/>
              </w:rPr>
              <w:t>生物除臭装置</w:t>
            </w:r>
            <w:r>
              <w:rPr>
                <w:rFonts w:hint="eastAsia" w:ascii="Times New Roman" w:hAnsi="Times New Roman" w:eastAsia="宋体" w:cs="Times New Roman"/>
                <w:sz w:val="21"/>
                <w:szCs w:val="21"/>
                <w:u w:val="single"/>
                <w:lang w:eastAsia="zh-CN"/>
              </w:rPr>
              <w:t>，通过</w:t>
            </w:r>
            <w:r>
              <w:rPr>
                <w:rFonts w:hint="default" w:ascii="Times New Roman" w:hAnsi="Times New Roman" w:cs="Times New Roman"/>
                <w:sz w:val="21"/>
                <w:szCs w:val="21"/>
                <w:u w:val="single"/>
              </w:rPr>
              <w:t>15m排气筒</w:t>
            </w:r>
            <w:r>
              <w:rPr>
                <w:rFonts w:hint="eastAsia" w:ascii="Times New Roman" w:hAnsi="Times New Roman" w:eastAsia="宋体" w:cs="Times New Roman"/>
                <w:sz w:val="21"/>
                <w:szCs w:val="21"/>
                <w:u w:val="single"/>
                <w:lang w:eastAsia="zh-CN"/>
              </w:rPr>
              <w:t>高空排放</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1套</w:t>
            </w:r>
          </w:p>
        </w:tc>
        <w:tc>
          <w:tcPr>
            <w:tcW w:w="2562" w:type="dxa"/>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《恶臭污染物排放标准》</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（GB14554-93）表2二级</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标准</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1" w:hRule="atLeast"/>
        </w:trPr>
        <w:tc>
          <w:tcPr>
            <w:tcW w:w="563" w:type="dxa"/>
            <w:vMerge w:val="continue"/>
            <w:tcBorders>
              <w:tl2br w:val="nil"/>
              <w:tr2bl w:val="nil"/>
            </w:tcBorders>
            <w:textDirection w:val="tbRlV"/>
            <w:vAlign w:val="center"/>
          </w:tcPr>
          <w:p>
            <w:pPr>
              <w:jc w:val="center"/>
              <w:rPr>
                <w:rFonts w:hint="default" w:ascii="Times New Roman" w:hAnsi="Times New Roman" w:cs="Times New Roman"/>
                <w:sz w:val="21"/>
                <w:szCs w:val="21"/>
                <w:u w:val="single"/>
              </w:rPr>
            </w:pPr>
          </w:p>
        </w:tc>
        <w:tc>
          <w:tcPr>
            <w:tcW w:w="875" w:type="dxa"/>
            <w:gridSpan w:val="2"/>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除臭剂</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47" w:hRule="atLeast"/>
        </w:trPr>
        <w:tc>
          <w:tcPr>
            <w:tcW w:w="563" w:type="dxa"/>
            <w:vMerge w:val="continue"/>
            <w:tcBorders>
              <w:tl2br w:val="nil"/>
              <w:tr2bl w:val="nil"/>
            </w:tcBorders>
            <w:textDirection w:val="tbRlV"/>
            <w:vAlign w:val="center"/>
          </w:tcPr>
          <w:p>
            <w:pPr>
              <w:jc w:val="center"/>
              <w:rPr>
                <w:rFonts w:hint="default" w:ascii="Times New Roman" w:hAnsi="Times New Roman" w:cs="Times New Roman"/>
                <w:sz w:val="21"/>
                <w:szCs w:val="21"/>
                <w:u w:val="single"/>
              </w:rPr>
            </w:pP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食堂油烟</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 套净化效率不低于90%的油烟净化装置</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1套</w:t>
            </w:r>
          </w:p>
        </w:tc>
        <w:tc>
          <w:tcPr>
            <w:tcW w:w="2562"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《河南省餐饮业油烟污染</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物排放标准》</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（DB41-1604-2018）</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887" w:hRule="atLeast"/>
        </w:trPr>
        <w:tc>
          <w:tcPr>
            <w:tcW w:w="563" w:type="dxa"/>
            <w:vMerge w:val="restart"/>
            <w:tcBorders>
              <w:tl2br w:val="nil"/>
              <w:tr2bl w:val="nil"/>
            </w:tcBorders>
            <w:textDirection w:val="tbRlV"/>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废 水</w:t>
            </w:r>
            <w:r>
              <w:rPr>
                <w:rFonts w:hint="default" w:ascii="Times New Roman" w:hAnsi="Times New Roman" w:cs="Times New Roman"/>
                <w:sz w:val="21"/>
                <w:szCs w:val="21"/>
                <w:u w:val="single"/>
              </w:rPr>
              <w:drawing>
                <wp:inline distT="0" distB="0" distL="0" distR="0">
                  <wp:extent cx="132080" cy="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113"/>
                          <a:stretch>
                            <a:fillRect/>
                          </a:stretch>
                        </pic:blipFill>
                        <pic:spPr>
                          <a:xfrm>
                            <a:off x="0" y="0"/>
                            <a:ext cx="132714" cy="0"/>
                          </a:xfrm>
                          <a:prstGeom prst="rect">
                            <a:avLst/>
                          </a:prstGeom>
                        </pic:spPr>
                      </pic:pic>
                    </a:graphicData>
                  </a:graphic>
                </wp:inline>
              </w:drawing>
            </w:r>
          </w:p>
        </w:tc>
        <w:tc>
          <w:tcPr>
            <w:tcW w:w="875" w:type="dxa"/>
            <w:gridSpan w:val="2"/>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生活、生产污水、车辆冲洗</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厂区建设污水处理</w:t>
            </w:r>
            <w:r>
              <w:rPr>
                <w:rFonts w:hint="eastAsia" w:ascii="Times New Roman" w:hAnsi="Times New Roman" w:eastAsia="宋体" w:cs="Times New Roman"/>
                <w:sz w:val="21"/>
                <w:szCs w:val="21"/>
                <w:u w:val="single"/>
                <w:lang w:eastAsia="zh-CN"/>
              </w:rPr>
              <w:t>站</w:t>
            </w:r>
            <w:r>
              <w:rPr>
                <w:rFonts w:hint="default" w:ascii="Times New Roman" w:hAnsi="Times New Roman" w:cs="Times New Roman"/>
                <w:sz w:val="21"/>
                <w:szCs w:val="21"/>
                <w:u w:val="single"/>
              </w:rPr>
              <w:t>，处理规模</w:t>
            </w:r>
          </w:p>
          <w:p>
            <w:pPr>
              <w:jc w:val="center"/>
              <w:rPr>
                <w:rFonts w:hint="default" w:ascii="Times New Roman" w:hAnsi="Times New Roman" w:cs="Times New Roman"/>
                <w:sz w:val="21"/>
                <w:szCs w:val="21"/>
                <w:u w:val="single"/>
              </w:rPr>
            </w:pPr>
            <w:r>
              <w:rPr>
                <w:rFonts w:hint="eastAsia" w:ascii="Times New Roman" w:hAnsi="Times New Roman" w:eastAsia="宋体" w:cs="Times New Roman"/>
                <w:sz w:val="21"/>
                <w:szCs w:val="21"/>
                <w:u w:val="single"/>
                <w:lang w:val="en-US" w:eastAsia="zh-CN"/>
              </w:rPr>
              <w:t>30</w:t>
            </w:r>
            <w:r>
              <w:rPr>
                <w:rFonts w:hint="default" w:ascii="Times New Roman" w:hAnsi="Times New Roman" w:cs="Times New Roman"/>
                <w:sz w:val="21"/>
                <w:szCs w:val="21"/>
                <w:u w:val="single"/>
              </w:rPr>
              <w:t>0m</w:t>
            </w:r>
            <w:r>
              <w:rPr>
                <w:rFonts w:hint="default" w:ascii="Times New Roman" w:hAnsi="Times New Roman" w:cs="Times New Roman"/>
                <w:sz w:val="21"/>
                <w:szCs w:val="21"/>
                <w:u w:val="single"/>
                <w:vertAlign w:val="superscript"/>
              </w:rPr>
              <w:t>3</w:t>
            </w:r>
            <w:r>
              <w:rPr>
                <w:rFonts w:hint="default" w:ascii="Times New Roman" w:hAnsi="Times New Roman" w:cs="Times New Roman"/>
                <w:sz w:val="21"/>
                <w:szCs w:val="21"/>
                <w:u w:val="single"/>
              </w:rPr>
              <w:t>/d，污水处理工艺为</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r>
              <w:rPr>
                <w:rFonts w:hint="default" w:ascii="Times New Roman" w:hAnsi="Times New Roman" w:cs="Times New Roman"/>
                <w:sz w:val="21"/>
                <w:szCs w:val="21"/>
                <w:u w:val="single"/>
                <w:lang w:eastAsia="zh-CN"/>
              </w:rPr>
              <w:t>格栅</w:t>
            </w:r>
            <w:r>
              <w:rPr>
                <w:rFonts w:hint="default" w:ascii="Times New Roman" w:hAnsi="Times New Roman" w:cs="Times New Roman"/>
                <w:sz w:val="21"/>
                <w:szCs w:val="21"/>
                <w:u w:val="single"/>
              </w:rPr>
              <w:t>气浮+水解酸化+生物接触氧化</w:t>
            </w:r>
            <w:r>
              <w:rPr>
                <w:rFonts w:hint="default" w:ascii="Times New Roman" w:hAnsi="Times New Roman" w:cs="Times New Roman"/>
                <w:sz w:val="21"/>
                <w:szCs w:val="21"/>
                <w:u w:val="single"/>
                <w:lang w:val="en-US" w:eastAsia="zh-CN"/>
              </w:rPr>
              <w:t>+消毒</w:t>
            </w:r>
            <w:r>
              <w:rPr>
                <w:rFonts w:hint="default" w:ascii="Times New Roman" w:hAnsi="Times New Roman" w:cs="Times New Roman"/>
                <w:sz w:val="21"/>
                <w:szCs w:val="21"/>
                <w:u w:val="single"/>
              </w:rPr>
              <w:t xml:space="preserve"> ”</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1座</w:t>
            </w:r>
          </w:p>
        </w:tc>
        <w:tc>
          <w:tcPr>
            <w:tcW w:w="2562"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《肉类加工工业水污染物排放标准》（GB13457-92）三级标准及</w:t>
            </w:r>
            <w:r>
              <w:rPr>
                <w:rFonts w:hint="eastAsia" w:ascii="Times New Roman" w:hAnsi="Times New Roman" w:eastAsia="宋体" w:cs="Times New Roman"/>
                <w:sz w:val="21"/>
                <w:szCs w:val="21"/>
                <w:u w:val="single"/>
                <w:lang w:eastAsia="zh-CN"/>
              </w:rPr>
              <w:t>叶县县城</w:t>
            </w:r>
            <w:r>
              <w:rPr>
                <w:rFonts w:hint="default" w:ascii="Times New Roman" w:hAnsi="Times New Roman" w:cs="Times New Roman"/>
                <w:sz w:val="21"/>
                <w:szCs w:val="21"/>
                <w:u w:val="single"/>
              </w:rPr>
              <w:t>污水处理厂进水水质标准</w:t>
            </w:r>
          </w:p>
        </w:tc>
        <w:tc>
          <w:tcPr>
            <w:tcW w:w="866" w:type="dxa"/>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90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237" w:hRule="atLeast"/>
        </w:trPr>
        <w:tc>
          <w:tcPr>
            <w:tcW w:w="563" w:type="dxa"/>
            <w:vMerge w:val="continue"/>
            <w:tcBorders>
              <w:tl2br w:val="nil"/>
              <w:tr2bl w:val="nil"/>
            </w:tcBorders>
            <w:textDirection w:val="tbRlV"/>
            <w:vAlign w:val="center"/>
          </w:tcPr>
          <w:p>
            <w:pPr>
              <w:jc w:val="center"/>
              <w:rPr>
                <w:rFonts w:hint="default" w:ascii="Times New Roman" w:hAnsi="Times New Roman" w:cs="Times New Roman"/>
                <w:sz w:val="21"/>
                <w:szCs w:val="21"/>
                <w:u w:val="single"/>
              </w:rPr>
            </w:pPr>
          </w:p>
        </w:tc>
        <w:tc>
          <w:tcPr>
            <w:tcW w:w="875" w:type="dxa"/>
            <w:gridSpan w:val="2"/>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3027" w:type="dxa"/>
            <w:tcBorders>
              <w:tl2br w:val="nil"/>
              <w:tr2bl w:val="nil"/>
            </w:tcBorders>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eastAsia="zh-CN"/>
              </w:rPr>
              <w:t>配套建设废水自动监测设施</w:t>
            </w:r>
          </w:p>
        </w:tc>
        <w:tc>
          <w:tcPr>
            <w:tcW w:w="726" w:type="dxa"/>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1套</w:t>
            </w:r>
          </w:p>
        </w:tc>
        <w:tc>
          <w:tcPr>
            <w:tcW w:w="2562" w:type="dxa"/>
            <w:tcBorders>
              <w:tl2br w:val="nil"/>
              <w:tr2bl w:val="nil"/>
            </w:tcBorders>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eastAsia="zh-CN"/>
              </w:rPr>
              <w:t>《水污染源在线监测系统</w:t>
            </w:r>
          </w:p>
          <w:p>
            <w:pPr>
              <w:jc w:val="center"/>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lang w:val="en-US" w:eastAsia="zh-CN"/>
              </w:rPr>
              <w:t>COD、NH</w:t>
            </w:r>
            <w:r>
              <w:rPr>
                <w:rFonts w:hint="eastAsia" w:ascii="Times New Roman" w:hAnsi="Times New Roman" w:eastAsia="宋体" w:cs="Times New Roman"/>
                <w:sz w:val="21"/>
                <w:szCs w:val="21"/>
                <w:u w:val="single"/>
                <w:vertAlign w:val="subscript"/>
                <w:lang w:val="en-US" w:eastAsia="zh-CN"/>
              </w:rPr>
              <w:t>3</w:t>
            </w:r>
            <w:r>
              <w:rPr>
                <w:rFonts w:hint="eastAsia" w:ascii="Times New Roman" w:hAnsi="Times New Roman" w:eastAsia="宋体" w:cs="Times New Roman"/>
                <w:sz w:val="21"/>
                <w:szCs w:val="21"/>
                <w:u w:val="single"/>
                <w:lang w:val="en-US" w:eastAsia="zh-CN"/>
              </w:rPr>
              <w:t>-N等</w:t>
            </w:r>
            <w:r>
              <w:rPr>
                <w:rFonts w:hint="eastAsia" w:ascii="Times New Roman" w:hAnsi="Times New Roman" w:eastAsia="宋体" w:cs="Times New Roman"/>
                <w:sz w:val="21"/>
                <w:szCs w:val="21"/>
                <w:u w:val="single"/>
                <w:lang w:eastAsia="zh-CN"/>
              </w:rPr>
              <w:t>）验收技术规范》（</w:t>
            </w:r>
            <w:r>
              <w:rPr>
                <w:rFonts w:hint="eastAsia" w:ascii="Times New Roman" w:hAnsi="Times New Roman" w:eastAsia="宋体" w:cs="Times New Roman"/>
                <w:sz w:val="21"/>
                <w:szCs w:val="21"/>
                <w:u w:val="single"/>
                <w:lang w:val="en-US" w:eastAsia="zh-CN"/>
              </w:rPr>
              <w:t>HJ354-2019</w:t>
            </w:r>
            <w:r>
              <w:rPr>
                <w:rFonts w:hint="eastAsia" w:ascii="Times New Roman" w:hAnsi="Times New Roman" w:eastAsia="宋体" w:cs="Times New Roman"/>
                <w:sz w:val="21"/>
                <w:szCs w:val="21"/>
                <w:u w:val="single"/>
                <w:lang w:eastAsia="zh-CN"/>
              </w:rPr>
              <w:t>）</w:t>
            </w:r>
          </w:p>
        </w:tc>
        <w:tc>
          <w:tcPr>
            <w:tcW w:w="866" w:type="dxa"/>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563" w:type="dxa"/>
            <w:vMerge w:val="restart"/>
            <w:tcBorders>
              <w:tl2br w:val="nil"/>
              <w:tr2bl w:val="nil"/>
            </w:tcBorders>
            <w:textDirection w:val="tbRlV"/>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固 废</w:t>
            </w:r>
            <w:r>
              <w:rPr>
                <w:rFonts w:hint="default" w:ascii="Times New Roman" w:hAnsi="Times New Roman" w:cs="Times New Roman"/>
                <w:sz w:val="21"/>
                <w:szCs w:val="21"/>
                <w:u w:val="single"/>
              </w:rPr>
              <w:drawing>
                <wp:inline distT="0" distB="0" distL="0" distR="0">
                  <wp:extent cx="132080" cy="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114"/>
                          <a:stretch>
                            <a:fillRect/>
                          </a:stretch>
                        </pic:blipFill>
                        <pic:spPr>
                          <a:xfrm>
                            <a:off x="0" y="0"/>
                            <a:ext cx="132714" cy="0"/>
                          </a:xfrm>
                          <a:prstGeom prst="rect">
                            <a:avLst/>
                          </a:prstGeom>
                        </pic:spPr>
                      </pic:pic>
                    </a:graphicData>
                  </a:graphic>
                </wp:inline>
              </w:drawing>
            </w: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生活垃圾</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设置垃圾收集装置，环卫 部门集中收集处理</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垃圾桶若干</w:t>
            </w:r>
          </w:p>
        </w:tc>
        <w:tc>
          <w:tcPr>
            <w:tcW w:w="2562"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环卫部门进行集中处置，不 外排</w:t>
            </w:r>
          </w:p>
        </w:tc>
        <w:tc>
          <w:tcPr>
            <w:tcW w:w="866" w:type="dxa"/>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563" w:type="dxa"/>
            <w:vMerge w:val="continue"/>
            <w:tcBorders>
              <w:tl2br w:val="nil"/>
              <w:tr2bl w:val="nil"/>
            </w:tcBorders>
            <w:textDirection w:val="tbRlV"/>
            <w:vAlign w:val="center"/>
          </w:tcPr>
          <w:p>
            <w:pPr>
              <w:jc w:val="center"/>
              <w:rPr>
                <w:rFonts w:hint="default" w:ascii="Times New Roman" w:hAnsi="Times New Roman" w:cs="Times New Roman"/>
                <w:sz w:val="21"/>
                <w:szCs w:val="21"/>
                <w:u w:val="single"/>
              </w:rPr>
            </w:pP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污泥</w:t>
            </w:r>
          </w:p>
        </w:tc>
        <w:tc>
          <w:tcPr>
            <w:tcW w:w="3027" w:type="dxa"/>
            <w:tcBorders>
              <w:tl2br w:val="nil"/>
              <w:tr2bl w:val="nil"/>
            </w:tcBorders>
            <w:vAlign w:val="center"/>
          </w:tcPr>
          <w:p>
            <w:pPr>
              <w:jc w:val="center"/>
              <w:rPr>
                <w:rFonts w:hint="eastAsia" w:ascii="Times New Roman" w:hAnsi="Times New Roman" w:eastAsia="宋体" w:cs="Times New Roman"/>
                <w:sz w:val="21"/>
                <w:szCs w:val="21"/>
                <w:u w:val="single"/>
                <w:lang w:eastAsia="zh-CN"/>
              </w:rPr>
            </w:pPr>
            <w:r>
              <w:rPr>
                <w:rFonts w:hint="default" w:ascii="Times New Roman" w:hAnsi="Times New Roman" w:cs="Times New Roman"/>
                <w:sz w:val="21"/>
                <w:szCs w:val="21"/>
                <w:u w:val="single"/>
              </w:rPr>
              <w:t>污泥间暂存，定期外售用于</w:t>
            </w:r>
            <w:r>
              <w:rPr>
                <w:rFonts w:hint="eastAsia" w:ascii="Times New Roman" w:hAnsi="Times New Roman" w:eastAsia="宋体" w:cs="Times New Roman"/>
                <w:sz w:val="21"/>
                <w:szCs w:val="21"/>
                <w:u w:val="single"/>
                <w:lang w:eastAsia="zh-CN"/>
              </w:rPr>
              <w:t>制作有机肥</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tcBorders>
              <w:tl2br w:val="nil"/>
              <w:tr2bl w:val="nil"/>
            </w:tcBorders>
            <w:vAlign w:val="center"/>
          </w:tcPr>
          <w:p>
            <w:pPr>
              <w:jc w:val="center"/>
              <w:rPr>
                <w:rFonts w:hint="eastAsia" w:ascii="Times New Roman" w:hAnsi="Times New Roman" w:eastAsia="宋体" w:cs="Times New Roman"/>
                <w:sz w:val="21"/>
                <w:szCs w:val="21"/>
                <w:u w:val="single"/>
                <w:lang w:eastAsia="zh-CN"/>
              </w:rPr>
            </w:pPr>
            <w:r>
              <w:rPr>
                <w:rFonts w:hint="default" w:ascii="Times New Roman" w:hAnsi="Times New Roman" w:cs="Times New Roman"/>
                <w:sz w:val="21"/>
                <w:szCs w:val="21"/>
                <w:u w:val="single"/>
              </w:rPr>
              <w:t>外售</w:t>
            </w:r>
            <w:r>
              <w:rPr>
                <w:rFonts w:hint="eastAsia" w:ascii="Times New Roman" w:hAnsi="Times New Roman" w:eastAsia="宋体" w:cs="Times New Roman"/>
                <w:sz w:val="21"/>
                <w:szCs w:val="21"/>
                <w:u w:val="single"/>
                <w:lang w:eastAsia="zh-CN"/>
              </w:rPr>
              <w:t>，实现</w:t>
            </w:r>
            <w:r>
              <w:rPr>
                <w:rFonts w:hint="default" w:ascii="Times New Roman" w:hAnsi="Times New Roman" w:cs="Times New Roman"/>
                <w:sz w:val="21"/>
                <w:szCs w:val="21"/>
                <w:u w:val="single"/>
              </w:rPr>
              <w:t>综合利用</w:t>
            </w:r>
          </w:p>
        </w:tc>
        <w:tc>
          <w:tcPr>
            <w:tcW w:w="866" w:type="dxa"/>
            <w:vMerge w:val="continue"/>
            <w:tcBorders>
              <w:tl2br w:val="nil"/>
              <w:tr2bl w:val="nil"/>
            </w:tcBorders>
            <w:vAlign w:val="center"/>
          </w:tcPr>
          <w:p>
            <w:pPr>
              <w:jc w:val="center"/>
              <w:rPr>
                <w:rFonts w:hint="default" w:ascii="Times New Roman" w:hAnsi="Times New Roman" w:cs="Times New Roman"/>
                <w:sz w:val="21"/>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93" w:hRule="atLeast"/>
        </w:trPr>
        <w:tc>
          <w:tcPr>
            <w:tcW w:w="563" w:type="dxa"/>
            <w:vMerge w:val="continue"/>
            <w:tcBorders>
              <w:tl2br w:val="nil"/>
              <w:tr2bl w:val="nil"/>
            </w:tcBorders>
            <w:textDirection w:val="tbRlV"/>
            <w:vAlign w:val="center"/>
          </w:tcPr>
          <w:p>
            <w:pPr>
              <w:jc w:val="center"/>
              <w:rPr>
                <w:rFonts w:hint="default" w:ascii="Times New Roman" w:hAnsi="Times New Roman" w:cs="Times New Roman"/>
                <w:sz w:val="21"/>
                <w:szCs w:val="21"/>
                <w:u w:val="single"/>
              </w:rPr>
            </w:pP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eastAsia" w:ascii="Times New Roman" w:hAnsi="Times New Roman" w:eastAsia="宋体" w:cs="Times New Roman"/>
                <w:sz w:val="21"/>
                <w:szCs w:val="21"/>
                <w:u w:val="single"/>
                <w:lang w:eastAsia="zh-CN"/>
              </w:rPr>
              <w:t>牛</w:t>
            </w:r>
            <w:r>
              <w:rPr>
                <w:rFonts w:hint="default" w:ascii="Times New Roman" w:hAnsi="Times New Roman" w:cs="Times New Roman"/>
                <w:sz w:val="21"/>
                <w:szCs w:val="21"/>
                <w:u w:val="single"/>
              </w:rPr>
              <w:t>羊粪、肠胃内容物、栅</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渣</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eastAsia" w:ascii="Times New Roman" w:hAnsi="Times New Roman" w:eastAsia="宋体" w:cs="Times New Roman"/>
                <w:sz w:val="21"/>
                <w:szCs w:val="21"/>
                <w:u w:val="single"/>
                <w:lang w:eastAsia="zh-CN"/>
              </w:rPr>
              <w:t>厂区一般固废间暂存后，由收购人员</w:t>
            </w:r>
            <w:r>
              <w:rPr>
                <w:rFonts w:hint="default" w:ascii="Times New Roman" w:hAnsi="Times New Roman" w:cs="Times New Roman"/>
                <w:sz w:val="21"/>
                <w:szCs w:val="21"/>
                <w:u w:val="single"/>
              </w:rPr>
              <w:t>拉走，做到日产日清，不在厂区长期堆存</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外售</w:t>
            </w:r>
            <w:r>
              <w:rPr>
                <w:rFonts w:hint="eastAsia" w:ascii="Times New Roman" w:hAnsi="Times New Roman" w:eastAsia="宋体" w:cs="Times New Roman"/>
                <w:sz w:val="21"/>
                <w:szCs w:val="21"/>
                <w:u w:val="single"/>
                <w:lang w:eastAsia="zh-CN"/>
              </w:rPr>
              <w:t>，实现</w:t>
            </w:r>
            <w:r>
              <w:rPr>
                <w:rFonts w:hint="default" w:ascii="Times New Roman" w:hAnsi="Times New Roman" w:cs="Times New Roman"/>
                <w:sz w:val="21"/>
                <w:szCs w:val="21"/>
                <w:u w:val="single"/>
              </w:rPr>
              <w:t>综合利用</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563"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病死</w:t>
            </w:r>
            <w:r>
              <w:rPr>
                <w:rFonts w:hint="eastAsia" w:ascii="Times New Roman" w:hAnsi="Times New Roman" w:eastAsia="宋体" w:cs="Times New Roman"/>
                <w:sz w:val="21"/>
                <w:szCs w:val="21"/>
                <w:u w:val="single"/>
                <w:lang w:eastAsia="zh-CN"/>
              </w:rPr>
              <w:t>牛</w:t>
            </w:r>
            <w:r>
              <w:rPr>
                <w:rFonts w:hint="default" w:ascii="Times New Roman" w:hAnsi="Times New Roman" w:cs="Times New Roman"/>
                <w:sz w:val="21"/>
                <w:szCs w:val="21"/>
                <w:u w:val="single"/>
              </w:rPr>
              <w:t>羊、不合格肉品</w:t>
            </w:r>
          </w:p>
        </w:tc>
        <w:tc>
          <w:tcPr>
            <w:tcW w:w="3027" w:type="dxa"/>
            <w:tcBorders>
              <w:tl2br w:val="nil"/>
              <w:tr2bl w:val="nil"/>
            </w:tcBorders>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eastAsia="zh-CN"/>
              </w:rPr>
              <w:t>经厂区包装和暂存后，</w:t>
            </w:r>
            <w:r>
              <w:rPr>
                <w:rFonts w:hint="default" w:ascii="Times New Roman" w:hAnsi="Times New Roman" w:cs="Times New Roman"/>
                <w:sz w:val="21"/>
                <w:szCs w:val="21"/>
                <w:u w:val="single"/>
              </w:rPr>
              <w:t>交由叶县益康动物无害化处理有限公司进行</w:t>
            </w:r>
            <w:r>
              <w:rPr>
                <w:rFonts w:hint="eastAsia" w:ascii="Times New Roman" w:hAnsi="Times New Roman" w:eastAsia="宋体" w:cs="Times New Roman"/>
                <w:sz w:val="21"/>
                <w:szCs w:val="21"/>
                <w:u w:val="single"/>
                <w:lang w:eastAsia="zh-CN"/>
              </w:rPr>
              <w:t>处置</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妥善处置，处理率达到100%</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563" w:type="dxa"/>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检疫废物、废油脂</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危废暂存间暂存后交由有资质单位处置</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5m</w:t>
            </w:r>
            <w:r>
              <w:rPr>
                <w:rFonts w:hint="default" w:ascii="Times New Roman" w:hAnsi="Times New Roman" w:cs="Times New Roman"/>
                <w:sz w:val="21"/>
                <w:szCs w:val="21"/>
                <w:u w:val="single"/>
                <w:vertAlign w:val="superscript"/>
              </w:rPr>
              <w:t>2</w:t>
            </w:r>
          </w:p>
        </w:tc>
        <w:tc>
          <w:tcPr>
            <w:tcW w:w="2562"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交由有资质单位处置</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563" w:type="dxa"/>
            <w:tcBorders>
              <w:tl2br w:val="nil"/>
              <w:tr2bl w:val="nil"/>
            </w:tcBorders>
            <w:textDirection w:val="tbRlV"/>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噪 声</w:t>
            </w:r>
            <w:r>
              <w:rPr>
                <w:rFonts w:hint="default" w:ascii="Times New Roman" w:hAnsi="Times New Roman" w:cs="Times New Roman"/>
                <w:sz w:val="21"/>
                <w:szCs w:val="21"/>
                <w:u w:val="single"/>
              </w:rPr>
              <w:drawing>
                <wp:inline distT="0" distB="0" distL="0" distR="0">
                  <wp:extent cx="132080" cy="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115"/>
                          <a:stretch>
                            <a:fillRect/>
                          </a:stretch>
                        </pic:blipFill>
                        <pic:spPr>
                          <a:xfrm>
                            <a:off x="0" y="0"/>
                            <a:ext cx="132714" cy="0"/>
                          </a:xfrm>
                          <a:prstGeom prst="rect">
                            <a:avLst/>
                          </a:prstGeom>
                        </pic:spPr>
                      </pic:pic>
                    </a:graphicData>
                  </a:graphic>
                </wp:inline>
              </w:drawing>
            </w:r>
          </w:p>
        </w:tc>
        <w:tc>
          <w:tcPr>
            <w:tcW w:w="875"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设备噪声</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减振、消声、隔声措施</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eastAsia="zh-CN"/>
              </w:rPr>
              <w:t>东、南、北</w:t>
            </w:r>
            <w:r>
              <w:rPr>
                <w:rFonts w:hint="default" w:ascii="Times New Roman" w:hAnsi="Times New Roman" w:cs="Times New Roman"/>
                <w:sz w:val="21"/>
                <w:szCs w:val="21"/>
                <w:u w:val="single"/>
              </w:rPr>
              <w:t>厂界《工业企业厂界噪声排放标准》（GB12348-2008）2类标准</w:t>
            </w:r>
            <w:r>
              <w:rPr>
                <w:rFonts w:hint="eastAsia" w:ascii="Times New Roman" w:hAnsi="Times New Roman" w:eastAsia="宋体" w:cs="Times New Roman"/>
                <w:sz w:val="21"/>
                <w:szCs w:val="21"/>
                <w:u w:val="single"/>
                <w:lang w:eastAsia="zh-CN"/>
              </w:rPr>
              <w:t>，西厂界</w:t>
            </w:r>
            <w:r>
              <w:rPr>
                <w:rFonts w:hint="eastAsia" w:ascii="Times New Roman" w:hAnsi="Times New Roman" w:eastAsia="宋体" w:cs="Times New Roman"/>
                <w:sz w:val="21"/>
                <w:szCs w:val="21"/>
                <w:u w:val="single"/>
                <w:lang w:val="en-US" w:eastAsia="zh-CN"/>
              </w:rPr>
              <w:t>4类标准</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trPr>
        <w:tc>
          <w:tcPr>
            <w:tcW w:w="1438" w:type="dxa"/>
            <w:gridSpan w:val="3"/>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生态</w:t>
            </w:r>
          </w:p>
        </w:tc>
        <w:tc>
          <w:tcPr>
            <w:tcW w:w="3027" w:type="dxa"/>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rPr>
              <w:t>植树种草，厂区</w:t>
            </w:r>
            <w:r>
              <w:rPr>
                <w:rFonts w:hint="eastAsia" w:ascii="Times New Roman" w:hAnsi="Times New Roman" w:eastAsia="宋体" w:cs="Times New Roman"/>
                <w:sz w:val="21"/>
                <w:szCs w:val="21"/>
                <w:u w:val="single"/>
                <w:lang w:val="en-US" w:eastAsia="zh-CN"/>
              </w:rPr>
              <w:t>闲置</w:t>
            </w:r>
            <w:r>
              <w:rPr>
                <w:rFonts w:hint="default" w:ascii="Times New Roman" w:hAnsi="Times New Roman" w:cs="Times New Roman"/>
                <w:sz w:val="21"/>
                <w:szCs w:val="21"/>
                <w:u w:val="single"/>
              </w:rPr>
              <w:t>空地全部</w:t>
            </w:r>
            <w:r>
              <w:rPr>
                <w:rFonts w:hint="eastAsia" w:ascii="Times New Roman" w:hAnsi="Times New Roman" w:eastAsia="宋体" w:cs="Times New Roman"/>
                <w:sz w:val="21"/>
                <w:szCs w:val="21"/>
                <w:u w:val="single"/>
                <w:lang w:val="en-US" w:eastAsia="zh-CN"/>
              </w:rPr>
              <w:t>进行植树种草</w:t>
            </w:r>
          </w:p>
        </w:tc>
        <w:tc>
          <w:tcPr>
            <w:tcW w:w="72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2562" w:type="dxa"/>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禁止裸露土地</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757" w:type="dxa"/>
            <w:gridSpan w:val="2"/>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辅助工 程</w:t>
            </w:r>
          </w:p>
        </w:tc>
        <w:tc>
          <w:tcPr>
            <w:tcW w:w="681"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地下水监测</w:t>
            </w:r>
          </w:p>
        </w:tc>
        <w:tc>
          <w:tcPr>
            <w:tcW w:w="302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u w:val="single"/>
              </w:rPr>
            </w:pPr>
            <w:r>
              <w:rPr>
                <w:rFonts w:hint="default" w:ascii="Times New Roman" w:hAnsi="Times New Roman" w:cs="Times New Roman"/>
                <w:sz w:val="21"/>
                <w:szCs w:val="21"/>
                <w:highlight w:val="none"/>
                <w:u w:val="single"/>
              </w:rPr>
              <w:t>设置1座地下水跟踪监测井</w:t>
            </w:r>
            <w:r>
              <w:rPr>
                <w:rFonts w:hint="default" w:ascii="Times New Roman" w:hAnsi="Times New Roman" w:cs="Times New Roman"/>
                <w:sz w:val="21"/>
                <w:szCs w:val="21"/>
                <w:u w:val="single"/>
              </w:rPr>
              <w:t>，分析水质情况</w:t>
            </w:r>
          </w:p>
        </w:tc>
        <w:tc>
          <w:tcPr>
            <w:tcW w:w="3288"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trPr>
        <w:tc>
          <w:tcPr>
            <w:tcW w:w="757" w:type="dxa"/>
            <w:gridSpan w:val="2"/>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681"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排污口立标建档管理</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项目建成投产后，将主要</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污染物种类、数量、浓度、</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排放去向、达标情况及设</w:t>
            </w:r>
          </w:p>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施运行情况记录于档案</w:t>
            </w:r>
          </w:p>
        </w:tc>
        <w:tc>
          <w:tcPr>
            <w:tcW w:w="3288"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16" w:hRule="atLeast"/>
        </w:trPr>
        <w:tc>
          <w:tcPr>
            <w:tcW w:w="1438" w:type="dxa"/>
            <w:gridSpan w:val="3"/>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风险</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eastAsia" w:ascii="Times New Roman" w:hAnsi="Times New Roman" w:eastAsia="宋体" w:cs="Times New Roman"/>
                <w:sz w:val="21"/>
                <w:szCs w:val="21"/>
                <w:highlight w:val="none"/>
                <w:u w:val="single"/>
                <w:lang w:eastAsia="zh-CN"/>
              </w:rPr>
              <w:t>新建</w:t>
            </w:r>
            <w:r>
              <w:rPr>
                <w:rFonts w:hint="default" w:ascii="Times New Roman" w:hAnsi="Times New Roman" w:cs="Times New Roman"/>
                <w:sz w:val="21"/>
                <w:szCs w:val="21"/>
                <w:highlight w:val="none"/>
                <w:u w:val="single"/>
              </w:rPr>
              <w:t>事故应急池（</w:t>
            </w:r>
            <w:r>
              <w:rPr>
                <w:rFonts w:hint="eastAsia" w:ascii="Times New Roman" w:hAnsi="Times New Roman" w:eastAsia="宋体" w:cs="Times New Roman"/>
                <w:sz w:val="21"/>
                <w:szCs w:val="21"/>
                <w:highlight w:val="none"/>
                <w:u w:val="single"/>
                <w:lang w:val="en-US" w:eastAsia="zh-CN"/>
              </w:rPr>
              <w:t>10</w:t>
            </w:r>
            <w:r>
              <w:rPr>
                <w:rFonts w:hint="default" w:ascii="Times New Roman" w:hAnsi="Times New Roman" w:cs="Times New Roman"/>
                <w:sz w:val="21"/>
                <w:szCs w:val="21"/>
                <w:highlight w:val="none"/>
                <w:u w:val="single"/>
              </w:rPr>
              <w:t>0m</w:t>
            </w:r>
            <w:r>
              <w:rPr>
                <w:rFonts w:hint="default" w:ascii="Times New Roman" w:hAnsi="Times New Roman" w:cs="Times New Roman"/>
                <w:sz w:val="21"/>
                <w:szCs w:val="21"/>
                <w:highlight w:val="none"/>
                <w:u w:val="single"/>
                <w:vertAlign w:val="superscript"/>
              </w:rPr>
              <w:t>3</w:t>
            </w:r>
            <w:r>
              <w:rPr>
                <w:rFonts w:hint="default" w:ascii="Times New Roman" w:hAnsi="Times New Roman" w:cs="Times New Roman"/>
                <w:sz w:val="21"/>
                <w:szCs w:val="21"/>
                <w:highlight w:val="none"/>
                <w:u w:val="single"/>
              </w:rPr>
              <w:t>）</w:t>
            </w:r>
            <w:r>
              <w:rPr>
                <w:rFonts w:hint="eastAsia" w:ascii="Times New Roman" w:hAnsi="Times New Roman" w:eastAsia="宋体" w:cs="Times New Roman"/>
                <w:sz w:val="21"/>
                <w:szCs w:val="21"/>
                <w:highlight w:val="none"/>
                <w:u w:val="single"/>
                <w:lang w:eastAsia="zh-CN"/>
              </w:rPr>
              <w:t>用暂存于事故状态下废水或火灾事故发生时消防废水</w:t>
            </w:r>
          </w:p>
        </w:tc>
        <w:tc>
          <w:tcPr>
            <w:tcW w:w="3288"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等效黏土防渗层Mb≥6m，K≤1×10</w:t>
            </w:r>
            <w:r>
              <w:rPr>
                <w:rFonts w:hint="default" w:ascii="Times New Roman" w:hAnsi="Times New Roman" w:cs="Times New Roman"/>
                <w:sz w:val="21"/>
                <w:szCs w:val="21"/>
                <w:u w:val="single"/>
                <w:vertAlign w:val="superscript"/>
              </w:rPr>
              <w:t>-10</w:t>
            </w:r>
            <w:r>
              <w:rPr>
                <w:rFonts w:hint="default" w:ascii="Times New Roman" w:hAnsi="Times New Roman" w:cs="Times New Roman"/>
                <w:sz w:val="21"/>
                <w:szCs w:val="21"/>
                <w:u w:val="single"/>
              </w:rPr>
              <w:t>； 或参照 GB18598执行</w:t>
            </w:r>
          </w:p>
        </w:tc>
        <w:tc>
          <w:tcPr>
            <w:tcW w:w="866" w:type="dxa"/>
            <w:tcBorders>
              <w:tl2br w:val="nil"/>
              <w:tr2bl w:val="nil"/>
            </w:tcBorders>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1438" w:type="dxa"/>
            <w:gridSpan w:val="3"/>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防渗工程</w:t>
            </w: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污水站池底及池壁、危废 暂存间</w:t>
            </w:r>
          </w:p>
        </w:tc>
        <w:tc>
          <w:tcPr>
            <w:tcW w:w="3288"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等效黏土防渗层Mb≥6m，K≤1×10</w:t>
            </w:r>
            <w:r>
              <w:rPr>
                <w:rFonts w:hint="default" w:ascii="Times New Roman" w:hAnsi="Times New Roman" w:cs="Times New Roman"/>
                <w:sz w:val="21"/>
                <w:szCs w:val="21"/>
                <w:u w:val="single"/>
                <w:vertAlign w:val="superscript"/>
              </w:rPr>
              <w:t>-10</w:t>
            </w:r>
            <w:r>
              <w:rPr>
                <w:rFonts w:hint="default" w:ascii="Times New Roman" w:hAnsi="Times New Roman" w:cs="Times New Roman"/>
                <w:sz w:val="21"/>
                <w:szCs w:val="21"/>
                <w:u w:val="single"/>
              </w:rPr>
              <w:t>； 或参照 GB18598执行</w:t>
            </w:r>
          </w:p>
        </w:tc>
        <w:tc>
          <w:tcPr>
            <w:tcW w:w="866" w:type="dxa"/>
            <w:vMerge w:val="restart"/>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配套建 设</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1438" w:type="dxa"/>
            <w:gridSpan w:val="3"/>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屠宰车间地面、待宰区、冷库、临时堆粪场</w:t>
            </w:r>
          </w:p>
        </w:tc>
        <w:tc>
          <w:tcPr>
            <w:tcW w:w="3288"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等效黏土防渗层Mb≥1.5m，K≤1×10</w:t>
            </w:r>
            <w:r>
              <w:rPr>
                <w:rFonts w:hint="default" w:ascii="Times New Roman" w:hAnsi="Times New Roman" w:cs="Times New Roman"/>
                <w:sz w:val="21"/>
                <w:szCs w:val="21"/>
                <w:u w:val="single"/>
                <w:vertAlign w:val="superscript"/>
              </w:rPr>
              <w:t>-7</w:t>
            </w:r>
            <w:r>
              <w:rPr>
                <w:rFonts w:hint="default" w:ascii="Times New Roman" w:hAnsi="Times New Roman" w:cs="Times New Roman"/>
                <w:sz w:val="21"/>
                <w:szCs w:val="21"/>
                <w:u w:val="single"/>
              </w:rPr>
              <w:t>；或参照GB16889执行</w:t>
            </w:r>
          </w:p>
        </w:tc>
        <w:tc>
          <w:tcPr>
            <w:tcW w:w="866" w:type="dxa"/>
            <w:vMerge w:val="continue"/>
            <w:tcBorders>
              <w:tl2br w:val="nil"/>
              <w:tr2bl w:val="nil"/>
            </w:tcBorders>
            <w:vAlign w:val="center"/>
          </w:tcPr>
          <w:p>
            <w:pPr>
              <w:jc w:val="center"/>
              <w:rPr>
                <w:rFonts w:hint="default" w:ascii="Times New Roman" w:hAnsi="Times New Roman" w:cs="Times New Roman"/>
                <w:sz w:val="21"/>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5" w:hRule="atLeast"/>
        </w:trPr>
        <w:tc>
          <w:tcPr>
            <w:tcW w:w="1438" w:type="dxa"/>
            <w:gridSpan w:val="3"/>
            <w:vMerge w:val="continue"/>
            <w:tcBorders>
              <w:tl2br w:val="nil"/>
              <w:tr2bl w:val="nil"/>
            </w:tcBorders>
            <w:vAlign w:val="center"/>
          </w:tcPr>
          <w:p>
            <w:pPr>
              <w:jc w:val="center"/>
              <w:rPr>
                <w:rFonts w:hint="default" w:ascii="Times New Roman" w:hAnsi="Times New Roman" w:cs="Times New Roman"/>
                <w:sz w:val="21"/>
                <w:szCs w:val="21"/>
                <w:u w:val="single"/>
              </w:rPr>
            </w:pPr>
          </w:p>
        </w:tc>
        <w:tc>
          <w:tcPr>
            <w:tcW w:w="3027"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其他区域</w:t>
            </w:r>
          </w:p>
        </w:tc>
        <w:tc>
          <w:tcPr>
            <w:tcW w:w="3288" w:type="dxa"/>
            <w:gridSpan w:val="2"/>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一般地面硬化</w:t>
            </w:r>
          </w:p>
        </w:tc>
        <w:tc>
          <w:tcPr>
            <w:tcW w:w="866" w:type="dxa"/>
            <w:vMerge w:val="continue"/>
            <w:tcBorders>
              <w:tl2br w:val="nil"/>
              <w:tr2bl w:val="nil"/>
            </w:tcBorders>
            <w:vAlign w:val="center"/>
          </w:tcPr>
          <w:p>
            <w:pPr>
              <w:jc w:val="center"/>
              <w:rPr>
                <w:rFonts w:hint="default" w:ascii="Times New Roman" w:hAnsi="Times New Roman" w:cs="Times New Roman"/>
                <w:sz w:val="21"/>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7753" w:type="dxa"/>
            <w:gridSpan w:val="6"/>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总计</w:t>
            </w:r>
          </w:p>
        </w:tc>
        <w:tc>
          <w:tcPr>
            <w:tcW w:w="866" w:type="dxa"/>
            <w:tcBorders>
              <w:tl2br w:val="nil"/>
              <w:tr2bl w:val="nil"/>
            </w:tcBorders>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171.5</w:t>
            </w:r>
          </w:p>
        </w:tc>
      </w:tr>
    </w:tbl>
    <w:p>
      <w:pPr>
        <w:spacing w:before="128" w:line="219" w:lineRule="auto"/>
        <w:ind w:left="552"/>
        <w:rPr>
          <w:rFonts w:ascii="宋体" w:hAnsi="宋体" w:eastAsia="宋体" w:cs="宋体"/>
          <w:sz w:val="24"/>
          <w:szCs w:val="24"/>
          <w:u w:val="none" w:color="auto"/>
        </w:rPr>
      </w:pPr>
      <w:r>
        <w:rPr>
          <w:rFonts w:ascii="宋体" w:hAnsi="宋体" w:eastAsia="宋体" w:cs="宋体"/>
          <w:sz w:val="24"/>
          <w:szCs w:val="24"/>
          <w:u w:val="none" w:color="auto"/>
          <w14:textOutline w14:w="4358" w14:cap="sq" w14:cmpd="sng">
            <w14:solidFill>
              <w14:srgbClr w14:val="000000"/>
            </w14:solidFill>
            <w14:prstDash w14:val="solid"/>
            <w14:bevel/>
          </w14:textOutline>
        </w:rPr>
        <w:t>本项目“三同时</w:t>
      </w:r>
      <w:r>
        <w:rPr>
          <w:rFonts w:ascii="宋体" w:hAnsi="宋体" w:eastAsia="宋体" w:cs="宋体"/>
          <w:spacing w:val="-85"/>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”验收一览表见下表。</w:t>
      </w:r>
    </w:p>
    <w:p>
      <w:pPr>
        <w:spacing w:before="214" w:line="219" w:lineRule="auto"/>
        <w:ind w:left="2377"/>
      </w:pPr>
      <w:r>
        <w:rPr>
          <w:rFonts w:ascii="宋体" w:hAnsi="宋体" w:eastAsia="宋体" w:cs="宋体"/>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u w:val="none" w:color="auto"/>
        </w:rPr>
        <w:t>6-1</w:t>
      </w:r>
      <w:r>
        <w:rPr>
          <w:rFonts w:hint="eastAsia" w:ascii="Times New Roman" w:hAnsi="Times New Roman" w:eastAsia="宋体" w:cs="Times New Roman"/>
          <w:b/>
          <w:bCs/>
          <w:sz w:val="24"/>
          <w:szCs w:val="24"/>
          <w:u w:val="none" w:color="auto"/>
          <w:lang w:val="en-US" w:eastAsia="zh-CN"/>
        </w:rPr>
        <w:t>6</w:t>
      </w:r>
      <w:r>
        <w:rPr>
          <w:rFonts w:ascii="Times New Roman" w:hAnsi="Times New Roman" w:eastAsia="Times New Roman" w:cs="Times New Roman"/>
          <w:b/>
          <w:bCs/>
          <w:sz w:val="24"/>
          <w:szCs w:val="24"/>
          <w:u w:val="none" w:color="auto"/>
        </w:rPr>
        <w:t xml:space="preserve">        </w:t>
      </w:r>
      <w:r>
        <w:rPr>
          <w:rFonts w:ascii="宋体" w:hAnsi="宋体" w:eastAsia="宋体" w:cs="宋体"/>
          <w:sz w:val="24"/>
          <w:szCs w:val="24"/>
          <w:u w:val="none" w:color="auto"/>
          <w14:textOutline w14:w="4358" w14:cap="sq" w14:cmpd="sng">
            <w14:solidFill>
              <w14:srgbClr w14:val="000000"/>
            </w14:solidFill>
            <w14:prstDash w14:val="solid"/>
            <w14:bevel/>
          </w14:textOutline>
        </w:rPr>
        <w:t>本项目</w:t>
      </w:r>
      <w:r>
        <w:rPr>
          <w:rFonts w:ascii="Times New Roman" w:hAnsi="Times New Roman" w:eastAsia="Times New Roman" w:cs="Times New Roman"/>
          <w:b/>
          <w:bCs/>
          <w:sz w:val="24"/>
          <w:szCs w:val="24"/>
          <w:u w:val="none" w:color="auto"/>
        </w:rPr>
        <w:t>“</w:t>
      </w:r>
      <w:r>
        <w:rPr>
          <w:rFonts w:ascii="宋体" w:hAnsi="宋体" w:eastAsia="宋体" w:cs="宋体"/>
          <w:sz w:val="24"/>
          <w:szCs w:val="24"/>
          <w:u w:val="none" w:color="auto"/>
          <w14:textOutline w14:w="4358" w14:cap="sq" w14:cmpd="sng">
            <w14:solidFill>
              <w14:srgbClr w14:val="000000"/>
            </w14:solidFill>
            <w14:prstDash w14:val="solid"/>
            <w14:bevel/>
          </w14:textOutline>
        </w:rPr>
        <w:t>三同时</w:t>
      </w:r>
      <w:r>
        <w:rPr>
          <w:rFonts w:ascii="Times New Roman" w:hAnsi="Times New Roman" w:eastAsia="Times New Roman" w:cs="Times New Roman"/>
          <w:b/>
          <w:bCs/>
          <w:sz w:val="24"/>
          <w:szCs w:val="24"/>
          <w:u w:val="none" w:color="auto"/>
        </w:rPr>
        <w:t>”</w:t>
      </w: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验收一览表</w:t>
      </w:r>
    </w:p>
    <w:tbl>
      <w:tblPr>
        <w:tblStyle w:val="24"/>
        <w:tblW w:w="8848"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1188"/>
        <w:gridCol w:w="3747"/>
        <w:gridCol w:w="319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5" w:hRule="atLeast"/>
        </w:trPr>
        <w:tc>
          <w:tcPr>
            <w:tcW w:w="719"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项目</w:t>
            </w: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类别</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防治措施</w:t>
            </w:r>
          </w:p>
        </w:tc>
        <w:tc>
          <w:tcPr>
            <w:tcW w:w="3194"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执行标准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316" w:hRule="atLeast"/>
        </w:trPr>
        <w:tc>
          <w:tcPr>
            <w:tcW w:w="719" w:type="dxa"/>
            <w:vMerge w:val="restart"/>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废水</w:t>
            </w:r>
          </w:p>
        </w:tc>
        <w:tc>
          <w:tcPr>
            <w:tcW w:w="1188" w:type="dxa"/>
            <w:vMerge w:val="restart"/>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生产废水</w:t>
            </w:r>
          </w:p>
          <w:p>
            <w:pPr>
              <w:jc w:val="center"/>
              <w:rPr>
                <w:rFonts w:hint="default" w:ascii="Times New Roman" w:hAnsi="Times New Roman" w:cs="Times New Roman"/>
                <w:u w:val="single"/>
              </w:rPr>
            </w:pPr>
            <w:r>
              <w:rPr>
                <w:rFonts w:hint="default" w:ascii="Times New Roman" w:hAnsi="Times New Roman" w:cs="Times New Roman"/>
                <w:u w:val="single"/>
              </w:rPr>
              <w:t>生活污水</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污水处理站一座及配套设施，设计处 理规模为</w:t>
            </w:r>
            <w:r>
              <w:rPr>
                <w:rFonts w:hint="eastAsia" w:ascii="Times New Roman" w:hAnsi="Times New Roman" w:eastAsia="宋体" w:cs="Times New Roman"/>
                <w:u w:val="single"/>
                <w:lang w:val="en-US" w:eastAsia="zh-CN"/>
              </w:rPr>
              <w:t>30</w:t>
            </w:r>
            <w:r>
              <w:rPr>
                <w:rFonts w:hint="default" w:ascii="Times New Roman" w:hAnsi="Times New Roman" w:cs="Times New Roman"/>
                <w:u w:val="single"/>
              </w:rPr>
              <w:t>0m</w:t>
            </w:r>
            <w:r>
              <w:rPr>
                <w:rFonts w:hint="default" w:ascii="Times New Roman" w:hAnsi="Times New Roman" w:cs="Times New Roman"/>
                <w:u w:val="single"/>
                <w:vertAlign w:val="superscript"/>
              </w:rPr>
              <w:t>3</w:t>
            </w:r>
            <w:r>
              <w:rPr>
                <w:rFonts w:hint="default" w:ascii="Times New Roman" w:hAnsi="Times New Roman" w:cs="Times New Roman"/>
                <w:u w:val="single"/>
              </w:rPr>
              <w:t>/d，拟采用处理工艺为： “</w:t>
            </w:r>
            <w:r>
              <w:rPr>
                <w:rFonts w:hint="default" w:ascii="Times New Roman" w:hAnsi="Times New Roman" w:cs="Times New Roman"/>
                <w:sz w:val="21"/>
                <w:szCs w:val="21"/>
                <w:u w:val="single"/>
                <w:lang w:eastAsia="zh-CN"/>
              </w:rPr>
              <w:t>格栅</w:t>
            </w:r>
            <w:r>
              <w:rPr>
                <w:rFonts w:hint="default" w:ascii="Times New Roman" w:hAnsi="Times New Roman" w:cs="Times New Roman"/>
                <w:sz w:val="21"/>
                <w:szCs w:val="21"/>
                <w:u w:val="single"/>
              </w:rPr>
              <w:t>气浮+水解酸化+生物接触氧化</w:t>
            </w:r>
            <w:r>
              <w:rPr>
                <w:rFonts w:hint="default" w:ascii="Times New Roman" w:hAnsi="Times New Roman" w:cs="Times New Roman"/>
                <w:sz w:val="21"/>
                <w:szCs w:val="21"/>
                <w:u w:val="single"/>
                <w:lang w:val="en-US" w:eastAsia="zh-CN"/>
              </w:rPr>
              <w:t>+消毒</w:t>
            </w:r>
            <w:r>
              <w:rPr>
                <w:rFonts w:hint="default" w:ascii="Times New Roman" w:hAnsi="Times New Roman" w:cs="Times New Roman"/>
                <w:u w:val="single"/>
              </w:rPr>
              <w:t>”</w:t>
            </w:r>
          </w:p>
        </w:tc>
        <w:tc>
          <w:tcPr>
            <w:tcW w:w="3194"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 xml:space="preserve">《肉类加工工业水污染物排放标 准》（GB13457-92）三级标准及 </w:t>
            </w:r>
            <w:r>
              <w:rPr>
                <w:rFonts w:hint="default" w:ascii="Times New Roman" w:hAnsi="Times New Roman" w:cs="Times New Roman"/>
                <w:u w:val="single"/>
                <w:lang w:eastAsia="zh-CN"/>
              </w:rPr>
              <w:t>叶县县城污水处理厂</w:t>
            </w:r>
            <w:r>
              <w:rPr>
                <w:rFonts w:hint="default" w:ascii="Times New Roman" w:hAnsi="Times New Roman" w:cs="Times New Roman"/>
                <w:u w:val="single"/>
              </w:rPr>
              <w:t>进水水质标准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77"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vMerge w:val="continue"/>
            <w:tcBorders>
              <w:tl2br w:val="nil"/>
              <w:tr2bl w:val="nil"/>
            </w:tcBorders>
            <w:vAlign w:val="center"/>
          </w:tcPr>
          <w:p>
            <w:pPr>
              <w:jc w:val="center"/>
              <w:rPr>
                <w:rFonts w:hint="default" w:ascii="Times New Roman" w:hAnsi="Times New Roman" w:cs="Times New Roman"/>
                <w:u w:val="single"/>
              </w:rPr>
            </w:pPr>
          </w:p>
        </w:tc>
        <w:tc>
          <w:tcPr>
            <w:tcW w:w="3747" w:type="dxa"/>
            <w:tcBorders>
              <w:tl2br w:val="nil"/>
              <w:tr2bl w:val="nil"/>
            </w:tcBorders>
            <w:vAlign w:val="center"/>
          </w:tcPr>
          <w:p>
            <w:pPr>
              <w:jc w:val="center"/>
              <w:rPr>
                <w:rFonts w:hint="default" w:ascii="Times New Roman" w:hAnsi="Times New Roman" w:cs="Times New Roman"/>
                <w:u w:val="single"/>
              </w:rPr>
            </w:pPr>
            <w:r>
              <w:rPr>
                <w:rFonts w:hint="eastAsia" w:ascii="Times New Roman" w:hAnsi="Times New Roman" w:eastAsia="宋体" w:cs="Times New Roman"/>
                <w:sz w:val="21"/>
                <w:szCs w:val="21"/>
                <w:u w:val="single"/>
                <w:lang w:eastAsia="zh-CN"/>
              </w:rPr>
              <w:t>配套建设废水自动监测设施</w:t>
            </w:r>
          </w:p>
        </w:tc>
        <w:tc>
          <w:tcPr>
            <w:tcW w:w="3194" w:type="dxa"/>
            <w:tcBorders>
              <w:tl2br w:val="nil"/>
              <w:tr2bl w:val="nil"/>
            </w:tcBorders>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eastAsia="zh-CN"/>
              </w:rPr>
              <w:t>《水污染源在线监测系统</w:t>
            </w:r>
          </w:p>
          <w:p>
            <w:pPr>
              <w:jc w:val="center"/>
              <w:rPr>
                <w:rFonts w:hint="default" w:ascii="Times New Roman" w:hAnsi="Times New Roman" w:cs="Times New Roman"/>
                <w:u w:val="single"/>
              </w:rPr>
            </w:pP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lang w:val="en-US" w:eastAsia="zh-CN"/>
              </w:rPr>
              <w:t>COD、NH</w:t>
            </w:r>
            <w:r>
              <w:rPr>
                <w:rFonts w:hint="eastAsia" w:ascii="Times New Roman" w:hAnsi="Times New Roman" w:eastAsia="宋体" w:cs="Times New Roman"/>
                <w:sz w:val="21"/>
                <w:szCs w:val="21"/>
                <w:u w:val="single"/>
                <w:vertAlign w:val="subscript"/>
                <w:lang w:val="en-US" w:eastAsia="zh-CN"/>
              </w:rPr>
              <w:t>3</w:t>
            </w:r>
            <w:r>
              <w:rPr>
                <w:rFonts w:hint="eastAsia" w:ascii="Times New Roman" w:hAnsi="Times New Roman" w:eastAsia="宋体" w:cs="Times New Roman"/>
                <w:sz w:val="21"/>
                <w:szCs w:val="21"/>
                <w:u w:val="single"/>
                <w:lang w:val="en-US" w:eastAsia="zh-CN"/>
              </w:rPr>
              <w:t>-N等</w:t>
            </w:r>
            <w:r>
              <w:rPr>
                <w:rFonts w:hint="eastAsia" w:ascii="Times New Roman" w:hAnsi="Times New Roman" w:eastAsia="宋体" w:cs="Times New Roman"/>
                <w:sz w:val="21"/>
                <w:szCs w:val="21"/>
                <w:u w:val="single"/>
                <w:lang w:eastAsia="zh-CN"/>
              </w:rPr>
              <w:t>）验收技术规范》（</w:t>
            </w:r>
            <w:r>
              <w:rPr>
                <w:rFonts w:hint="eastAsia" w:ascii="Times New Roman" w:hAnsi="Times New Roman" w:eastAsia="宋体" w:cs="Times New Roman"/>
                <w:sz w:val="21"/>
                <w:szCs w:val="21"/>
                <w:u w:val="single"/>
                <w:lang w:val="en-US" w:eastAsia="zh-CN"/>
              </w:rPr>
              <w:t>HJ354-2019</w:t>
            </w:r>
            <w:r>
              <w:rPr>
                <w:rFonts w:hint="eastAsia" w:ascii="Times New Roman" w:hAnsi="Times New Roman" w:eastAsia="宋体" w:cs="Times New Roman"/>
                <w:sz w:val="21"/>
                <w:szCs w:val="21"/>
                <w:u w:val="singl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5" w:hRule="atLeast"/>
        </w:trPr>
        <w:tc>
          <w:tcPr>
            <w:tcW w:w="719" w:type="dxa"/>
            <w:vMerge w:val="restart"/>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废气</w:t>
            </w: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屠宰车间</w:t>
            </w:r>
          </w:p>
        </w:tc>
        <w:tc>
          <w:tcPr>
            <w:tcW w:w="3747" w:type="dxa"/>
            <w:vMerge w:val="restart"/>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NH</w:t>
            </w:r>
            <w:r>
              <w:rPr>
                <w:rFonts w:hint="default" w:ascii="Times New Roman" w:hAnsi="Times New Roman" w:cs="Times New Roman"/>
                <w:u w:val="single"/>
                <w:vertAlign w:val="subscript"/>
              </w:rPr>
              <w:t>3</w:t>
            </w:r>
            <w:r>
              <w:rPr>
                <w:rFonts w:hint="default" w:ascii="Times New Roman" w:hAnsi="Times New Roman" w:cs="Times New Roman"/>
                <w:u w:val="single"/>
              </w:rPr>
              <w:t>、H</w:t>
            </w:r>
            <w:r>
              <w:rPr>
                <w:rFonts w:hint="default" w:ascii="Times New Roman" w:hAnsi="Times New Roman" w:cs="Times New Roman"/>
                <w:u w:val="single"/>
                <w:vertAlign w:val="subscript"/>
              </w:rPr>
              <w:t>2</w:t>
            </w:r>
            <w:r>
              <w:rPr>
                <w:rFonts w:hint="default" w:ascii="Times New Roman" w:hAnsi="Times New Roman" w:cs="Times New Roman"/>
                <w:u w:val="single"/>
              </w:rPr>
              <w:t>S、臭气浓度收集后经过生物</w:t>
            </w:r>
          </w:p>
          <w:p>
            <w:pPr>
              <w:jc w:val="center"/>
              <w:rPr>
                <w:rFonts w:hint="default" w:ascii="Times New Roman" w:hAnsi="Times New Roman" w:cs="Times New Roman"/>
                <w:u w:val="single"/>
              </w:rPr>
            </w:pPr>
            <w:r>
              <w:rPr>
                <w:rFonts w:hint="default" w:ascii="Times New Roman" w:hAnsi="Times New Roman" w:cs="Times New Roman"/>
                <w:u w:val="single"/>
              </w:rPr>
              <w:t>除臭装置处理后经 15m 高排气筒排</w:t>
            </w:r>
          </w:p>
          <w:p>
            <w:pPr>
              <w:jc w:val="center"/>
              <w:rPr>
                <w:rFonts w:hint="default" w:ascii="Times New Roman" w:hAnsi="Times New Roman" w:cs="Times New Roman"/>
                <w:u w:val="single"/>
              </w:rPr>
            </w:pPr>
            <w:r>
              <w:rPr>
                <w:rFonts w:hint="default" w:ascii="Times New Roman" w:hAnsi="Times New Roman" w:cs="Times New Roman"/>
                <w:u w:val="single"/>
              </w:rPr>
              <w:t>放；</w:t>
            </w:r>
          </w:p>
        </w:tc>
        <w:tc>
          <w:tcPr>
            <w:tcW w:w="3194" w:type="dxa"/>
            <w:vMerge w:val="restart"/>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《恶臭污染物排放标准》</w:t>
            </w:r>
          </w:p>
          <w:p>
            <w:pPr>
              <w:jc w:val="center"/>
              <w:rPr>
                <w:rFonts w:hint="default" w:ascii="Times New Roman" w:hAnsi="Times New Roman" w:cs="Times New Roman"/>
                <w:u w:val="single"/>
              </w:rPr>
            </w:pPr>
            <w:r>
              <w:rPr>
                <w:rFonts w:hint="default" w:ascii="Times New Roman" w:hAnsi="Times New Roman" w:cs="Times New Roman"/>
                <w:u w:val="single"/>
              </w:rPr>
              <w:t>（GB14554-1993）表1二级标准</w:t>
            </w:r>
          </w:p>
          <w:p>
            <w:pPr>
              <w:jc w:val="center"/>
              <w:rPr>
                <w:rFonts w:hint="default" w:ascii="Times New Roman" w:hAnsi="Times New Roman" w:cs="Times New Roman"/>
                <w:u w:val="single"/>
              </w:rPr>
            </w:pPr>
            <w:r>
              <w:rPr>
                <w:rFonts w:hint="default" w:ascii="Times New Roman" w:hAnsi="Times New Roman" w:cs="Times New Roman"/>
                <w:u w:val="single"/>
              </w:rPr>
              <w:t>及表2限值要求；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19"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污水处理站</w:t>
            </w:r>
          </w:p>
        </w:tc>
        <w:tc>
          <w:tcPr>
            <w:tcW w:w="3747" w:type="dxa"/>
            <w:vMerge w:val="continue"/>
            <w:tcBorders>
              <w:tl2br w:val="nil"/>
              <w:tr2bl w:val="nil"/>
            </w:tcBorders>
            <w:vAlign w:val="center"/>
          </w:tcPr>
          <w:p>
            <w:pPr>
              <w:jc w:val="center"/>
              <w:rPr>
                <w:rFonts w:hint="default" w:ascii="Times New Roman" w:hAnsi="Times New Roman" w:cs="Times New Roman"/>
                <w:u w:val="single"/>
              </w:rPr>
            </w:pPr>
          </w:p>
        </w:tc>
        <w:tc>
          <w:tcPr>
            <w:tcW w:w="3194" w:type="dxa"/>
            <w:vMerge w:val="continue"/>
            <w:tcBorders>
              <w:tl2br w:val="nil"/>
              <w:tr2bl w:val="nil"/>
            </w:tcBorders>
            <w:vAlign w:val="center"/>
          </w:tcPr>
          <w:p>
            <w:pPr>
              <w:jc w:val="center"/>
              <w:rPr>
                <w:rFonts w:hint="default" w:ascii="Times New Roman" w:hAnsi="Times New Roman" w:cs="Times New Roman"/>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2"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tcBorders>
              <w:tl2br w:val="nil"/>
              <w:tr2bl w:val="nil"/>
            </w:tcBorders>
            <w:vAlign w:val="center"/>
          </w:tcPr>
          <w:p>
            <w:pPr>
              <w:jc w:val="center"/>
              <w:rPr>
                <w:rFonts w:hint="eastAsia" w:ascii="Times New Roman" w:hAnsi="Times New Roman" w:eastAsia="宋体" w:cs="Times New Roman"/>
                <w:u w:val="single"/>
                <w:lang w:eastAsia="zh-CN"/>
              </w:rPr>
            </w:pPr>
            <w:r>
              <w:rPr>
                <w:rFonts w:hint="default" w:ascii="Times New Roman" w:hAnsi="Times New Roman" w:cs="Times New Roman"/>
                <w:u w:val="single"/>
              </w:rPr>
              <w:t>待宰圈</w:t>
            </w:r>
            <w:r>
              <w:rPr>
                <w:rFonts w:hint="eastAsia" w:ascii="Times New Roman" w:hAnsi="Times New Roman" w:eastAsia="宋体" w:cs="Times New Roman"/>
                <w:u w:val="single"/>
                <w:lang w:eastAsia="zh-CN"/>
              </w:rPr>
              <w:t>及一般固废暂存间</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恶臭气体：采用定期喷洒除臭剂、</w:t>
            </w:r>
            <w:r>
              <w:rPr>
                <w:rFonts w:hint="eastAsia" w:ascii="Times New Roman" w:hAnsi="Times New Roman" w:eastAsia="宋体" w:cs="Times New Roman"/>
                <w:u w:val="single"/>
                <w:lang w:val="en-US" w:eastAsia="zh-CN"/>
              </w:rPr>
              <w:t>及时冲洗</w:t>
            </w:r>
            <w:r>
              <w:rPr>
                <w:rFonts w:hint="default" w:ascii="Times New Roman" w:hAnsi="Times New Roman" w:cs="Times New Roman"/>
                <w:u w:val="single"/>
              </w:rPr>
              <w:t>等方式</w:t>
            </w:r>
          </w:p>
        </w:tc>
        <w:tc>
          <w:tcPr>
            <w:tcW w:w="3194" w:type="dxa"/>
            <w:vMerge w:val="continue"/>
            <w:tcBorders>
              <w:tl2br w:val="nil"/>
              <w:tr2bl w:val="nil"/>
            </w:tcBorders>
            <w:vAlign w:val="center"/>
          </w:tcPr>
          <w:p>
            <w:pPr>
              <w:jc w:val="center"/>
              <w:rPr>
                <w:rFonts w:hint="default" w:ascii="Times New Roman" w:hAnsi="Times New Roman" w:cs="Times New Roman"/>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2"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油烟</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1套净化效率不低于90%的油烟净化装置</w:t>
            </w:r>
          </w:p>
        </w:tc>
        <w:tc>
          <w:tcPr>
            <w:tcW w:w="3194"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《河南省餐饮业油烟污染物排放 标准》（DB41-1604-2018）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3" w:hRule="atLeast"/>
        </w:trPr>
        <w:tc>
          <w:tcPr>
            <w:tcW w:w="719" w:type="dxa"/>
            <w:vMerge w:val="restart"/>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固废</w:t>
            </w: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生活垃圾</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设置垃圾收集装置，环卫部门集中收 集处理</w:t>
            </w:r>
          </w:p>
        </w:tc>
        <w:tc>
          <w:tcPr>
            <w:tcW w:w="3194" w:type="dxa"/>
            <w:vMerge w:val="restart"/>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《一般工业固体废物贮存和填埋  污染控制标准》（GB18599-2020）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31"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污泥</w:t>
            </w:r>
          </w:p>
        </w:tc>
        <w:tc>
          <w:tcPr>
            <w:tcW w:w="3747" w:type="dxa"/>
            <w:tcBorders>
              <w:tl2br w:val="nil"/>
              <w:tr2bl w:val="nil"/>
            </w:tcBorders>
            <w:vAlign w:val="center"/>
          </w:tcPr>
          <w:p>
            <w:pPr>
              <w:jc w:val="center"/>
              <w:rPr>
                <w:rFonts w:hint="eastAsia" w:ascii="Times New Roman" w:hAnsi="Times New Roman" w:eastAsia="宋体" w:cs="Times New Roman"/>
                <w:u w:val="single"/>
                <w:lang w:eastAsia="zh-CN"/>
              </w:rPr>
            </w:pPr>
            <w:r>
              <w:rPr>
                <w:rFonts w:hint="default" w:ascii="Times New Roman" w:hAnsi="Times New Roman" w:cs="Times New Roman"/>
                <w:u w:val="single"/>
              </w:rPr>
              <w:t>污泥间暂存，定期外售用于</w:t>
            </w:r>
            <w:r>
              <w:rPr>
                <w:rFonts w:hint="eastAsia" w:ascii="Times New Roman" w:hAnsi="Times New Roman" w:eastAsia="宋体" w:cs="Times New Roman"/>
                <w:u w:val="single"/>
                <w:lang w:eastAsia="zh-CN"/>
              </w:rPr>
              <w:t>制作有机肥</w:t>
            </w:r>
          </w:p>
        </w:tc>
        <w:tc>
          <w:tcPr>
            <w:tcW w:w="3194" w:type="dxa"/>
            <w:vMerge w:val="continue"/>
            <w:tcBorders>
              <w:tl2br w:val="nil"/>
              <w:tr2bl w:val="nil"/>
            </w:tcBorders>
            <w:vAlign w:val="center"/>
          </w:tcPr>
          <w:p>
            <w:pPr>
              <w:jc w:val="center"/>
              <w:rPr>
                <w:rFonts w:hint="default" w:ascii="Times New Roman" w:hAnsi="Times New Roman" w:cs="Times New Roman"/>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3"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栅渣</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当日使用密闭运输车拉走外售，做到 日产日清，不在厂区长期堆存</w:t>
            </w:r>
          </w:p>
        </w:tc>
        <w:tc>
          <w:tcPr>
            <w:tcW w:w="3194" w:type="dxa"/>
            <w:vMerge w:val="continue"/>
            <w:tcBorders>
              <w:tl2br w:val="nil"/>
              <w:tr2bl w:val="nil"/>
            </w:tcBorders>
            <w:vAlign w:val="center"/>
          </w:tcPr>
          <w:p>
            <w:pPr>
              <w:jc w:val="center"/>
              <w:rPr>
                <w:rFonts w:hint="default" w:ascii="Times New Roman" w:hAnsi="Times New Roman" w:cs="Times New Roman"/>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3"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tcBorders>
              <w:tl2br w:val="nil"/>
              <w:tr2bl w:val="nil"/>
            </w:tcBorders>
            <w:vAlign w:val="center"/>
          </w:tcPr>
          <w:p>
            <w:pPr>
              <w:jc w:val="center"/>
              <w:rPr>
                <w:rFonts w:hint="default" w:ascii="Times New Roman" w:hAnsi="Times New Roman" w:cs="Times New Roman"/>
                <w:u w:val="single"/>
              </w:rPr>
            </w:pPr>
            <w:r>
              <w:rPr>
                <w:rFonts w:hint="eastAsia" w:ascii="Times New Roman" w:hAnsi="Times New Roman" w:eastAsia="宋体" w:cs="Times New Roman"/>
                <w:u w:val="single"/>
                <w:lang w:eastAsia="zh-CN"/>
              </w:rPr>
              <w:t>牛</w:t>
            </w:r>
            <w:r>
              <w:rPr>
                <w:rFonts w:hint="default" w:ascii="Times New Roman" w:hAnsi="Times New Roman" w:cs="Times New Roman"/>
                <w:u w:val="single"/>
              </w:rPr>
              <w:t>羊粪、肠胃内 容物</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当日使用密闭运输车拉走外售，做到日产日清，不在厂区长期堆存</w:t>
            </w:r>
          </w:p>
        </w:tc>
        <w:tc>
          <w:tcPr>
            <w:tcW w:w="3194" w:type="dxa"/>
            <w:vMerge w:val="continue"/>
            <w:tcBorders>
              <w:tl2br w:val="nil"/>
              <w:tr2bl w:val="nil"/>
            </w:tcBorders>
            <w:vAlign w:val="center"/>
          </w:tcPr>
          <w:p>
            <w:pPr>
              <w:jc w:val="center"/>
              <w:rPr>
                <w:rFonts w:hint="default" w:ascii="Times New Roman" w:hAnsi="Times New Roman" w:cs="Times New Roman"/>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3"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病死</w:t>
            </w:r>
            <w:r>
              <w:rPr>
                <w:rFonts w:hint="eastAsia" w:ascii="Times New Roman" w:hAnsi="Times New Roman" w:eastAsia="宋体" w:cs="Times New Roman"/>
                <w:u w:val="single"/>
                <w:lang w:eastAsia="zh-CN"/>
              </w:rPr>
              <w:t>牛</w:t>
            </w:r>
            <w:r>
              <w:rPr>
                <w:rFonts w:hint="default" w:ascii="Times New Roman" w:hAnsi="Times New Roman" w:cs="Times New Roman"/>
                <w:u w:val="single"/>
              </w:rPr>
              <w:t>羊、不合 格肉品</w:t>
            </w:r>
          </w:p>
        </w:tc>
        <w:tc>
          <w:tcPr>
            <w:tcW w:w="3747" w:type="dxa"/>
            <w:tcBorders>
              <w:tl2br w:val="nil"/>
              <w:tr2bl w:val="nil"/>
            </w:tcBorders>
            <w:vAlign w:val="center"/>
          </w:tcPr>
          <w:p>
            <w:pPr>
              <w:jc w:val="center"/>
              <w:rPr>
                <w:rFonts w:hint="eastAsia" w:ascii="Times New Roman" w:hAnsi="Times New Roman" w:eastAsia="宋体" w:cs="Times New Roman"/>
                <w:u w:val="single"/>
                <w:lang w:eastAsia="zh-CN"/>
              </w:rPr>
            </w:pPr>
            <w:r>
              <w:rPr>
                <w:rFonts w:hint="eastAsia" w:ascii="Times New Roman" w:hAnsi="Times New Roman" w:eastAsia="宋体" w:cs="Times New Roman"/>
                <w:sz w:val="21"/>
                <w:szCs w:val="21"/>
                <w:u w:val="single"/>
                <w:lang w:eastAsia="zh-CN"/>
              </w:rPr>
              <w:t>经厂区包装和暂存后</w:t>
            </w:r>
            <w:r>
              <w:rPr>
                <w:rFonts w:hint="eastAsia" w:ascii="Times New Roman" w:hAnsi="Times New Roman" w:eastAsia="宋体" w:cs="Times New Roman"/>
                <w:u w:val="single"/>
                <w:lang w:eastAsia="zh-CN"/>
              </w:rPr>
              <w:t>，</w:t>
            </w:r>
            <w:r>
              <w:rPr>
                <w:rFonts w:hint="default" w:ascii="Times New Roman" w:hAnsi="Times New Roman" w:cs="Times New Roman"/>
                <w:u w:val="single"/>
              </w:rPr>
              <w:t>交由叶县益康动物无害化处理有限公司进行</w:t>
            </w:r>
            <w:r>
              <w:rPr>
                <w:rFonts w:hint="eastAsia" w:ascii="Times New Roman" w:hAnsi="Times New Roman" w:eastAsia="宋体" w:cs="Times New Roman"/>
                <w:u w:val="single"/>
                <w:lang w:eastAsia="zh-CN"/>
              </w:rPr>
              <w:t>处置</w:t>
            </w:r>
          </w:p>
        </w:tc>
        <w:tc>
          <w:tcPr>
            <w:tcW w:w="3194" w:type="dxa"/>
            <w:vMerge w:val="continue"/>
            <w:tcBorders>
              <w:tl2br w:val="nil"/>
              <w:tr2bl w:val="nil"/>
            </w:tcBorders>
            <w:vAlign w:val="center"/>
          </w:tcPr>
          <w:p>
            <w:pPr>
              <w:jc w:val="center"/>
              <w:rPr>
                <w:rFonts w:hint="default" w:ascii="Times New Roman" w:hAnsi="Times New Roman" w:cs="Times New Roman"/>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839" w:hRule="atLeast"/>
        </w:trPr>
        <w:tc>
          <w:tcPr>
            <w:tcW w:w="719" w:type="dxa"/>
            <w:vMerge w:val="continue"/>
            <w:tcBorders>
              <w:tl2br w:val="nil"/>
              <w:tr2bl w:val="nil"/>
            </w:tcBorders>
            <w:vAlign w:val="center"/>
          </w:tcPr>
          <w:p>
            <w:pPr>
              <w:jc w:val="center"/>
              <w:rPr>
                <w:rFonts w:hint="default" w:ascii="Times New Roman" w:hAnsi="Times New Roman" w:cs="Times New Roman"/>
                <w:u w:val="single"/>
              </w:rPr>
            </w:pP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检疫废物、废</w:t>
            </w:r>
          </w:p>
          <w:p>
            <w:pPr>
              <w:jc w:val="center"/>
              <w:rPr>
                <w:rFonts w:hint="default" w:ascii="Times New Roman" w:hAnsi="Times New Roman" w:cs="Times New Roman"/>
                <w:u w:val="single"/>
              </w:rPr>
            </w:pPr>
            <w:r>
              <w:rPr>
                <w:rFonts w:hint="default" w:ascii="Times New Roman" w:hAnsi="Times New Roman" w:cs="Times New Roman"/>
                <w:u w:val="single"/>
              </w:rPr>
              <w:t>油脂</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5m</w:t>
            </w:r>
            <w:r>
              <w:rPr>
                <w:rFonts w:hint="default" w:ascii="Times New Roman" w:hAnsi="Times New Roman" w:cs="Times New Roman"/>
                <w:u w:val="single"/>
                <w:vertAlign w:val="superscript"/>
              </w:rPr>
              <w:t>2</w:t>
            </w:r>
            <w:r>
              <w:rPr>
                <w:rFonts w:hint="default" w:ascii="Times New Roman" w:hAnsi="Times New Roman" w:cs="Times New Roman"/>
                <w:u w:val="single"/>
              </w:rPr>
              <w:t>的危废暂存间暂存后交由有资质单位处置</w:t>
            </w:r>
          </w:p>
        </w:tc>
        <w:tc>
          <w:tcPr>
            <w:tcW w:w="3194"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《危险废物贮存污染控制标准》</w:t>
            </w:r>
          </w:p>
          <w:p>
            <w:pPr>
              <w:jc w:val="center"/>
              <w:rPr>
                <w:rFonts w:hint="default" w:ascii="Times New Roman" w:hAnsi="Times New Roman" w:cs="Times New Roman"/>
                <w:u w:val="single"/>
              </w:rPr>
            </w:pPr>
            <w:r>
              <w:rPr>
                <w:rFonts w:hint="default" w:ascii="Times New Roman" w:hAnsi="Times New Roman" w:cs="Times New Roman"/>
                <w:u w:val="single"/>
              </w:rPr>
              <w:t>（GB18597-2023）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170" w:hRule="atLeast"/>
        </w:trPr>
        <w:tc>
          <w:tcPr>
            <w:tcW w:w="719"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噪声</w:t>
            </w:r>
          </w:p>
        </w:tc>
        <w:tc>
          <w:tcPr>
            <w:tcW w:w="1188"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高噪声设备</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设备减振底座、厂房等隔声、消声器；</w:t>
            </w:r>
          </w:p>
        </w:tc>
        <w:tc>
          <w:tcPr>
            <w:tcW w:w="3194" w:type="dxa"/>
            <w:tcBorders>
              <w:tl2br w:val="nil"/>
              <w:tr2bl w:val="nil"/>
            </w:tcBorders>
            <w:vAlign w:val="center"/>
          </w:tcPr>
          <w:p>
            <w:pPr>
              <w:jc w:val="center"/>
              <w:rPr>
                <w:rFonts w:hint="default" w:ascii="Times New Roman" w:hAnsi="Times New Roman" w:cs="Times New Roman"/>
                <w:u w:val="single"/>
              </w:rPr>
            </w:pPr>
            <w:r>
              <w:rPr>
                <w:rFonts w:hint="eastAsia" w:ascii="Times New Roman" w:hAnsi="Times New Roman" w:eastAsia="宋体" w:cs="Times New Roman"/>
                <w:u w:val="single"/>
                <w:lang w:eastAsia="zh-CN"/>
              </w:rPr>
              <w:t>东、南、北厂界执行</w:t>
            </w:r>
            <w:r>
              <w:rPr>
                <w:rFonts w:hint="default" w:ascii="Times New Roman" w:hAnsi="Times New Roman" w:cs="Times New Roman"/>
                <w:u w:val="single"/>
              </w:rPr>
              <w:t>《工业企业厂界环境噪声排放标准》（GB12348-2008）2类标准</w:t>
            </w:r>
            <w:r>
              <w:rPr>
                <w:rFonts w:hint="eastAsia" w:ascii="Times New Roman" w:hAnsi="Times New Roman" w:eastAsia="宋体" w:cs="Times New Roman"/>
                <w:u w:val="single"/>
                <w:lang w:eastAsia="zh-CN"/>
              </w:rPr>
              <w:t>；西厂界执行</w:t>
            </w:r>
            <w:r>
              <w:rPr>
                <w:rFonts w:hint="eastAsia" w:ascii="Times New Roman" w:hAnsi="Times New Roman" w:eastAsia="宋体" w:cs="Times New Roman"/>
                <w:u w:val="single"/>
                <w:lang w:val="en-US" w:eastAsia="zh-CN"/>
              </w:rPr>
              <w:t>4</w:t>
            </w:r>
            <w:r>
              <w:rPr>
                <w:rFonts w:hint="default" w:ascii="Times New Roman" w:hAnsi="Times New Roman" w:cs="Times New Roman"/>
                <w:u w:val="single"/>
              </w:rPr>
              <w:t>类标准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838" w:hRule="atLeast"/>
        </w:trPr>
        <w:tc>
          <w:tcPr>
            <w:tcW w:w="1907" w:type="dxa"/>
            <w:gridSpan w:val="2"/>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风险</w:t>
            </w:r>
          </w:p>
        </w:tc>
        <w:tc>
          <w:tcPr>
            <w:tcW w:w="3747" w:type="dxa"/>
            <w:tcBorders>
              <w:tl2br w:val="nil"/>
              <w:tr2bl w:val="nil"/>
            </w:tcBorders>
            <w:vAlign w:val="center"/>
          </w:tcPr>
          <w:p>
            <w:pPr>
              <w:jc w:val="center"/>
              <w:rPr>
                <w:rFonts w:hint="default" w:ascii="Times New Roman" w:hAnsi="Times New Roman" w:cs="Times New Roman"/>
                <w:u w:val="single"/>
              </w:rPr>
            </w:pPr>
            <w:r>
              <w:rPr>
                <w:rFonts w:hint="eastAsia" w:ascii="Times New Roman" w:hAnsi="Times New Roman" w:eastAsia="宋体" w:cs="Times New Roman"/>
                <w:sz w:val="21"/>
                <w:szCs w:val="21"/>
                <w:highlight w:val="none"/>
                <w:u w:val="single"/>
                <w:lang w:eastAsia="zh-CN"/>
              </w:rPr>
              <w:t>新建</w:t>
            </w:r>
            <w:r>
              <w:rPr>
                <w:rFonts w:hint="default" w:ascii="Times New Roman" w:hAnsi="Times New Roman" w:cs="Times New Roman"/>
                <w:sz w:val="21"/>
                <w:szCs w:val="21"/>
                <w:highlight w:val="none"/>
                <w:u w:val="single"/>
              </w:rPr>
              <w:t>事故应急池（</w:t>
            </w:r>
            <w:r>
              <w:rPr>
                <w:rFonts w:hint="eastAsia" w:ascii="Times New Roman" w:hAnsi="Times New Roman" w:eastAsia="宋体" w:cs="Times New Roman"/>
                <w:sz w:val="21"/>
                <w:szCs w:val="21"/>
                <w:highlight w:val="none"/>
                <w:u w:val="single"/>
                <w:lang w:val="en-US" w:eastAsia="zh-CN"/>
              </w:rPr>
              <w:t>10</w:t>
            </w:r>
            <w:r>
              <w:rPr>
                <w:rFonts w:hint="default" w:ascii="Times New Roman" w:hAnsi="Times New Roman" w:cs="Times New Roman"/>
                <w:sz w:val="21"/>
                <w:szCs w:val="21"/>
                <w:highlight w:val="none"/>
                <w:u w:val="single"/>
              </w:rPr>
              <w:t>0m</w:t>
            </w:r>
            <w:r>
              <w:rPr>
                <w:rFonts w:hint="default" w:ascii="Times New Roman" w:hAnsi="Times New Roman" w:cs="Times New Roman"/>
                <w:sz w:val="21"/>
                <w:szCs w:val="21"/>
                <w:highlight w:val="none"/>
                <w:u w:val="single"/>
                <w:vertAlign w:val="superscript"/>
              </w:rPr>
              <w:t>3</w:t>
            </w:r>
            <w:r>
              <w:rPr>
                <w:rFonts w:hint="default" w:ascii="Times New Roman" w:hAnsi="Times New Roman" w:cs="Times New Roman"/>
                <w:sz w:val="21"/>
                <w:szCs w:val="21"/>
                <w:highlight w:val="none"/>
                <w:u w:val="single"/>
              </w:rPr>
              <w:t>）</w:t>
            </w:r>
            <w:r>
              <w:rPr>
                <w:rFonts w:hint="eastAsia" w:ascii="Times New Roman" w:hAnsi="Times New Roman" w:eastAsia="宋体" w:cs="Times New Roman"/>
                <w:sz w:val="21"/>
                <w:szCs w:val="21"/>
                <w:highlight w:val="none"/>
                <w:u w:val="single"/>
                <w:lang w:eastAsia="zh-CN"/>
              </w:rPr>
              <w:t>用暂存于事故状态下废水或火灾事故发生时消防废水</w:t>
            </w:r>
            <w:r>
              <w:rPr>
                <w:rFonts w:hint="default" w:ascii="Times New Roman" w:hAnsi="Times New Roman" w:cs="Times New Roman"/>
                <w:sz w:val="21"/>
                <w:szCs w:val="21"/>
                <w:u w:val="single"/>
              </w:rPr>
              <w:t>，同时做好防渗措施</w:t>
            </w:r>
          </w:p>
        </w:tc>
        <w:tc>
          <w:tcPr>
            <w:tcW w:w="3194"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等效黏土防渗层Mb≥6m，K≤1×10-10；或参照 GB18598执行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3" w:hRule="atLeast"/>
        </w:trPr>
        <w:tc>
          <w:tcPr>
            <w:tcW w:w="1907" w:type="dxa"/>
            <w:gridSpan w:val="2"/>
            <w:vMerge w:val="restart"/>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防渗工程</w:t>
            </w: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污水站池底及池壁、危废暂存间</w:t>
            </w:r>
          </w:p>
        </w:tc>
        <w:tc>
          <w:tcPr>
            <w:tcW w:w="3194"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等效黏土防渗层Mb≥6m，K≤1×10-10；或参照 GB18598执行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43" w:hRule="atLeast"/>
        </w:trPr>
        <w:tc>
          <w:tcPr>
            <w:tcW w:w="1907" w:type="dxa"/>
            <w:gridSpan w:val="2"/>
            <w:vMerge w:val="continue"/>
            <w:tcBorders>
              <w:tl2br w:val="nil"/>
              <w:tr2bl w:val="nil"/>
            </w:tcBorders>
            <w:vAlign w:val="center"/>
          </w:tcPr>
          <w:p>
            <w:pPr>
              <w:jc w:val="center"/>
              <w:rPr>
                <w:rFonts w:hint="default" w:ascii="Times New Roman" w:hAnsi="Times New Roman" w:cs="Times New Roman"/>
                <w:u w:val="single"/>
              </w:rPr>
            </w:pP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屠宰车间地面、待宰区、冷库、临时堆粪场</w:t>
            </w:r>
          </w:p>
        </w:tc>
        <w:tc>
          <w:tcPr>
            <w:tcW w:w="3194"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等效黏土防渗层Mb≥1.5m，K≤1×10-7；或参照GB16889执行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83" w:hRule="atLeast"/>
        </w:trPr>
        <w:tc>
          <w:tcPr>
            <w:tcW w:w="1907" w:type="dxa"/>
            <w:gridSpan w:val="2"/>
            <w:vMerge w:val="continue"/>
            <w:tcBorders>
              <w:tl2br w:val="nil"/>
              <w:tr2bl w:val="nil"/>
            </w:tcBorders>
            <w:vAlign w:val="center"/>
          </w:tcPr>
          <w:p>
            <w:pPr>
              <w:jc w:val="center"/>
              <w:rPr>
                <w:rFonts w:hint="default" w:ascii="Times New Roman" w:hAnsi="Times New Roman" w:cs="Times New Roman"/>
                <w:u w:val="single"/>
              </w:rPr>
            </w:pPr>
          </w:p>
        </w:tc>
        <w:tc>
          <w:tcPr>
            <w:tcW w:w="3747"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其他区域</w:t>
            </w:r>
          </w:p>
        </w:tc>
        <w:tc>
          <w:tcPr>
            <w:tcW w:w="3194" w:type="dxa"/>
            <w:tcBorders>
              <w:tl2br w:val="nil"/>
              <w:tr2bl w:val="nil"/>
            </w:tcBorders>
            <w:vAlign w:val="center"/>
          </w:tcPr>
          <w:p>
            <w:pPr>
              <w:jc w:val="center"/>
              <w:rPr>
                <w:rFonts w:hint="default" w:ascii="Times New Roman" w:hAnsi="Times New Roman" w:cs="Times New Roman"/>
                <w:u w:val="single"/>
              </w:rPr>
            </w:pPr>
            <w:r>
              <w:rPr>
                <w:rFonts w:hint="default" w:ascii="Times New Roman" w:hAnsi="Times New Roman" w:cs="Times New Roman"/>
                <w:u w:val="single"/>
              </w:rPr>
              <w:t>一般地面硬化</w:t>
            </w:r>
          </w:p>
        </w:tc>
      </w:tr>
    </w:tbl>
    <w:p>
      <w:pPr>
        <w:spacing w:before="131" w:line="219" w:lineRule="auto"/>
        <w:ind w:left="2379"/>
        <w:rPr>
          <w:rFonts w:ascii="宋体" w:hAnsi="宋体" w:eastAsia="宋体" w:cs="宋体"/>
          <w:spacing w:val="-1"/>
          <w:sz w:val="24"/>
          <w:szCs w:val="24"/>
          <w:u w:val="none" w:color="auto"/>
          <w14:textOutline w14:w="4358" w14:cap="sq" w14:cmpd="sng">
            <w14:solidFill>
              <w14:srgbClr w14:val="000000"/>
            </w14:solidFill>
            <w14:prstDash w14:val="solid"/>
            <w14:bevel/>
          </w14:textOutline>
        </w:rPr>
      </w:pPr>
    </w:p>
    <w:p>
      <w:pPr>
        <w:spacing w:before="131" w:line="219" w:lineRule="auto"/>
        <w:ind w:left="2379"/>
      </w:pP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u w:val="none" w:color="auto"/>
        </w:rPr>
        <w:t>6-1</w:t>
      </w:r>
      <w:r>
        <w:rPr>
          <w:rFonts w:hint="eastAsia" w:ascii="Times New Roman" w:hAnsi="Times New Roman" w:eastAsia="宋体" w:cs="Times New Roman"/>
          <w:b/>
          <w:bCs/>
          <w:spacing w:val="-1"/>
          <w:sz w:val="24"/>
          <w:szCs w:val="24"/>
          <w:u w:val="none" w:color="auto"/>
          <w:lang w:val="en-US" w:eastAsia="zh-CN"/>
        </w:rPr>
        <w:t>7</w:t>
      </w:r>
      <w:r>
        <w:rPr>
          <w:rFonts w:ascii="Times New Roman" w:hAnsi="Times New Roman" w:eastAsia="Times New Roman" w:cs="Times New Roman"/>
          <w:b/>
          <w:bCs/>
          <w:spacing w:val="-1"/>
          <w:sz w:val="24"/>
          <w:szCs w:val="24"/>
          <w:u w:val="none" w:color="auto"/>
        </w:rPr>
        <w:t xml:space="preserve">        </w:t>
      </w: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环境保护措施监督检查清单</w:t>
      </w:r>
    </w:p>
    <w:tbl>
      <w:tblPr>
        <w:tblStyle w:val="24"/>
        <w:tblW w:w="8804"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98"/>
        <w:gridCol w:w="1749"/>
        <w:gridCol w:w="1174"/>
        <w:gridCol w:w="2487"/>
        <w:gridCol w:w="219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2" w:hRule="atLeast"/>
        </w:trPr>
        <w:tc>
          <w:tcPr>
            <w:tcW w:w="1198" w:type="dxa"/>
            <w:tcBorders>
              <w:tl2br w:val="nil"/>
              <w:tr2bl w:val="nil"/>
            </w:tcBorders>
            <w:vAlign w:val="center"/>
          </w:tcPr>
          <w:p>
            <w:pPr>
              <w:jc w:val="right"/>
              <w:rPr>
                <w:rFonts w:hint="default" w:ascii="Times New Roman" w:hAnsi="Times New Roman" w:cs="Times New Roman"/>
              </w:rPr>
            </w:pPr>
            <w:r>
              <w:rPr>
                <w:rFonts w:hint="default" w:ascii="Times New Roman" w:hAnsi="Times New Roman" w:cs="Times New Roman"/>
              </w:rPr>
              <w:drawing>
                <wp:anchor distT="0" distB="0" distL="0" distR="0" simplePos="0" relativeHeight="251706368" behindDoc="1" locked="0" layoutInCell="1" allowOverlap="1">
                  <wp:simplePos x="0" y="0"/>
                  <wp:positionH relativeFrom="column">
                    <wp:posOffset>-3175</wp:posOffset>
                  </wp:positionH>
                  <wp:positionV relativeFrom="paragraph">
                    <wp:posOffset>-1905</wp:posOffset>
                  </wp:positionV>
                  <wp:extent cx="773430" cy="366395"/>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116"/>
                          <a:stretch>
                            <a:fillRect/>
                          </a:stretch>
                        </pic:blipFill>
                        <pic:spPr>
                          <a:xfrm>
                            <a:off x="0" y="0"/>
                            <a:ext cx="773633" cy="366140"/>
                          </a:xfrm>
                          <a:prstGeom prst="rect">
                            <a:avLst/>
                          </a:prstGeom>
                        </pic:spPr>
                      </pic:pic>
                    </a:graphicData>
                  </a:graphic>
                </wp:anchor>
              </w:drawing>
            </w:r>
            <w:r>
              <w:rPr>
                <w:rFonts w:hint="default" w:ascii="Times New Roman" w:hAnsi="Times New Roman" w:cs="Times New Roman"/>
              </w:rPr>
              <w:t>内容</w:t>
            </w:r>
          </w:p>
          <w:p>
            <w:pPr>
              <w:jc w:val="left"/>
              <w:rPr>
                <w:rFonts w:hint="default" w:ascii="Times New Roman" w:hAnsi="Times New Roman" w:cs="Times New Roman"/>
              </w:rPr>
            </w:pPr>
            <w:r>
              <w:rPr>
                <w:rFonts w:hint="default" w:ascii="Times New Roman" w:hAnsi="Times New Roman" w:cs="Times New Roman"/>
              </w:rPr>
              <w:t>要素</w:t>
            </w:r>
          </w:p>
        </w:tc>
        <w:tc>
          <w:tcPr>
            <w:tcW w:w="17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排放口（编号、名称）/污染源</w:t>
            </w:r>
          </w:p>
        </w:tc>
        <w:tc>
          <w:tcPr>
            <w:tcW w:w="11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污染物项目</w:t>
            </w:r>
          </w:p>
        </w:tc>
        <w:tc>
          <w:tcPr>
            <w:tcW w:w="2487"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环境保护措施</w:t>
            </w:r>
          </w:p>
        </w:tc>
        <w:tc>
          <w:tcPr>
            <w:tcW w:w="219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执行标准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trPr>
        <w:tc>
          <w:tcPr>
            <w:tcW w:w="1198"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大气环境</w:t>
            </w:r>
          </w:p>
        </w:tc>
        <w:tc>
          <w:tcPr>
            <w:tcW w:w="17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DA001，恶臭气体排放口</w:t>
            </w:r>
          </w:p>
        </w:tc>
        <w:tc>
          <w:tcPr>
            <w:tcW w:w="11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S、臭气浓度</w:t>
            </w:r>
          </w:p>
        </w:tc>
        <w:tc>
          <w:tcPr>
            <w:tcW w:w="2487"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恶臭气体收集后经过生 物除臭装置处理后经15m高排气筒排放</w:t>
            </w:r>
          </w:p>
        </w:tc>
        <w:tc>
          <w:tcPr>
            <w:tcW w:w="219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《恶臭污染物排放标准》（GB14554-1993）表1 二级标准及表2限值要求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93" w:hRule="atLeast"/>
        </w:trPr>
        <w:tc>
          <w:tcPr>
            <w:tcW w:w="1198" w:type="dxa"/>
            <w:vMerge w:val="continue"/>
            <w:tcBorders>
              <w:tl2br w:val="nil"/>
              <w:tr2bl w:val="nil"/>
            </w:tcBorders>
            <w:vAlign w:val="center"/>
          </w:tcPr>
          <w:p>
            <w:pPr>
              <w:jc w:val="center"/>
              <w:rPr>
                <w:rFonts w:hint="default" w:ascii="Times New Roman" w:hAnsi="Times New Roman" w:cs="Times New Roman"/>
              </w:rPr>
            </w:pPr>
          </w:p>
        </w:tc>
        <w:tc>
          <w:tcPr>
            <w:tcW w:w="17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油烟</w:t>
            </w:r>
          </w:p>
        </w:tc>
        <w:tc>
          <w:tcPr>
            <w:tcW w:w="11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油烟气体</w:t>
            </w:r>
          </w:p>
        </w:tc>
        <w:tc>
          <w:tcPr>
            <w:tcW w:w="2487"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1套净化效率不低于90% 的油烟净化装置</w:t>
            </w:r>
          </w:p>
        </w:tc>
        <w:tc>
          <w:tcPr>
            <w:tcW w:w="219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《河南省餐饮业油烟</w:t>
            </w:r>
          </w:p>
          <w:p>
            <w:pPr>
              <w:jc w:val="center"/>
              <w:rPr>
                <w:rFonts w:hint="default" w:ascii="Times New Roman" w:hAnsi="Times New Roman" w:cs="Times New Roman"/>
              </w:rPr>
            </w:pPr>
            <w:r>
              <w:rPr>
                <w:rFonts w:hint="default" w:ascii="Times New Roman" w:hAnsi="Times New Roman" w:cs="Times New Roman"/>
              </w:rPr>
              <w:t>污染物排放标准》</w:t>
            </w:r>
          </w:p>
          <w:p>
            <w:pPr>
              <w:jc w:val="center"/>
              <w:rPr>
                <w:rFonts w:hint="default" w:ascii="Times New Roman" w:hAnsi="Times New Roman" w:cs="Times New Roman"/>
              </w:rPr>
            </w:pPr>
            <w:r>
              <w:rPr>
                <w:rFonts w:hint="default" w:ascii="Times New Roman" w:hAnsi="Times New Roman" w:cs="Times New Roman"/>
              </w:rPr>
              <w:t>（DB41-1604-2018）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2188" w:hRule="atLeast"/>
        </w:trPr>
        <w:tc>
          <w:tcPr>
            <w:tcW w:w="11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地表水环 境</w:t>
            </w:r>
          </w:p>
        </w:tc>
        <w:tc>
          <w:tcPr>
            <w:tcW w:w="17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生活废水、生产废水</w:t>
            </w:r>
          </w:p>
        </w:tc>
        <w:tc>
          <w:tcPr>
            <w:tcW w:w="117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COD、BOD、SS、NH</w:t>
            </w:r>
            <w:r>
              <w:rPr>
                <w:rFonts w:hint="default" w:ascii="Times New Roman" w:hAnsi="Times New Roman" w:cs="Times New Roman"/>
                <w:vertAlign w:val="subscript"/>
              </w:rPr>
              <w:t>3</w:t>
            </w:r>
            <w:r>
              <w:rPr>
                <w:rFonts w:hint="default" w:ascii="Times New Roman" w:hAnsi="Times New Roman" w:cs="Times New Roman"/>
              </w:rPr>
              <w:t>-N、总磷、总氮、动植物油</w:t>
            </w:r>
          </w:p>
        </w:tc>
        <w:tc>
          <w:tcPr>
            <w:tcW w:w="2487"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污水处理站一座及配套设施，设计处理规模为</w:t>
            </w:r>
            <w:r>
              <w:rPr>
                <w:rFonts w:hint="eastAsia" w:ascii="Times New Roman" w:hAnsi="Times New Roman" w:eastAsia="宋体" w:cs="Times New Roman"/>
                <w:lang w:val="en-US" w:eastAsia="zh-CN"/>
              </w:rPr>
              <w:t>30</w:t>
            </w:r>
            <w:r>
              <w:rPr>
                <w:rFonts w:hint="default" w:ascii="Times New Roman" w:hAnsi="Times New Roman" w:cs="Times New Roman"/>
              </w:rPr>
              <w:t>0m</w:t>
            </w:r>
            <w:r>
              <w:rPr>
                <w:rFonts w:hint="default" w:ascii="Times New Roman" w:hAnsi="Times New Roman" w:cs="Times New Roman"/>
                <w:vertAlign w:val="superscript"/>
              </w:rPr>
              <w:t>3</w:t>
            </w:r>
            <w:r>
              <w:rPr>
                <w:rFonts w:hint="default" w:ascii="Times New Roman" w:hAnsi="Times New Roman" w:cs="Times New Roman"/>
              </w:rPr>
              <w:t>/d，拟采用处理工艺为：“</w:t>
            </w:r>
            <w:r>
              <w:rPr>
                <w:rFonts w:hint="default" w:ascii="Times New Roman" w:hAnsi="Times New Roman" w:cs="Times New Roman"/>
                <w:sz w:val="21"/>
                <w:szCs w:val="21"/>
                <w:lang w:eastAsia="zh-CN"/>
              </w:rPr>
              <w:t>格栅</w:t>
            </w:r>
            <w:r>
              <w:rPr>
                <w:rFonts w:hint="default" w:ascii="Times New Roman" w:hAnsi="Times New Roman" w:cs="Times New Roman"/>
                <w:sz w:val="21"/>
                <w:szCs w:val="21"/>
              </w:rPr>
              <w:t>气浮+水解酸化+生物接触氧化</w:t>
            </w:r>
            <w:r>
              <w:rPr>
                <w:rFonts w:hint="default" w:ascii="Times New Roman" w:hAnsi="Times New Roman" w:cs="Times New Roman"/>
                <w:sz w:val="21"/>
                <w:szCs w:val="21"/>
                <w:lang w:val="en-US" w:eastAsia="zh-CN"/>
              </w:rPr>
              <w:t>+消毒</w:t>
            </w:r>
            <w:r>
              <w:rPr>
                <w:rFonts w:hint="default" w:ascii="Times New Roman" w:hAnsi="Times New Roman" w:cs="Times New Roman"/>
              </w:rPr>
              <w:t>”</w:t>
            </w:r>
          </w:p>
        </w:tc>
        <w:tc>
          <w:tcPr>
            <w:tcW w:w="219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《肉类加工工业水污染物排放标准》（GB13457-92）三级标准及</w:t>
            </w:r>
            <w:r>
              <w:rPr>
                <w:rFonts w:hint="eastAsia" w:ascii="Times New Roman" w:hAnsi="Times New Roman" w:eastAsia="宋体" w:cs="Times New Roman"/>
                <w:lang w:eastAsia="zh-CN"/>
              </w:rPr>
              <w:t>叶县县城</w:t>
            </w:r>
            <w:r>
              <w:rPr>
                <w:rFonts w:hint="default" w:ascii="Times New Roman" w:hAnsi="Times New Roman" w:cs="Times New Roman"/>
              </w:rPr>
              <w:t>污水处理厂进水水质标准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876" w:hRule="atLeast"/>
        </w:trPr>
        <w:tc>
          <w:tcPr>
            <w:tcW w:w="11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声环境</w:t>
            </w:r>
          </w:p>
        </w:tc>
        <w:tc>
          <w:tcPr>
            <w:tcW w:w="17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制冷系统压缩</w:t>
            </w:r>
          </w:p>
          <w:p>
            <w:pPr>
              <w:jc w:val="center"/>
              <w:rPr>
                <w:rFonts w:hint="default" w:ascii="Times New Roman" w:hAnsi="Times New Roman" w:cs="Times New Roman"/>
              </w:rPr>
            </w:pPr>
            <w:r>
              <w:rPr>
                <w:rFonts w:hint="default" w:ascii="Times New Roman" w:hAnsi="Times New Roman" w:cs="Times New Roman"/>
              </w:rPr>
              <w:t>机、污水站内的</w:t>
            </w:r>
          </w:p>
          <w:p>
            <w:pPr>
              <w:jc w:val="center"/>
              <w:rPr>
                <w:rFonts w:hint="default" w:ascii="Times New Roman" w:hAnsi="Times New Roman" w:cs="Times New Roman"/>
              </w:rPr>
            </w:pPr>
            <w:r>
              <w:rPr>
                <w:rFonts w:hint="default" w:ascii="Times New Roman" w:hAnsi="Times New Roman" w:cs="Times New Roman"/>
              </w:rPr>
              <w:t>泵房、风机、屠</w:t>
            </w:r>
          </w:p>
          <w:p>
            <w:pPr>
              <w:jc w:val="center"/>
              <w:rPr>
                <w:rFonts w:hint="default" w:ascii="Times New Roman" w:hAnsi="Times New Roman" w:cs="Times New Roman"/>
              </w:rPr>
            </w:pPr>
            <w:r>
              <w:rPr>
                <w:rFonts w:hint="default" w:ascii="Times New Roman" w:hAnsi="Times New Roman" w:cs="Times New Roman"/>
              </w:rPr>
              <w:t>宰加工车间设备</w:t>
            </w:r>
          </w:p>
          <w:p>
            <w:pPr>
              <w:jc w:val="center"/>
              <w:rPr>
                <w:rFonts w:hint="default" w:ascii="Times New Roman" w:hAnsi="Times New Roman" w:cs="Times New Roman"/>
              </w:rPr>
            </w:pPr>
            <w:r>
              <w:rPr>
                <w:rFonts w:hint="default" w:ascii="Times New Roman" w:hAnsi="Times New Roman" w:cs="Times New Roman"/>
              </w:rPr>
              <w:t>以及车间配套风</w:t>
            </w:r>
          </w:p>
          <w:p>
            <w:pPr>
              <w:jc w:val="center"/>
              <w:rPr>
                <w:rFonts w:hint="default" w:ascii="Times New Roman" w:hAnsi="Times New Roman" w:cs="Times New Roman"/>
              </w:rPr>
            </w:pPr>
            <w:r>
              <w:rPr>
                <w:rFonts w:hint="default" w:ascii="Times New Roman" w:hAnsi="Times New Roman" w:cs="Times New Roman"/>
              </w:rPr>
              <w:t>机</w:t>
            </w:r>
          </w:p>
        </w:tc>
        <w:tc>
          <w:tcPr>
            <w:tcW w:w="11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噪声</w:t>
            </w:r>
          </w:p>
        </w:tc>
        <w:tc>
          <w:tcPr>
            <w:tcW w:w="2487"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基础减振、厂房隔声、距离衰减</w:t>
            </w:r>
          </w:p>
        </w:tc>
        <w:tc>
          <w:tcPr>
            <w:tcW w:w="219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《工业企业厂界环境噪声排放标准》（GB12348-2008）中2 类</w:t>
            </w:r>
            <w:r>
              <w:rPr>
                <w:rFonts w:hint="eastAsia" w:ascii="Times New Roman" w:hAnsi="Times New Roman" w:eastAsia="宋体" w:cs="Times New Roman"/>
                <w:lang w:eastAsia="zh-CN"/>
              </w:rPr>
              <w:t>及</w:t>
            </w:r>
            <w:r>
              <w:rPr>
                <w:rFonts w:hint="eastAsia" w:ascii="Times New Roman" w:hAnsi="Times New Roman" w:eastAsia="宋体" w:cs="Times New Roman"/>
                <w:lang w:val="en-US" w:eastAsia="zh-CN"/>
              </w:rPr>
              <w:t>4类</w:t>
            </w:r>
            <w:r>
              <w:rPr>
                <w:rFonts w:hint="default" w:ascii="Times New Roman" w:hAnsi="Times New Roman" w:cs="Times New Roman"/>
              </w:rPr>
              <w:t>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2500" w:hRule="atLeast"/>
        </w:trPr>
        <w:tc>
          <w:tcPr>
            <w:tcW w:w="11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固体废物</w:t>
            </w:r>
          </w:p>
        </w:tc>
        <w:tc>
          <w:tcPr>
            <w:tcW w:w="7606" w:type="dxa"/>
            <w:gridSpan w:val="4"/>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eastAsia" w:ascii="Times New Roman" w:hAnsi="Times New Roman" w:eastAsia="宋体" w:cs="Times New Roman"/>
                <w:lang w:eastAsia="zh-CN"/>
              </w:rPr>
              <w:t>牛</w:t>
            </w:r>
            <w:r>
              <w:rPr>
                <w:rFonts w:hint="default" w:ascii="Times New Roman" w:hAnsi="Times New Roman" w:cs="Times New Roman"/>
              </w:rPr>
              <w:t>羊粪便及肠胃内容物、栅渣当日使用密闭运输车拉走外售用于肥田进行综合利用，做到日产日清，不在厂区长期堆存；病死</w:t>
            </w:r>
            <w:r>
              <w:rPr>
                <w:rFonts w:hint="eastAsia" w:ascii="Times New Roman" w:hAnsi="Times New Roman" w:eastAsia="宋体" w:cs="Times New Roman"/>
                <w:lang w:eastAsia="zh-CN"/>
              </w:rPr>
              <w:t>牛</w:t>
            </w:r>
            <w:r>
              <w:rPr>
                <w:rFonts w:hint="default" w:ascii="Times New Roman" w:hAnsi="Times New Roman" w:cs="Times New Roman"/>
              </w:rPr>
              <w:t>羊和不合格肉品</w:t>
            </w:r>
            <w:r>
              <w:rPr>
                <w:rFonts w:hint="eastAsia" w:ascii="Times New Roman" w:hAnsi="Times New Roman" w:eastAsia="宋体" w:cs="Times New Roman"/>
                <w:lang w:eastAsia="zh-CN"/>
              </w:rPr>
              <w:t>，经厂区包装和暂存后</w:t>
            </w:r>
            <w:r>
              <w:rPr>
                <w:rFonts w:hint="default" w:ascii="Times New Roman" w:hAnsi="Times New Roman" w:cs="Times New Roman"/>
              </w:rPr>
              <w:t>送往叶县益康动物无害化处理有限公司进行处置；项目污水处理站污泥经脱水后外售用于</w:t>
            </w:r>
            <w:r>
              <w:rPr>
                <w:rFonts w:hint="eastAsia" w:ascii="Times New Roman" w:hAnsi="Times New Roman" w:eastAsia="宋体" w:cs="Times New Roman"/>
                <w:lang w:eastAsia="zh-CN"/>
              </w:rPr>
              <w:t>制作有机肥</w:t>
            </w:r>
            <w:r>
              <w:rPr>
                <w:rFonts w:hint="default" w:ascii="Times New Roman" w:hAnsi="Times New Roman" w:cs="Times New Roman"/>
              </w:rPr>
              <w:t>。</w:t>
            </w:r>
          </w:p>
          <w:p>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污水处理站废油脂收集至密封桶后暂存于危废暂存间，定期交有相应资质单位处置；检疫废物收集后暂存于危废暂存间，定期交有相应资质单位处置；生活垃圾经收集后交环卫部门统一处置。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11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生态保护措施</w:t>
            </w:r>
          </w:p>
        </w:tc>
        <w:tc>
          <w:tcPr>
            <w:tcW w:w="7606" w:type="dxa"/>
            <w:gridSpan w:val="4"/>
            <w:tcBorders>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厂区裸露土地均进行植树种草</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11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环境风险防范措施</w:t>
            </w:r>
          </w:p>
        </w:tc>
        <w:tc>
          <w:tcPr>
            <w:tcW w:w="7606" w:type="dxa"/>
            <w:gridSpan w:val="4"/>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sz w:val="21"/>
                <w:szCs w:val="21"/>
                <w:highlight w:val="none"/>
                <w:u w:val="single"/>
                <w:lang w:eastAsia="zh-CN"/>
              </w:rPr>
              <w:t>新建</w:t>
            </w:r>
            <w:r>
              <w:rPr>
                <w:rFonts w:hint="default" w:ascii="Times New Roman" w:hAnsi="Times New Roman" w:cs="Times New Roman"/>
                <w:sz w:val="21"/>
                <w:szCs w:val="21"/>
                <w:highlight w:val="none"/>
                <w:u w:val="single"/>
              </w:rPr>
              <w:t>事故应急池（</w:t>
            </w:r>
            <w:r>
              <w:rPr>
                <w:rFonts w:hint="eastAsia" w:ascii="Times New Roman" w:hAnsi="Times New Roman" w:eastAsia="宋体" w:cs="Times New Roman"/>
                <w:sz w:val="21"/>
                <w:szCs w:val="21"/>
                <w:highlight w:val="none"/>
                <w:u w:val="single"/>
                <w:lang w:val="en-US" w:eastAsia="zh-CN"/>
              </w:rPr>
              <w:t>10</w:t>
            </w:r>
            <w:r>
              <w:rPr>
                <w:rFonts w:hint="default" w:ascii="Times New Roman" w:hAnsi="Times New Roman" w:cs="Times New Roman"/>
                <w:sz w:val="21"/>
                <w:szCs w:val="21"/>
                <w:highlight w:val="none"/>
                <w:u w:val="single"/>
              </w:rPr>
              <w:t>0m</w:t>
            </w:r>
            <w:r>
              <w:rPr>
                <w:rFonts w:hint="default" w:ascii="Times New Roman" w:hAnsi="Times New Roman" w:cs="Times New Roman"/>
                <w:sz w:val="21"/>
                <w:szCs w:val="21"/>
                <w:highlight w:val="none"/>
                <w:u w:val="single"/>
                <w:vertAlign w:val="superscript"/>
              </w:rPr>
              <w:t>3</w:t>
            </w:r>
            <w:r>
              <w:rPr>
                <w:rFonts w:hint="default" w:ascii="Times New Roman" w:hAnsi="Times New Roman" w:cs="Times New Roman"/>
                <w:sz w:val="21"/>
                <w:szCs w:val="21"/>
                <w:highlight w:val="none"/>
                <w:u w:val="single"/>
              </w:rPr>
              <w:t>）</w:t>
            </w:r>
            <w:r>
              <w:rPr>
                <w:rFonts w:hint="eastAsia" w:ascii="Times New Roman" w:hAnsi="Times New Roman" w:eastAsia="宋体" w:cs="Times New Roman"/>
                <w:sz w:val="21"/>
                <w:szCs w:val="21"/>
                <w:highlight w:val="none"/>
                <w:u w:val="single"/>
                <w:lang w:eastAsia="zh-CN"/>
              </w:rPr>
              <w:t>用暂存于事故状态下废水或火灾事故发生时消防废水</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trPr>
        <w:tc>
          <w:tcPr>
            <w:tcW w:w="1198"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其他环境 管理要求</w:t>
            </w:r>
          </w:p>
        </w:tc>
        <w:tc>
          <w:tcPr>
            <w:tcW w:w="7606" w:type="dxa"/>
            <w:gridSpan w:val="4"/>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建立环境保护管理责任制，落实环境保护岗位职责，加强废气、废水处理设备运</w:t>
            </w:r>
          </w:p>
          <w:p>
            <w:pPr>
              <w:jc w:val="center"/>
              <w:rPr>
                <w:rFonts w:hint="default" w:ascii="Times New Roman" w:hAnsi="Times New Roman" w:cs="Times New Roman"/>
              </w:rPr>
            </w:pPr>
            <w:r>
              <w:rPr>
                <w:rFonts w:hint="default" w:ascii="Times New Roman" w:hAnsi="Times New Roman" w:cs="Times New Roman"/>
              </w:rPr>
              <w:t>行维护管理，确保废气、废水处理设备正常运行，每天巡检，发现问题及时处理。</w:t>
            </w:r>
          </w:p>
          <w:p>
            <w:pPr>
              <w:jc w:val="center"/>
              <w:rPr>
                <w:rFonts w:hint="default" w:ascii="Times New Roman" w:hAnsi="Times New Roman" w:cs="Times New Roman"/>
              </w:rPr>
            </w:pPr>
            <w:r>
              <w:rPr>
                <w:rFonts w:hint="default" w:ascii="Times New Roman" w:hAnsi="Times New Roman" w:cs="Times New Roman"/>
              </w:rPr>
              <w:t>定期进行监测，不达标时需分析原因并采取措施，故障排除后方可恢复生产</w:t>
            </w:r>
          </w:p>
        </w:tc>
      </w:tr>
    </w:tbl>
    <w:p>
      <w:pPr>
        <w:pStyle w:val="8"/>
      </w:pPr>
    </w:p>
    <w:p>
      <w:pPr>
        <w:sectPr>
          <w:footerReference r:id="rId18" w:type="default"/>
          <w:pgSz w:w="11906" w:h="16839"/>
          <w:pgMar w:top="1431" w:right="1548" w:bottom="1278" w:left="1548" w:header="0" w:footer="1116" w:gutter="0"/>
          <w:pgBorders>
            <w:top w:val="none" w:sz="0" w:space="0"/>
            <w:left w:val="none" w:sz="0" w:space="0"/>
            <w:bottom w:val="none" w:sz="0" w:space="0"/>
            <w:right w:val="none" w:sz="0" w:space="0"/>
          </w:pgBorders>
          <w:pgNumType w:fmt="numberInDash"/>
          <w:cols w:space="720" w:num="1"/>
        </w:sectPr>
      </w:pPr>
    </w:p>
    <w:p>
      <w:pPr>
        <w:pStyle w:val="3"/>
        <w:bidi w:val="0"/>
        <w:rPr>
          <w:rFonts w:ascii="黑体" w:hAnsi="黑体" w:eastAsia="黑体" w:cs="黑体"/>
          <w:sz w:val="44"/>
          <w:szCs w:val="44"/>
        </w:rPr>
      </w:pPr>
      <w:bookmarkStart w:id="444" w:name="bookmark116"/>
      <w:bookmarkEnd w:id="444"/>
      <w:bookmarkStart w:id="445" w:name="_Toc9101"/>
      <w:bookmarkStart w:id="446" w:name="_Toc24888"/>
      <w:r>
        <w:rPr>
          <w:rFonts w:ascii="Times New Roman" w:hAnsi="Times New Roman" w:eastAsia="Times New Roman" w:cs="Times New Roman"/>
          <w:spacing w:val="5"/>
          <w:sz w:val="44"/>
          <w:szCs w:val="44"/>
        </w:rPr>
        <w:t xml:space="preserve">7 </w:t>
      </w:r>
      <w:r>
        <w:rPr>
          <w:rFonts w:ascii="黑体" w:hAnsi="黑体" w:eastAsia="黑体" w:cs="黑体"/>
          <w:spacing w:val="12"/>
          <w:sz w:val="44"/>
          <w:szCs w:val="44"/>
        </w:rPr>
        <w:t xml:space="preserve">  </w:t>
      </w:r>
      <w:r>
        <w:rPr>
          <w:rFonts w:ascii="黑体" w:hAnsi="黑体" w:eastAsia="黑体" w:cs="黑体"/>
          <w:spacing w:val="5"/>
          <w:sz w:val="44"/>
          <w:szCs w:val="44"/>
        </w:rPr>
        <w:t>环境经济损益分析</w:t>
      </w:r>
      <w:bookmarkEnd w:id="445"/>
      <w:bookmarkEnd w:id="446"/>
    </w:p>
    <w:p>
      <w:pPr>
        <w:pStyle w:val="8"/>
        <w:spacing w:line="272" w:lineRule="auto"/>
      </w:pPr>
    </w:p>
    <w:p>
      <w:pPr>
        <w:keepNext w:val="0"/>
        <w:keepLines w:val="0"/>
        <w:pageBreakBefore w:val="0"/>
        <w:widowControl/>
        <w:kinsoku/>
        <w:wordWrap/>
        <w:overflowPunct/>
        <w:topLinePunct w:val="0"/>
        <w:autoSpaceDE w:val="0"/>
        <w:autoSpaceDN w:val="0"/>
        <w:bidi w:val="0"/>
        <w:adjustRightInd w:val="0"/>
        <w:snapToGrid w:val="0"/>
        <w:spacing w:before="78" w:line="384" w:lineRule="auto"/>
        <w:ind w:left="28" w:right="17" w:firstLine="476"/>
        <w:jc w:val="both"/>
        <w:textAlignment w:val="baseline"/>
        <w:rPr>
          <w:rFonts w:ascii="宋体" w:hAnsi="宋体" w:eastAsia="宋体" w:cs="宋体"/>
          <w:sz w:val="24"/>
          <w:szCs w:val="24"/>
        </w:rPr>
      </w:pPr>
      <w:r>
        <w:rPr>
          <w:rFonts w:ascii="宋体" w:hAnsi="宋体" w:eastAsia="宋体" w:cs="宋体"/>
          <w:spacing w:val="2"/>
          <w:sz w:val="24"/>
          <w:szCs w:val="24"/>
        </w:rPr>
        <w:t>环境影响经济损益分析的主要任务是衡量项目的环保投资所能收到的环境效益和经济效益；建设项目应力争达到社会效益、环境效益、经济效益的统一，这样才能符合可持续发展的要求，实现经济的持续发展和环境质量的不断改善。项目属于</w:t>
      </w:r>
      <w:r>
        <w:rPr>
          <w:rFonts w:hint="eastAsia" w:ascii="宋体" w:hAnsi="宋体" w:eastAsia="宋体" w:cs="宋体"/>
          <w:spacing w:val="2"/>
          <w:sz w:val="24"/>
          <w:szCs w:val="24"/>
          <w:lang w:eastAsia="zh-CN"/>
        </w:rPr>
        <w:t>屠宰及肉制品加工</w:t>
      </w:r>
      <w:r>
        <w:rPr>
          <w:rFonts w:ascii="宋体" w:hAnsi="宋体" w:eastAsia="宋体" w:cs="宋体"/>
          <w:spacing w:val="2"/>
          <w:sz w:val="24"/>
          <w:szCs w:val="24"/>
        </w:rPr>
        <w:t>行业，它</w:t>
      </w:r>
      <w:r>
        <w:rPr>
          <w:rFonts w:hint="eastAsia" w:ascii="宋体" w:hAnsi="宋体" w:eastAsia="宋体" w:cs="宋体"/>
          <w:spacing w:val="2"/>
          <w:sz w:val="24"/>
          <w:szCs w:val="24"/>
          <w:lang w:eastAsia="zh-CN"/>
        </w:rPr>
        <w:t>在</w:t>
      </w:r>
      <w:r>
        <w:rPr>
          <w:rFonts w:ascii="宋体" w:hAnsi="宋体" w:eastAsia="宋体" w:cs="宋体"/>
          <w:spacing w:val="2"/>
          <w:sz w:val="24"/>
          <w:szCs w:val="24"/>
        </w:rPr>
        <w:t>建设</w:t>
      </w:r>
      <w:r>
        <w:rPr>
          <w:rFonts w:hint="eastAsia" w:ascii="宋体" w:hAnsi="宋体" w:eastAsia="宋体" w:cs="宋体"/>
          <w:spacing w:val="2"/>
          <w:sz w:val="24"/>
          <w:szCs w:val="24"/>
          <w:lang w:eastAsia="zh-CN"/>
        </w:rPr>
        <w:t>和运行过程中不可避免地</w:t>
      </w:r>
      <w:r>
        <w:rPr>
          <w:rFonts w:ascii="宋体" w:hAnsi="宋体" w:eastAsia="宋体" w:cs="宋体"/>
          <w:spacing w:val="2"/>
          <w:sz w:val="24"/>
          <w:szCs w:val="24"/>
        </w:rPr>
        <w:t>给周围环境带来一些</w:t>
      </w:r>
      <w:r>
        <w:rPr>
          <w:rFonts w:hint="eastAsia" w:ascii="宋体" w:hAnsi="宋体" w:eastAsia="宋体" w:cs="宋体"/>
          <w:spacing w:val="2"/>
          <w:sz w:val="24"/>
          <w:szCs w:val="24"/>
          <w:lang w:eastAsia="zh-CN"/>
        </w:rPr>
        <w:t>不利</w:t>
      </w:r>
      <w:r>
        <w:rPr>
          <w:rFonts w:ascii="宋体" w:hAnsi="宋体" w:eastAsia="宋体" w:cs="宋体"/>
          <w:spacing w:val="2"/>
          <w:sz w:val="24"/>
          <w:szCs w:val="24"/>
        </w:rPr>
        <w:t>影响，因此有必要进行经济效益、社会效益、环境效益的综合分析，使项目的建设</w:t>
      </w:r>
      <w:r>
        <w:rPr>
          <w:rFonts w:hint="eastAsia" w:ascii="宋体" w:hAnsi="宋体" w:eastAsia="宋体" w:cs="宋体"/>
          <w:spacing w:val="2"/>
          <w:sz w:val="24"/>
          <w:szCs w:val="24"/>
          <w:lang w:eastAsia="zh-CN"/>
        </w:rPr>
        <w:t>和运营</w:t>
      </w:r>
      <w:r>
        <w:rPr>
          <w:rFonts w:ascii="宋体" w:hAnsi="宋体" w:eastAsia="宋体" w:cs="宋体"/>
          <w:spacing w:val="2"/>
          <w:sz w:val="24"/>
          <w:szCs w:val="24"/>
        </w:rPr>
        <w:t>更加充分可靠，工程的设计和实施更加完善，以实现社会的良性发展、经济的持续增长和环境</w:t>
      </w:r>
      <w:r>
        <w:rPr>
          <w:rFonts w:ascii="宋体" w:hAnsi="宋体" w:eastAsia="宋体" w:cs="宋体"/>
          <w:spacing w:val="-2"/>
          <w:sz w:val="24"/>
          <w:szCs w:val="24"/>
        </w:rPr>
        <w:t>质量的保持与改善。</w:t>
      </w:r>
    </w:p>
    <w:p>
      <w:pPr>
        <w:pStyle w:val="4"/>
        <w:bidi w:val="0"/>
        <w:rPr>
          <w:rFonts w:ascii="黑体" w:hAnsi="黑体" w:eastAsia="黑体" w:cs="黑体"/>
          <w:sz w:val="32"/>
          <w:szCs w:val="32"/>
        </w:rPr>
      </w:pPr>
      <w:bookmarkStart w:id="447" w:name="bookmark117"/>
      <w:bookmarkEnd w:id="447"/>
      <w:bookmarkStart w:id="448" w:name="_Toc8878"/>
      <w:bookmarkStart w:id="449" w:name="_Toc3289"/>
      <w:r>
        <w:rPr>
          <w:rFonts w:ascii="Times New Roman" w:hAnsi="Times New Roman" w:eastAsia="Times New Roman" w:cs="Times New Roman"/>
          <w:spacing w:val="-4"/>
          <w:sz w:val="32"/>
          <w:szCs w:val="32"/>
        </w:rPr>
        <w:t>7.1</w:t>
      </w:r>
      <w:r>
        <w:rPr>
          <w:rFonts w:ascii="黑体" w:hAnsi="黑体" w:eastAsia="黑体" w:cs="黑体"/>
          <w:spacing w:val="-4"/>
          <w:sz w:val="32"/>
          <w:szCs w:val="32"/>
        </w:rPr>
        <w:t>环保投资估算</w:t>
      </w:r>
      <w:bookmarkEnd w:id="448"/>
      <w:bookmarkEnd w:id="449"/>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项目污染防治措施投资包括运行期的污染防治措施的总投资，预计该项费用总投资为</w:t>
      </w:r>
      <w:r>
        <w:rPr>
          <w:rFonts w:hint="eastAsia" w:ascii="Times New Roman" w:hAnsi="Times New Roman" w:eastAsia="宋体" w:cs="Times New Roman"/>
          <w:sz w:val="24"/>
          <w:szCs w:val="24"/>
          <w:lang w:val="en-US" w:eastAsia="zh-CN"/>
        </w:rPr>
        <w:t>171.5</w:t>
      </w:r>
      <w:r>
        <w:rPr>
          <w:rFonts w:hint="default" w:ascii="Times New Roman" w:hAnsi="Times New Roman" w:cs="Times New Roman"/>
          <w:sz w:val="24"/>
          <w:szCs w:val="24"/>
        </w:rPr>
        <w:t>万元，占总投资的比例为</w:t>
      </w:r>
      <w:r>
        <w:rPr>
          <w:rFonts w:hint="eastAsia" w:ascii="Times New Roman" w:hAnsi="Times New Roman" w:eastAsia="宋体" w:cs="Times New Roman"/>
          <w:sz w:val="24"/>
          <w:szCs w:val="24"/>
          <w:lang w:val="en-US" w:eastAsia="zh-CN"/>
        </w:rPr>
        <w:t>8.27%</w:t>
      </w:r>
      <w:r>
        <w:rPr>
          <w:rFonts w:hint="default" w:ascii="Times New Roman" w:hAnsi="Times New Roman" w:cs="Times New Roman"/>
          <w:sz w:val="24"/>
          <w:szCs w:val="24"/>
        </w:rPr>
        <w:t>。具体见表6-15。</w:t>
      </w:r>
    </w:p>
    <w:p>
      <w:pPr>
        <w:pStyle w:val="4"/>
        <w:bidi w:val="0"/>
        <w:rPr>
          <w:rFonts w:ascii="黑体" w:hAnsi="黑体" w:eastAsia="黑体" w:cs="黑体"/>
          <w:sz w:val="32"/>
          <w:szCs w:val="32"/>
        </w:rPr>
      </w:pPr>
      <w:bookmarkStart w:id="450" w:name="bookmark118"/>
      <w:bookmarkEnd w:id="450"/>
      <w:bookmarkStart w:id="451" w:name="_Toc30312"/>
      <w:bookmarkStart w:id="452" w:name="_Toc32284"/>
      <w:r>
        <w:rPr>
          <w:rFonts w:ascii="Times New Roman" w:hAnsi="Times New Roman" w:eastAsia="Times New Roman" w:cs="Times New Roman"/>
          <w:spacing w:val="-1"/>
          <w:sz w:val="32"/>
          <w:szCs w:val="32"/>
        </w:rPr>
        <w:t>7.2</w:t>
      </w:r>
      <w:r>
        <w:rPr>
          <w:rFonts w:ascii="黑体" w:hAnsi="黑体" w:eastAsia="黑体" w:cs="黑体"/>
          <w:spacing w:val="-1"/>
          <w:sz w:val="32"/>
          <w:szCs w:val="32"/>
        </w:rPr>
        <w:t>经济效益分析</w:t>
      </w:r>
      <w:bookmarkEnd w:id="451"/>
      <w:bookmarkEnd w:id="452"/>
    </w:p>
    <w:p>
      <w:pPr>
        <w:spacing w:before="291" w:line="219" w:lineRule="auto"/>
        <w:ind w:left="508"/>
        <w:rPr>
          <w:rFonts w:ascii="宋体" w:hAnsi="宋体" w:eastAsia="宋体" w:cs="宋体"/>
          <w:sz w:val="24"/>
          <w:szCs w:val="24"/>
        </w:rPr>
      </w:pPr>
      <w:r>
        <w:rPr>
          <w:rFonts w:ascii="宋体" w:hAnsi="宋体" w:eastAsia="宋体" w:cs="宋体"/>
          <w:spacing w:val="-3"/>
          <w:sz w:val="24"/>
          <w:szCs w:val="24"/>
        </w:rPr>
        <w:t>本项目总投资</w:t>
      </w:r>
      <w:r>
        <w:rPr>
          <w:rFonts w:hint="eastAsia" w:ascii="Times New Roman" w:hAnsi="Times New Roman" w:eastAsia="宋体" w:cs="Times New Roman"/>
          <w:spacing w:val="-3"/>
          <w:sz w:val="24"/>
          <w:szCs w:val="24"/>
          <w:lang w:val="en-US" w:eastAsia="zh-CN"/>
        </w:rPr>
        <w:t>2074.53</w:t>
      </w:r>
      <w:r>
        <w:rPr>
          <w:rFonts w:ascii="宋体" w:hAnsi="宋体" w:eastAsia="宋体" w:cs="宋体"/>
          <w:spacing w:val="-3"/>
          <w:sz w:val="24"/>
          <w:szCs w:val="24"/>
        </w:rPr>
        <w:t>万元，其主要经济效益指标见表</w:t>
      </w:r>
      <w:r>
        <w:rPr>
          <w:rFonts w:ascii="Times New Roman" w:hAnsi="Times New Roman" w:eastAsia="Times New Roman" w:cs="Times New Roman"/>
          <w:spacing w:val="-3"/>
          <w:sz w:val="24"/>
          <w:szCs w:val="24"/>
        </w:rPr>
        <w:t>7-1</w:t>
      </w:r>
      <w:r>
        <w:rPr>
          <w:rFonts w:ascii="宋体" w:hAnsi="宋体" w:eastAsia="宋体" w:cs="宋体"/>
          <w:spacing w:val="-3"/>
          <w:sz w:val="24"/>
          <w:szCs w:val="24"/>
        </w:rPr>
        <w:t>。</w:t>
      </w:r>
    </w:p>
    <w:p>
      <w:pPr>
        <w:spacing w:before="215" w:line="220" w:lineRule="auto"/>
        <w:ind w:left="2155"/>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 xml:space="preserve">7-1                    </w:t>
      </w:r>
      <w:r>
        <w:rPr>
          <w:rFonts w:ascii="宋体" w:hAnsi="宋体" w:eastAsia="宋体" w:cs="宋体"/>
          <w:sz w:val="24"/>
          <w:szCs w:val="24"/>
          <w14:textOutline w14:w="4358" w14:cap="sq" w14:cmpd="sng">
            <w14:solidFill>
              <w14:srgbClr w14:val="000000"/>
            </w14:solidFill>
            <w14:prstDash w14:val="solid"/>
            <w14:bevel/>
          </w14:textOutline>
        </w:rPr>
        <w:t>工程</w:t>
      </w:r>
      <w:r>
        <w:rPr>
          <w:rFonts w:ascii="宋体" w:hAnsi="宋体" w:eastAsia="宋体" w:cs="宋体"/>
          <w:spacing w:val="-1"/>
          <w:sz w:val="24"/>
          <w:szCs w:val="24"/>
          <w14:textOutline w14:w="4358" w14:cap="sq" w14:cmpd="sng">
            <w14:solidFill>
              <w14:srgbClr w14:val="000000"/>
            </w14:solidFill>
            <w14:prstDash w14:val="solid"/>
            <w14:bevel/>
          </w14:textOutline>
        </w:rPr>
        <w:t>主要经济效益分析表</w:t>
      </w:r>
    </w:p>
    <w:tbl>
      <w:tblPr>
        <w:tblStyle w:val="24"/>
        <w:tblW w:w="8759"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3253"/>
        <w:gridCol w:w="1930"/>
        <w:gridCol w:w="2213"/>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8" w:hRule="atLeast"/>
        </w:trPr>
        <w:tc>
          <w:tcPr>
            <w:tcW w:w="1363" w:type="dxa"/>
            <w:tcBorders>
              <w:tl2br w:val="nil"/>
              <w:tr2bl w:val="nil"/>
            </w:tcBorders>
            <w:vAlign w:val="top"/>
          </w:tcPr>
          <w:p>
            <w:pPr>
              <w:pStyle w:val="25"/>
              <w:spacing w:before="70" w:line="229" w:lineRule="auto"/>
              <w:ind w:left="474"/>
            </w:pPr>
            <w:r>
              <w:rPr>
                <w:spacing w:val="6"/>
                <w14:textOutline w14:w="3795" w14:cap="sq" w14:cmpd="sng">
                  <w14:solidFill>
                    <w14:srgbClr w14:val="000000"/>
                  </w14:solidFill>
                  <w14:prstDash w14:val="solid"/>
                  <w14:bevel/>
                </w14:textOutline>
              </w:rPr>
              <w:t>序号</w:t>
            </w:r>
          </w:p>
        </w:tc>
        <w:tc>
          <w:tcPr>
            <w:tcW w:w="3253" w:type="dxa"/>
            <w:tcBorders>
              <w:tl2br w:val="nil"/>
              <w:tr2bl w:val="nil"/>
            </w:tcBorders>
            <w:vAlign w:val="top"/>
          </w:tcPr>
          <w:p>
            <w:pPr>
              <w:pStyle w:val="25"/>
              <w:spacing w:before="70" w:line="228" w:lineRule="auto"/>
              <w:ind w:left="1421"/>
            </w:pPr>
            <w:r>
              <w:rPr>
                <w:spacing w:val="4"/>
                <w14:textOutline w14:w="3795" w14:cap="sq" w14:cmpd="sng">
                  <w14:solidFill>
                    <w14:srgbClr w14:val="000000"/>
                  </w14:solidFill>
                  <w14:prstDash w14:val="solid"/>
                  <w14:bevel/>
                </w14:textOutline>
              </w:rPr>
              <w:t>指标</w:t>
            </w:r>
          </w:p>
        </w:tc>
        <w:tc>
          <w:tcPr>
            <w:tcW w:w="1930" w:type="dxa"/>
            <w:tcBorders>
              <w:tl2br w:val="nil"/>
              <w:tr2bl w:val="nil"/>
            </w:tcBorders>
            <w:vAlign w:val="top"/>
          </w:tcPr>
          <w:p>
            <w:pPr>
              <w:pStyle w:val="25"/>
              <w:spacing w:before="70" w:line="228" w:lineRule="auto"/>
              <w:ind w:left="761"/>
            </w:pPr>
            <w:r>
              <w:rPr>
                <w:spacing w:val="5"/>
                <w14:textOutline w14:w="3795" w14:cap="sq" w14:cmpd="sng">
                  <w14:solidFill>
                    <w14:srgbClr w14:val="000000"/>
                  </w14:solidFill>
                  <w14:prstDash w14:val="solid"/>
                  <w14:bevel/>
                </w14:textOutline>
              </w:rPr>
              <w:t>单位</w:t>
            </w:r>
          </w:p>
        </w:tc>
        <w:tc>
          <w:tcPr>
            <w:tcW w:w="2213" w:type="dxa"/>
            <w:tcBorders>
              <w:tl2br w:val="nil"/>
              <w:tr2bl w:val="nil"/>
            </w:tcBorders>
            <w:vAlign w:val="top"/>
          </w:tcPr>
          <w:p>
            <w:pPr>
              <w:pStyle w:val="25"/>
              <w:spacing w:before="70" w:line="228" w:lineRule="auto"/>
              <w:ind w:left="903"/>
            </w:pPr>
            <w:r>
              <w:rPr>
                <w:spacing w:val="5"/>
                <w14:textOutline w14:w="3795" w14:cap="sq" w14:cmpd="sng">
                  <w14:solidFill>
                    <w14:srgbClr w14:val="000000"/>
                  </w14:solidFill>
                  <w14:prstDash w14:val="solid"/>
                  <w14:bevel/>
                </w14:textOutline>
              </w:rPr>
              <w:t>数量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363" w:type="dxa"/>
            <w:tcBorders>
              <w:tl2br w:val="nil"/>
              <w:tr2bl w:val="nil"/>
            </w:tcBorders>
            <w:vAlign w:val="top"/>
          </w:tcPr>
          <w:p>
            <w:pPr>
              <w:spacing w:before="101" w:line="195" w:lineRule="auto"/>
              <w:ind w:left="65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3" w:type="dxa"/>
            <w:tcBorders>
              <w:tl2br w:val="nil"/>
              <w:tr2bl w:val="nil"/>
            </w:tcBorders>
            <w:vAlign w:val="top"/>
          </w:tcPr>
          <w:p>
            <w:pPr>
              <w:pStyle w:val="25"/>
              <w:spacing w:before="65" w:line="228" w:lineRule="auto"/>
              <w:ind w:left="1321"/>
            </w:pPr>
            <w:r>
              <w:rPr>
                <w:spacing w:val="5"/>
              </w:rPr>
              <w:t>总投资</w:t>
            </w:r>
          </w:p>
        </w:tc>
        <w:tc>
          <w:tcPr>
            <w:tcW w:w="1930" w:type="dxa"/>
            <w:tcBorders>
              <w:tl2br w:val="nil"/>
              <w:tr2bl w:val="nil"/>
            </w:tcBorders>
            <w:vAlign w:val="top"/>
          </w:tcPr>
          <w:p>
            <w:pPr>
              <w:pStyle w:val="25"/>
              <w:spacing w:before="65" w:line="228" w:lineRule="auto"/>
              <w:ind w:left="765"/>
            </w:pPr>
            <w:r>
              <w:rPr>
                <w:spacing w:val="2"/>
              </w:rPr>
              <w:t>万元</w:t>
            </w:r>
          </w:p>
        </w:tc>
        <w:tc>
          <w:tcPr>
            <w:tcW w:w="2213" w:type="dxa"/>
            <w:tcBorders>
              <w:tl2br w:val="nil"/>
              <w:tr2bl w:val="nil"/>
            </w:tcBorders>
            <w:vAlign w:val="top"/>
          </w:tcPr>
          <w:p>
            <w:pPr>
              <w:spacing w:before="101" w:line="195" w:lineRule="auto"/>
              <w:jc w:val="center"/>
              <w:rPr>
                <w:rFonts w:ascii="Times New Roman" w:hAnsi="Times New Roman" w:eastAsia="Times New Roman" w:cs="Times New Roman"/>
                <w:sz w:val="20"/>
                <w:szCs w:val="20"/>
              </w:rPr>
            </w:pPr>
            <w:r>
              <w:rPr>
                <w:rFonts w:hint="eastAsia" w:ascii="Times New Roman" w:hAnsi="Times New Roman" w:eastAsia="Times New Roman" w:cs="Times New Roman"/>
                <w:sz w:val="20"/>
                <w:szCs w:val="20"/>
                <w:lang w:val="en-US" w:eastAsia="zh-CN"/>
              </w:rPr>
              <w:t>2074.53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363" w:type="dxa"/>
            <w:tcBorders>
              <w:tl2br w:val="nil"/>
              <w:tr2bl w:val="nil"/>
            </w:tcBorders>
            <w:vAlign w:val="top"/>
          </w:tcPr>
          <w:p>
            <w:pPr>
              <w:spacing w:before="102" w:line="195" w:lineRule="auto"/>
              <w:ind w:left="62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3" w:type="dxa"/>
            <w:tcBorders>
              <w:tl2br w:val="nil"/>
              <w:tr2bl w:val="nil"/>
            </w:tcBorders>
            <w:vAlign w:val="top"/>
          </w:tcPr>
          <w:p>
            <w:pPr>
              <w:pStyle w:val="25"/>
              <w:spacing w:before="66" w:line="228" w:lineRule="auto"/>
              <w:ind w:left="1107"/>
            </w:pPr>
            <w:r>
              <w:rPr>
                <w:spacing w:val="7"/>
              </w:rPr>
              <w:t>年销售收入</w:t>
            </w:r>
          </w:p>
        </w:tc>
        <w:tc>
          <w:tcPr>
            <w:tcW w:w="1930" w:type="dxa"/>
            <w:tcBorders>
              <w:tl2br w:val="nil"/>
              <w:tr2bl w:val="nil"/>
            </w:tcBorders>
            <w:vAlign w:val="top"/>
          </w:tcPr>
          <w:p>
            <w:pPr>
              <w:pStyle w:val="25"/>
              <w:spacing w:before="67" w:line="228" w:lineRule="auto"/>
              <w:ind w:left="765"/>
            </w:pPr>
            <w:r>
              <w:rPr>
                <w:spacing w:val="2"/>
              </w:rPr>
              <w:t>万元</w:t>
            </w:r>
          </w:p>
        </w:tc>
        <w:tc>
          <w:tcPr>
            <w:tcW w:w="2213" w:type="dxa"/>
            <w:tcBorders>
              <w:tl2br w:val="nil"/>
              <w:tr2bl w:val="nil"/>
            </w:tcBorders>
            <w:vAlign w:val="top"/>
          </w:tcPr>
          <w:p>
            <w:pPr>
              <w:spacing w:before="102" w:line="195" w:lineRule="auto"/>
              <w:ind w:left="9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363" w:type="dxa"/>
            <w:tcBorders>
              <w:tl2br w:val="nil"/>
              <w:tr2bl w:val="nil"/>
            </w:tcBorders>
            <w:vAlign w:val="top"/>
          </w:tcPr>
          <w:p>
            <w:pPr>
              <w:spacing w:before="104" w:line="195" w:lineRule="auto"/>
              <w:ind w:left="63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53" w:type="dxa"/>
            <w:tcBorders>
              <w:tl2br w:val="nil"/>
              <w:tr2bl w:val="nil"/>
            </w:tcBorders>
            <w:vAlign w:val="top"/>
          </w:tcPr>
          <w:p>
            <w:pPr>
              <w:pStyle w:val="25"/>
              <w:spacing w:before="67" w:line="228" w:lineRule="auto"/>
              <w:ind w:left="1107"/>
            </w:pPr>
            <w:r>
              <w:rPr>
                <w:spacing w:val="7"/>
              </w:rPr>
              <w:t>年利润总额</w:t>
            </w:r>
          </w:p>
        </w:tc>
        <w:tc>
          <w:tcPr>
            <w:tcW w:w="1930" w:type="dxa"/>
            <w:tcBorders>
              <w:tl2br w:val="nil"/>
              <w:tr2bl w:val="nil"/>
            </w:tcBorders>
            <w:vAlign w:val="top"/>
          </w:tcPr>
          <w:p>
            <w:pPr>
              <w:pStyle w:val="25"/>
              <w:spacing w:before="68" w:line="228" w:lineRule="auto"/>
              <w:ind w:left="765"/>
            </w:pPr>
            <w:r>
              <w:rPr>
                <w:spacing w:val="2"/>
              </w:rPr>
              <w:t>万元</w:t>
            </w:r>
          </w:p>
        </w:tc>
        <w:tc>
          <w:tcPr>
            <w:tcW w:w="2213" w:type="dxa"/>
            <w:tcBorders>
              <w:tl2br w:val="nil"/>
              <w:tr2bl w:val="nil"/>
            </w:tcBorders>
            <w:vAlign w:val="top"/>
          </w:tcPr>
          <w:p>
            <w:pPr>
              <w:spacing w:before="104" w:line="195" w:lineRule="auto"/>
              <w:ind w:left="9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1363" w:type="dxa"/>
            <w:tcBorders>
              <w:tl2br w:val="nil"/>
              <w:tr2bl w:val="nil"/>
            </w:tcBorders>
            <w:vAlign w:val="top"/>
          </w:tcPr>
          <w:p>
            <w:pPr>
              <w:spacing w:before="105"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3" w:type="dxa"/>
            <w:tcBorders>
              <w:tl2br w:val="nil"/>
              <w:tr2bl w:val="nil"/>
            </w:tcBorders>
            <w:vAlign w:val="top"/>
          </w:tcPr>
          <w:p>
            <w:pPr>
              <w:pStyle w:val="25"/>
              <w:spacing w:before="69" w:line="227" w:lineRule="auto"/>
              <w:ind w:left="896"/>
            </w:pPr>
            <w:r>
              <w:rPr>
                <w:spacing w:val="8"/>
              </w:rPr>
              <w:t>静态投资回收期</w:t>
            </w:r>
          </w:p>
        </w:tc>
        <w:tc>
          <w:tcPr>
            <w:tcW w:w="1930" w:type="dxa"/>
            <w:tcBorders>
              <w:tl2br w:val="nil"/>
              <w:tr2bl w:val="nil"/>
            </w:tcBorders>
            <w:vAlign w:val="top"/>
          </w:tcPr>
          <w:p>
            <w:pPr>
              <w:pStyle w:val="25"/>
              <w:spacing w:before="69" w:line="228" w:lineRule="auto"/>
              <w:ind w:left="866"/>
            </w:pPr>
            <w:r>
              <w:t>年</w:t>
            </w:r>
          </w:p>
        </w:tc>
        <w:tc>
          <w:tcPr>
            <w:tcW w:w="2213" w:type="dxa"/>
            <w:tcBorders>
              <w:tl2br w:val="nil"/>
              <w:tr2bl w:val="nil"/>
            </w:tcBorders>
            <w:vAlign w:val="top"/>
          </w:tcPr>
          <w:p>
            <w:pPr>
              <w:spacing w:before="105" w:line="195" w:lineRule="auto"/>
              <w:ind w:left="944"/>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pacing w:val="-2"/>
                <w:sz w:val="20"/>
                <w:szCs w:val="20"/>
                <w:lang w:val="en-US" w:eastAsia="zh-CN"/>
              </w:rPr>
              <w:t>4.32</w:t>
            </w:r>
          </w:p>
        </w:tc>
      </w:tr>
    </w:tbl>
    <w:p>
      <w:pPr>
        <w:spacing w:before="131" w:line="384" w:lineRule="auto"/>
        <w:ind w:left="30" w:right="17" w:firstLine="506"/>
        <w:rPr>
          <w:rFonts w:ascii="宋体" w:hAnsi="宋体" w:eastAsia="宋体" w:cs="宋体"/>
          <w:spacing w:val="0"/>
          <w:sz w:val="24"/>
          <w:szCs w:val="24"/>
        </w:rPr>
      </w:pPr>
      <w:r>
        <w:rPr>
          <w:rFonts w:ascii="宋体" w:hAnsi="宋体" w:eastAsia="宋体" w:cs="宋体"/>
          <w:spacing w:val="0"/>
          <w:sz w:val="24"/>
          <w:szCs w:val="24"/>
        </w:rPr>
        <w:t>由表</w:t>
      </w:r>
      <w:r>
        <w:rPr>
          <w:rFonts w:ascii="Times New Roman" w:hAnsi="Times New Roman" w:eastAsia="Times New Roman" w:cs="Times New Roman"/>
          <w:spacing w:val="0"/>
          <w:sz w:val="24"/>
          <w:szCs w:val="24"/>
        </w:rPr>
        <w:t>7-1</w:t>
      </w:r>
      <w:r>
        <w:rPr>
          <w:rFonts w:ascii="宋体" w:hAnsi="宋体" w:eastAsia="宋体" w:cs="宋体"/>
          <w:spacing w:val="0"/>
          <w:sz w:val="24"/>
          <w:szCs w:val="24"/>
        </w:rPr>
        <w:t>可以看出，本次工程完成后，正常年销售收入为</w:t>
      </w:r>
      <w:r>
        <w:rPr>
          <w:rFonts w:ascii="Times New Roman" w:hAnsi="Times New Roman" w:eastAsia="Times New Roman" w:cs="Times New Roman"/>
          <w:spacing w:val="0"/>
          <w:sz w:val="24"/>
          <w:szCs w:val="24"/>
        </w:rPr>
        <w:t>1920</w:t>
      </w:r>
      <w:r>
        <w:rPr>
          <w:rFonts w:ascii="宋体" w:hAnsi="宋体" w:eastAsia="宋体" w:cs="宋体"/>
          <w:spacing w:val="0"/>
          <w:sz w:val="24"/>
          <w:szCs w:val="24"/>
        </w:rPr>
        <w:t>万元，利润总额为</w:t>
      </w:r>
      <w:r>
        <w:rPr>
          <w:rFonts w:ascii="Times New Roman" w:hAnsi="Times New Roman" w:eastAsia="Times New Roman" w:cs="Times New Roman"/>
          <w:spacing w:val="0"/>
          <w:sz w:val="24"/>
          <w:szCs w:val="24"/>
        </w:rPr>
        <w:t>480</w:t>
      </w:r>
      <w:r>
        <w:rPr>
          <w:rFonts w:ascii="宋体" w:hAnsi="宋体" w:eastAsia="宋体" w:cs="宋体"/>
          <w:spacing w:val="0"/>
          <w:sz w:val="24"/>
          <w:szCs w:val="24"/>
        </w:rPr>
        <w:t>万元，静态投资回收期为</w:t>
      </w:r>
      <w:r>
        <w:rPr>
          <w:rFonts w:hint="eastAsia" w:ascii="Times New Roman" w:hAnsi="Times New Roman" w:eastAsia="宋体" w:cs="Times New Roman"/>
          <w:spacing w:val="0"/>
          <w:sz w:val="24"/>
          <w:szCs w:val="24"/>
          <w:lang w:val="en-US" w:eastAsia="zh-CN"/>
        </w:rPr>
        <w:t>4.32</w:t>
      </w:r>
      <w:r>
        <w:rPr>
          <w:rFonts w:ascii="宋体" w:hAnsi="宋体" w:eastAsia="宋体" w:cs="宋体"/>
          <w:spacing w:val="0"/>
          <w:sz w:val="24"/>
          <w:szCs w:val="24"/>
        </w:rPr>
        <w:t>年，项目实施后具有较好的经济效益。因此，从项目经济效益角度分析，本项目是可行的。</w:t>
      </w:r>
    </w:p>
    <w:p>
      <w:pPr>
        <w:pStyle w:val="4"/>
        <w:bidi w:val="0"/>
        <w:rPr>
          <w:rFonts w:ascii="黑体" w:hAnsi="黑体" w:eastAsia="黑体" w:cs="黑体"/>
          <w:sz w:val="32"/>
          <w:szCs w:val="32"/>
        </w:rPr>
      </w:pPr>
      <w:bookmarkStart w:id="453" w:name="bookmark119"/>
      <w:bookmarkEnd w:id="453"/>
      <w:bookmarkStart w:id="454" w:name="_Toc24793"/>
      <w:bookmarkStart w:id="455" w:name="_Toc3860"/>
      <w:r>
        <w:rPr>
          <w:rFonts w:ascii="Times New Roman" w:hAnsi="Times New Roman" w:eastAsia="Times New Roman" w:cs="Times New Roman"/>
          <w:spacing w:val="-1"/>
          <w:sz w:val="32"/>
          <w:szCs w:val="32"/>
        </w:rPr>
        <w:t>7.3</w:t>
      </w:r>
      <w:r>
        <w:rPr>
          <w:rFonts w:ascii="黑体" w:hAnsi="黑体" w:eastAsia="黑体" w:cs="黑体"/>
          <w:spacing w:val="-1"/>
          <w:sz w:val="32"/>
          <w:szCs w:val="32"/>
        </w:rPr>
        <w:t>环境效益分析</w:t>
      </w:r>
      <w:bookmarkEnd w:id="454"/>
      <w:bookmarkEnd w:id="455"/>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本次工程总投资</w:t>
      </w:r>
      <w:r>
        <w:rPr>
          <w:rFonts w:hint="default" w:ascii="Times New Roman" w:hAnsi="Times New Roman" w:cs="Times New Roman"/>
          <w:sz w:val="24"/>
          <w:szCs w:val="24"/>
          <w:lang w:val="en-US" w:eastAsia="zh-CN"/>
        </w:rPr>
        <w:t>2074.53</w:t>
      </w:r>
      <w:r>
        <w:rPr>
          <w:rFonts w:hint="default" w:ascii="Times New Roman" w:hAnsi="Times New Roman" w:cs="Times New Roman"/>
          <w:sz w:val="24"/>
          <w:szCs w:val="24"/>
        </w:rPr>
        <w:t>万元，其中环保设施投资171.5万元，占项目总投资的</w:t>
      </w:r>
      <w:r>
        <w:rPr>
          <w:rFonts w:hint="eastAsia" w:ascii="Times New Roman" w:hAnsi="Times New Roman" w:eastAsia="宋体" w:cs="Times New Roman"/>
          <w:sz w:val="24"/>
          <w:szCs w:val="24"/>
          <w:lang w:val="en-US" w:eastAsia="zh-CN"/>
        </w:rPr>
        <w:t>8.27</w:t>
      </w:r>
      <w:r>
        <w:rPr>
          <w:rFonts w:hint="default" w:ascii="Times New Roman" w:hAnsi="Times New Roman" w:cs="Times New Roman"/>
          <w:sz w:val="24"/>
          <w:szCs w:val="24"/>
        </w:rPr>
        <w:t>%，环保投资主要用于厂区污水处理设施、废气处理设施、噪声防治设施、固废的处置设施等措施的建设。工程所产生的各种污染物经过合理可行的处理处置措施都能达到排放标准要求，对周围环境的影响是可以接受的。</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sz w:val="28"/>
          <w:szCs w:val="28"/>
        </w:rPr>
      </w:pPr>
      <w:bookmarkStart w:id="456" w:name="bookmark120"/>
      <w:bookmarkEnd w:id="456"/>
      <w:r>
        <w:rPr>
          <w:rFonts w:ascii="Times New Roman" w:hAnsi="Times New Roman" w:eastAsia="Times New Roman" w:cs="Times New Roman"/>
          <w:spacing w:val="-3"/>
          <w:sz w:val="28"/>
          <w:szCs w:val="28"/>
        </w:rPr>
        <w:t>7.3.1</w:t>
      </w:r>
      <w:r>
        <w:rPr>
          <w:rFonts w:ascii="楷体" w:hAnsi="楷体" w:eastAsia="楷体" w:cs="楷体"/>
          <w:spacing w:val="-3"/>
          <w:sz w:val="28"/>
          <w:szCs w:val="28"/>
        </w:rPr>
        <w:t>项目污染物治理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default" w:ascii="Times New Roman" w:hAnsi="Times New Roman" w:cs="Times New Roman"/>
          <w:b/>
          <w:bCs/>
          <w:sz w:val="24"/>
          <w:szCs w:val="24"/>
        </w:rPr>
      </w:pPr>
      <w:r>
        <w:rPr>
          <w:rFonts w:hint="eastAsia" w:ascii="Times New Roman" w:hAnsi="Times New Roman" w:eastAsia="宋体" w:cs="Times New Roman"/>
          <w:b/>
          <w:bCs/>
          <w:sz w:val="24"/>
          <w:szCs w:val="24"/>
          <w:lang w:eastAsia="zh-CN"/>
        </w:rPr>
        <w:t>（</w:t>
      </w:r>
      <w:r>
        <w:rPr>
          <w:rFonts w:hint="default" w:ascii="Times New Roman" w:hAnsi="Times New Roman" w:cs="Times New Roman"/>
          <w:b/>
          <w:bCs/>
          <w:sz w:val="24"/>
          <w:szCs w:val="24"/>
        </w:rPr>
        <w:t>1</w:t>
      </w:r>
      <w:r>
        <w:rPr>
          <w:rFonts w:hint="eastAsia" w:ascii="Times New Roman" w:hAnsi="Times New Roman" w:eastAsia="宋体" w:cs="Times New Roman"/>
          <w:b/>
          <w:bCs/>
          <w:sz w:val="24"/>
          <w:szCs w:val="24"/>
          <w:lang w:eastAsia="zh-CN"/>
        </w:rPr>
        <w:t>）</w:t>
      </w:r>
      <w:r>
        <w:rPr>
          <w:rFonts w:hint="default" w:ascii="Times New Roman" w:hAnsi="Times New Roman" w:cs="Times New Roman"/>
          <w:b/>
          <w:bCs/>
          <w:sz w:val="24"/>
          <w:szCs w:val="24"/>
        </w:rPr>
        <w:t>项目废水治理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本项目产生的屠宰废水具有生化性较强等特点，根据项目水质和水量，拟采用“</w:t>
      </w:r>
      <w:r>
        <w:rPr>
          <w:rFonts w:hint="default" w:ascii="Times New Roman" w:hAnsi="Times New Roman" w:cs="Times New Roman"/>
          <w:sz w:val="24"/>
          <w:szCs w:val="24"/>
          <w:lang w:val="en-US" w:eastAsia="zh-CN"/>
        </w:rPr>
        <w:t>格栅气浮+水解酸化+生物接触氧化+消毒</w:t>
      </w:r>
      <w:r>
        <w:rPr>
          <w:rFonts w:hint="default" w:ascii="Times New Roman" w:hAnsi="Times New Roman" w:cs="Times New Roman"/>
          <w:sz w:val="24"/>
          <w:szCs w:val="24"/>
        </w:rPr>
        <w:t>”工艺，处理后出水能够满足《肉类加工工业水污染物排放标准》（GB13457-92）表3中三级标准和</w:t>
      </w:r>
      <w:r>
        <w:rPr>
          <w:rFonts w:hint="default" w:ascii="Times New Roman" w:hAnsi="Times New Roman" w:cs="Times New Roman"/>
          <w:sz w:val="24"/>
          <w:szCs w:val="24"/>
          <w:lang w:eastAsia="zh-CN"/>
        </w:rPr>
        <w:t>叶县县城污水处理厂</w:t>
      </w:r>
      <w:r>
        <w:rPr>
          <w:rFonts w:hint="eastAsia" w:ascii="Times New Roman" w:hAnsi="Times New Roman" w:eastAsia="宋体" w:cs="Times New Roman"/>
          <w:sz w:val="24"/>
          <w:szCs w:val="24"/>
          <w:lang w:eastAsia="zh-CN"/>
        </w:rPr>
        <w:t>收水</w:t>
      </w:r>
      <w:r>
        <w:rPr>
          <w:rFonts w:hint="default" w:ascii="Times New Roman" w:hAnsi="Times New Roman" w:cs="Times New Roman"/>
          <w:sz w:val="24"/>
          <w:szCs w:val="24"/>
        </w:rPr>
        <w:t>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项目废气治理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本项目产生的废气主要为恶臭气体和食堂油烟。其中，食堂油烟经油烟净化器 处理后由排气筒引至房顶排放，可以满足《餐饮业油烟污染物排放标准》（DB41/1604-2018）的要求。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本项目待宰区采用干清粪工艺，及时清扫、喷洒除臭剂等；屠宰车间和污水处理站产气单元产生的恶臭气体经集中收集后，通过生物除臭装置处理后，经15m高排气筒高空排放。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采取以上措施后，大大降低了项目对周围环境的影响。另外项目采取严格的环 境管理措施、及时对恶臭源羊粪、肠胃内容物等外运，对待宰区、屠宰车间及时打扫清理，减少项目恶臭气体对环境的影响。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3、固体废物治理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（1）有价物质回收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有价物质的回收对减轻环境污染负荷具有重要作用，本项目对生产过程中可回收利用的有血、内脏、</w:t>
      </w:r>
      <w:r>
        <w:rPr>
          <w:rFonts w:hint="eastAsia" w:ascii="Times New Roman" w:hAnsi="Times New Roman" w:eastAsia="宋体" w:cs="Times New Roman"/>
          <w:sz w:val="24"/>
          <w:szCs w:val="24"/>
          <w:lang w:eastAsia="zh-CN"/>
        </w:rPr>
        <w:t>粪便</w:t>
      </w:r>
      <w:r>
        <w:rPr>
          <w:rFonts w:hint="default" w:ascii="Times New Roman" w:hAnsi="Times New Roman" w:cs="Times New Roman"/>
          <w:sz w:val="24"/>
          <w:szCs w:val="24"/>
        </w:rPr>
        <w:t>、肠胃内容物等。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羊血：为提高血液回收率，在工艺上采用电麻致晕后倒立放血，便于</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羊血集中收集。</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羊血回收后作为副产品外卖，提高了项目的经济效益。</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羊粪、肠胃内容物、栅渣：</w:t>
      </w:r>
      <w:r>
        <w:rPr>
          <w:rFonts w:hint="eastAsia" w:ascii="Times New Roman" w:hAnsi="Times New Roman" w:eastAsia="宋体" w:cs="Times New Roman"/>
          <w:sz w:val="24"/>
          <w:szCs w:val="24"/>
          <w:lang w:eastAsia="zh-CN"/>
        </w:rPr>
        <w:t>粪便</w:t>
      </w:r>
      <w:r>
        <w:rPr>
          <w:rFonts w:hint="default" w:ascii="Times New Roman" w:hAnsi="Times New Roman" w:cs="Times New Roman"/>
          <w:sz w:val="24"/>
          <w:szCs w:val="24"/>
        </w:rPr>
        <w:t>、肠胃内容物外售作为肥料使用，回收率≥98%。</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污水处理站污泥：对照《国家危险废物名录》，不属于危险废物，项目污水处理站污泥脱水后（含水率小于60%）外售</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用于</w:t>
      </w:r>
      <w:r>
        <w:rPr>
          <w:rFonts w:hint="eastAsia" w:ascii="Times New Roman" w:hAnsi="Times New Roman" w:eastAsia="宋体" w:cs="Times New Roman"/>
          <w:sz w:val="24"/>
          <w:szCs w:val="24"/>
          <w:lang w:eastAsia="zh-CN"/>
        </w:rPr>
        <w:t>制作有机肥</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（2）其他固体废物处理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病死羊及不合格肉品送叶县益康动物无害化处理有限公司进行无害化处理。</w:t>
      </w:r>
    </w:p>
    <w:p>
      <w:pPr>
        <w:keepNext w:val="0"/>
        <w:keepLines w:val="0"/>
        <w:pageBreakBefore w:val="0"/>
        <w:widowControl/>
        <w:kinsoku w:val="0"/>
        <w:wordWrap/>
        <w:overflowPunct/>
        <w:topLinePunct w:val="0"/>
        <w:autoSpaceDE w:val="0"/>
        <w:autoSpaceDN w:val="0"/>
        <w:bidi w:val="0"/>
        <w:adjustRightInd w:val="0"/>
        <w:snapToGrid w:val="0"/>
        <w:spacing w:before="173" w:line="360" w:lineRule="auto"/>
        <w:textAlignment w:val="baseline"/>
        <w:outlineLvl w:val="3"/>
        <w:rPr>
          <w:rFonts w:ascii="楷体" w:hAnsi="楷体" w:eastAsia="楷体" w:cs="楷体"/>
          <w:sz w:val="28"/>
          <w:szCs w:val="28"/>
        </w:rPr>
      </w:pPr>
      <w:bookmarkStart w:id="457" w:name="bookmark121"/>
      <w:bookmarkEnd w:id="457"/>
      <w:r>
        <w:rPr>
          <w:rFonts w:ascii="Times New Roman" w:hAnsi="Times New Roman" w:eastAsia="Times New Roman" w:cs="Times New Roman"/>
          <w:spacing w:val="-1"/>
          <w:sz w:val="28"/>
          <w:szCs w:val="28"/>
        </w:rPr>
        <w:t>7.3.2</w:t>
      </w:r>
      <w:r>
        <w:rPr>
          <w:rFonts w:ascii="楷体" w:hAnsi="楷体" w:eastAsia="楷体" w:cs="楷体"/>
          <w:spacing w:val="-1"/>
          <w:sz w:val="28"/>
          <w:szCs w:val="28"/>
        </w:rPr>
        <w:t>环境经济损益分析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60" w:firstLineChars="200"/>
        <w:textAlignment w:val="baseline"/>
        <w:rPr>
          <w:rFonts w:ascii="宋体" w:hAnsi="宋体" w:eastAsia="宋体" w:cs="宋体"/>
          <w:sz w:val="24"/>
          <w:szCs w:val="24"/>
        </w:rPr>
      </w:pPr>
      <w:r>
        <w:rPr>
          <w:rFonts w:hint="eastAsia" w:ascii="Times New Roman" w:hAnsi="Times New Roman" w:eastAsia="宋体" w:cs="Times New Roman"/>
          <w:spacing w:val="-30"/>
          <w:sz w:val="24"/>
          <w:szCs w:val="24"/>
          <w:lang w:eastAsia="zh-CN"/>
        </w:rPr>
        <w:t>（</w:t>
      </w:r>
      <w:r>
        <w:rPr>
          <w:rFonts w:ascii="Times New Roman" w:hAnsi="Times New Roman" w:eastAsia="Times New Roman" w:cs="Times New Roman"/>
          <w:spacing w:val="-6"/>
          <w:sz w:val="24"/>
          <w:szCs w:val="24"/>
        </w:rPr>
        <w:t>1</w:t>
      </w:r>
      <w:r>
        <w:rPr>
          <w:rFonts w:hint="eastAsia" w:ascii="Times New Roman" w:hAnsi="Times New Roman" w:eastAsia="宋体" w:cs="Times New Roman"/>
          <w:spacing w:val="-30"/>
          <w:sz w:val="24"/>
          <w:szCs w:val="24"/>
          <w:lang w:eastAsia="zh-CN"/>
        </w:rPr>
        <w:t>）</w:t>
      </w:r>
      <w:r>
        <w:rPr>
          <w:rFonts w:ascii="宋体" w:hAnsi="宋体" w:eastAsia="宋体" w:cs="宋体"/>
          <w:spacing w:val="-6"/>
          <w:sz w:val="24"/>
          <w:szCs w:val="24"/>
        </w:rPr>
        <w:t>环保工程投资概算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根据污染防治措施评价分析结果，本项目必须落实的环保设施及各项设施资金见表7-2。</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26"/>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 xml:space="preserve">7-2            </w:t>
      </w:r>
      <w:r>
        <w:rPr>
          <w:rFonts w:ascii="宋体" w:hAnsi="宋体" w:eastAsia="宋体" w:cs="宋体"/>
          <w:sz w:val="24"/>
          <w:szCs w:val="24"/>
          <w14:textOutline w14:w="4358" w14:cap="sq" w14:cmpd="sng">
            <w14:solidFill>
              <w14:srgbClr w14:val="000000"/>
            </w14:solidFill>
            <w14:prstDash w14:val="solid"/>
            <w14:bevel/>
          </w14:textOutline>
        </w:rPr>
        <w:t>环保设施及各项设施资</w:t>
      </w:r>
      <w:r>
        <w:rPr>
          <w:rFonts w:ascii="宋体" w:hAnsi="宋体" w:eastAsia="宋体" w:cs="宋体"/>
          <w:spacing w:val="-1"/>
          <w:sz w:val="24"/>
          <w:szCs w:val="24"/>
          <w14:textOutline w14:w="4358" w14:cap="sq" w14:cmpd="sng">
            <w14:solidFill>
              <w14:srgbClr w14:val="000000"/>
            </w14:solidFill>
            <w14:prstDash w14:val="solid"/>
            <w14:bevel/>
          </w14:textOutline>
        </w:rPr>
        <w:t>金一览表</w:t>
      </w:r>
    </w:p>
    <w:tbl>
      <w:tblPr>
        <w:tblStyle w:val="24"/>
        <w:tblW w:w="8950"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83"/>
        <w:gridCol w:w="5266"/>
        <w:gridCol w:w="260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083" w:type="dxa"/>
            <w:tcBorders>
              <w:tl2br w:val="nil"/>
              <w:tr2bl w:val="nil"/>
            </w:tcBorders>
            <w:vAlign w:val="top"/>
          </w:tcPr>
          <w:p>
            <w:pPr>
              <w:pStyle w:val="25"/>
              <w:spacing w:before="56" w:line="229" w:lineRule="auto"/>
              <w:ind w:left="334"/>
            </w:pPr>
            <w:r>
              <w:rPr>
                <w:spacing w:val="6"/>
                <w14:textOutline w14:w="3795" w14:cap="sq" w14:cmpd="sng">
                  <w14:solidFill>
                    <w14:srgbClr w14:val="000000"/>
                  </w14:solidFill>
                  <w14:prstDash w14:val="solid"/>
                  <w14:bevel/>
                </w14:textOutline>
              </w:rPr>
              <w:t>序号</w:t>
            </w:r>
          </w:p>
        </w:tc>
        <w:tc>
          <w:tcPr>
            <w:tcW w:w="5266" w:type="dxa"/>
            <w:tcBorders>
              <w:tl2br w:val="nil"/>
              <w:tr2bl w:val="nil"/>
            </w:tcBorders>
            <w:vAlign w:val="top"/>
          </w:tcPr>
          <w:p>
            <w:pPr>
              <w:pStyle w:val="25"/>
              <w:spacing w:before="56" w:line="228" w:lineRule="auto"/>
              <w:ind w:left="2430"/>
            </w:pPr>
            <w:r>
              <w:rPr>
                <w:spacing w:val="4"/>
                <w14:textOutline w14:w="3795" w14:cap="sq" w14:cmpd="sng">
                  <w14:solidFill>
                    <w14:srgbClr w14:val="000000"/>
                  </w14:solidFill>
                  <w14:prstDash w14:val="solid"/>
                  <w14:bevel/>
                </w14:textOutline>
              </w:rPr>
              <w:t>项目</w:t>
            </w:r>
          </w:p>
        </w:tc>
        <w:tc>
          <w:tcPr>
            <w:tcW w:w="2601" w:type="dxa"/>
            <w:tcBorders>
              <w:tl2br w:val="nil"/>
              <w:tr2bl w:val="nil"/>
            </w:tcBorders>
            <w:vAlign w:val="top"/>
          </w:tcPr>
          <w:p>
            <w:pPr>
              <w:pStyle w:val="25"/>
              <w:spacing w:before="56" w:line="228" w:lineRule="auto"/>
              <w:ind w:left="463"/>
            </w:pPr>
            <w:r>
              <w:rPr>
                <w:spacing w:val="7"/>
                <w14:textOutline w14:w="3795" w14:cap="sq" w14:cmpd="sng">
                  <w14:solidFill>
                    <w14:srgbClr w14:val="000000"/>
                  </w14:solidFill>
                  <w14:prstDash w14:val="solid"/>
                  <w14:bevel/>
                </w14:textOutline>
              </w:rPr>
              <w:t>工程投资（万元）</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083" w:type="dxa"/>
            <w:tcBorders>
              <w:tl2br w:val="nil"/>
              <w:tr2bl w:val="nil"/>
            </w:tcBorders>
            <w:vAlign w:val="top"/>
          </w:tcPr>
          <w:p>
            <w:pPr>
              <w:spacing w:before="88" w:line="195"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266" w:type="dxa"/>
            <w:tcBorders>
              <w:tl2br w:val="nil"/>
              <w:tr2bl w:val="nil"/>
            </w:tcBorders>
            <w:vAlign w:val="top"/>
          </w:tcPr>
          <w:p>
            <w:pPr>
              <w:pStyle w:val="25"/>
              <w:spacing w:before="52" w:line="228" w:lineRule="auto"/>
              <w:ind w:left="2320"/>
            </w:pPr>
            <w:r>
              <w:rPr>
                <w:spacing w:val="7"/>
              </w:rPr>
              <w:t>施工期</w:t>
            </w:r>
          </w:p>
        </w:tc>
        <w:tc>
          <w:tcPr>
            <w:tcW w:w="2601" w:type="dxa"/>
            <w:tcBorders>
              <w:tl2br w:val="nil"/>
              <w:tr2bl w:val="nil"/>
            </w:tcBorders>
            <w:vAlign w:val="top"/>
          </w:tcPr>
          <w:p>
            <w:pPr>
              <w:spacing w:before="87" w:line="195" w:lineRule="auto"/>
              <w:ind w:left="1200"/>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17" w:hRule="atLeast"/>
        </w:trPr>
        <w:tc>
          <w:tcPr>
            <w:tcW w:w="1083" w:type="dxa"/>
            <w:tcBorders>
              <w:tl2br w:val="nil"/>
              <w:tr2bl w:val="nil"/>
            </w:tcBorders>
            <w:vAlign w:val="top"/>
          </w:tcPr>
          <w:p>
            <w:pPr>
              <w:spacing w:before="13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266" w:type="dxa"/>
            <w:tcBorders>
              <w:tl2br w:val="nil"/>
              <w:tr2bl w:val="nil"/>
            </w:tcBorders>
            <w:vAlign w:val="top"/>
          </w:tcPr>
          <w:p>
            <w:pPr>
              <w:pStyle w:val="25"/>
              <w:spacing w:before="102" w:line="228" w:lineRule="auto"/>
              <w:ind w:left="854"/>
            </w:pPr>
            <w:r>
              <w:rPr>
                <w:spacing w:val="8"/>
              </w:rPr>
              <w:t>污水治理设施（包括各单元防渗处理）</w:t>
            </w:r>
          </w:p>
        </w:tc>
        <w:tc>
          <w:tcPr>
            <w:tcW w:w="2601" w:type="dxa"/>
            <w:tcBorders>
              <w:tl2br w:val="nil"/>
              <w:tr2bl w:val="nil"/>
            </w:tcBorders>
            <w:vAlign w:val="top"/>
          </w:tcPr>
          <w:p>
            <w:pPr>
              <w:spacing w:before="138" w:line="195" w:lineRule="auto"/>
              <w:ind w:left="10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083" w:type="dxa"/>
            <w:tcBorders>
              <w:tl2br w:val="nil"/>
              <w:tr2bl w:val="nil"/>
            </w:tcBorders>
            <w:vAlign w:val="top"/>
          </w:tcPr>
          <w:p>
            <w:pPr>
              <w:spacing w:before="91" w:line="195"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266" w:type="dxa"/>
            <w:tcBorders>
              <w:tl2br w:val="nil"/>
              <w:tr2bl w:val="nil"/>
            </w:tcBorders>
            <w:vAlign w:val="top"/>
          </w:tcPr>
          <w:p>
            <w:pPr>
              <w:pStyle w:val="25"/>
              <w:spacing w:before="55" w:line="228" w:lineRule="auto"/>
              <w:ind w:left="2006"/>
            </w:pPr>
            <w:r>
              <w:rPr>
                <w:spacing w:val="8"/>
              </w:rPr>
              <w:t>废气治理设施</w:t>
            </w:r>
          </w:p>
        </w:tc>
        <w:tc>
          <w:tcPr>
            <w:tcW w:w="2601" w:type="dxa"/>
            <w:tcBorders>
              <w:tl2br w:val="nil"/>
              <w:tr2bl w:val="nil"/>
            </w:tcBorders>
            <w:vAlign w:val="top"/>
          </w:tcPr>
          <w:p>
            <w:pPr>
              <w:spacing w:before="91" w:line="195" w:lineRule="auto"/>
              <w:ind w:left="1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083" w:type="dxa"/>
            <w:tcBorders>
              <w:tl2br w:val="nil"/>
              <w:tr2bl w:val="nil"/>
            </w:tcBorders>
            <w:vAlign w:val="top"/>
          </w:tcPr>
          <w:p>
            <w:pPr>
              <w:spacing w:before="92"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266" w:type="dxa"/>
            <w:tcBorders>
              <w:tl2br w:val="nil"/>
              <w:tr2bl w:val="nil"/>
            </w:tcBorders>
            <w:vAlign w:val="top"/>
          </w:tcPr>
          <w:p>
            <w:pPr>
              <w:pStyle w:val="25"/>
              <w:spacing w:before="56" w:line="228" w:lineRule="auto"/>
              <w:ind w:left="2025"/>
            </w:pPr>
            <w:r>
              <w:rPr>
                <w:spacing w:val="5"/>
              </w:rPr>
              <w:t>固体废物处置</w:t>
            </w:r>
          </w:p>
        </w:tc>
        <w:tc>
          <w:tcPr>
            <w:tcW w:w="2601" w:type="dxa"/>
            <w:tcBorders>
              <w:tl2br w:val="nil"/>
              <w:tr2bl w:val="nil"/>
            </w:tcBorders>
            <w:vAlign w:val="top"/>
          </w:tcPr>
          <w:p>
            <w:pPr>
              <w:spacing w:before="94" w:line="192" w:lineRule="auto"/>
              <w:ind w:left="125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083" w:type="dxa"/>
            <w:tcBorders>
              <w:tl2br w:val="nil"/>
              <w:tr2bl w:val="nil"/>
            </w:tcBorders>
            <w:vAlign w:val="top"/>
          </w:tcPr>
          <w:p>
            <w:pPr>
              <w:spacing w:before="94" w:line="192"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266" w:type="dxa"/>
            <w:tcBorders>
              <w:tl2br w:val="nil"/>
              <w:tr2bl w:val="nil"/>
            </w:tcBorders>
            <w:vAlign w:val="top"/>
          </w:tcPr>
          <w:p>
            <w:pPr>
              <w:pStyle w:val="25"/>
              <w:spacing w:before="56" w:line="228" w:lineRule="auto"/>
              <w:ind w:left="2228"/>
            </w:pPr>
            <w:r>
              <w:rPr>
                <w:spacing w:val="4"/>
              </w:rPr>
              <w:t>噪声治理</w:t>
            </w:r>
          </w:p>
        </w:tc>
        <w:tc>
          <w:tcPr>
            <w:tcW w:w="2601" w:type="dxa"/>
            <w:tcBorders>
              <w:tl2br w:val="nil"/>
              <w:tr2bl w:val="nil"/>
            </w:tcBorders>
            <w:vAlign w:val="top"/>
          </w:tcPr>
          <w:p>
            <w:pPr>
              <w:spacing w:before="91" w:line="195" w:lineRule="auto"/>
              <w:ind w:left="125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083" w:type="dxa"/>
            <w:tcBorders>
              <w:tl2br w:val="nil"/>
              <w:tr2bl w:val="nil"/>
            </w:tcBorders>
            <w:vAlign w:val="top"/>
          </w:tcPr>
          <w:p>
            <w:pPr>
              <w:spacing w:before="91" w:line="195"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266" w:type="dxa"/>
            <w:tcBorders>
              <w:tl2br w:val="nil"/>
              <w:tr2bl w:val="nil"/>
            </w:tcBorders>
            <w:vAlign w:val="top"/>
          </w:tcPr>
          <w:p>
            <w:pPr>
              <w:pStyle w:val="25"/>
              <w:spacing w:before="55" w:line="228" w:lineRule="auto"/>
              <w:ind w:left="2220"/>
            </w:pPr>
            <w:r>
              <w:rPr>
                <w:spacing w:val="6"/>
              </w:rPr>
              <w:t>绿化美化</w:t>
            </w:r>
          </w:p>
        </w:tc>
        <w:tc>
          <w:tcPr>
            <w:tcW w:w="2601" w:type="dxa"/>
            <w:tcBorders>
              <w:tl2br w:val="nil"/>
              <w:tr2bl w:val="nil"/>
            </w:tcBorders>
            <w:vAlign w:val="top"/>
          </w:tcPr>
          <w:p>
            <w:pPr>
              <w:spacing w:before="94" w:line="192" w:lineRule="auto"/>
              <w:ind w:left="12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083" w:type="dxa"/>
            <w:tcBorders>
              <w:tl2br w:val="nil"/>
              <w:tr2bl w:val="nil"/>
            </w:tcBorders>
            <w:vAlign w:val="top"/>
          </w:tcPr>
          <w:p>
            <w:pPr>
              <w:spacing w:before="94" w:line="192"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266" w:type="dxa"/>
            <w:tcBorders>
              <w:tl2br w:val="nil"/>
              <w:tr2bl w:val="nil"/>
            </w:tcBorders>
            <w:vAlign w:val="top"/>
          </w:tcPr>
          <w:p>
            <w:pPr>
              <w:pStyle w:val="25"/>
              <w:spacing w:before="56" w:line="228" w:lineRule="auto"/>
              <w:ind w:left="2220"/>
            </w:pPr>
            <w:r>
              <w:rPr>
                <w:spacing w:val="6"/>
              </w:rPr>
              <w:t>辅助工程</w:t>
            </w:r>
          </w:p>
        </w:tc>
        <w:tc>
          <w:tcPr>
            <w:tcW w:w="2601" w:type="dxa"/>
            <w:tcBorders>
              <w:tl2br w:val="nil"/>
              <w:tr2bl w:val="nil"/>
            </w:tcBorders>
            <w:vAlign w:val="top"/>
          </w:tcPr>
          <w:p>
            <w:pPr>
              <w:spacing w:before="91" w:line="195" w:lineRule="auto"/>
              <w:ind w:left="12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083" w:type="dxa"/>
            <w:tcBorders>
              <w:tl2br w:val="nil"/>
              <w:tr2bl w:val="nil"/>
            </w:tcBorders>
            <w:vAlign w:val="top"/>
          </w:tcPr>
          <w:p>
            <w:pPr>
              <w:spacing w:before="91"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266" w:type="dxa"/>
            <w:tcBorders>
              <w:tl2br w:val="nil"/>
              <w:tr2bl w:val="nil"/>
            </w:tcBorders>
            <w:vAlign w:val="top"/>
          </w:tcPr>
          <w:p>
            <w:pPr>
              <w:pStyle w:val="25"/>
              <w:spacing w:before="55" w:line="229" w:lineRule="auto"/>
              <w:ind w:left="2428"/>
            </w:pPr>
            <w:r>
              <w:rPr>
                <w:spacing w:val="4"/>
              </w:rPr>
              <w:t>合计</w:t>
            </w:r>
          </w:p>
        </w:tc>
        <w:tc>
          <w:tcPr>
            <w:tcW w:w="2601" w:type="dxa"/>
            <w:tcBorders>
              <w:tl2br w:val="nil"/>
              <w:tr2bl w:val="nil"/>
            </w:tcBorders>
            <w:vAlign w:val="top"/>
          </w:tcPr>
          <w:p>
            <w:pPr>
              <w:spacing w:before="91" w:line="195" w:lineRule="auto"/>
              <w:ind w:left="10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171.5</w:t>
            </w:r>
          </w:p>
        </w:tc>
      </w:tr>
    </w:tbl>
    <w:p>
      <w:pPr>
        <w:keepNext w:val="0"/>
        <w:keepLines w:val="0"/>
        <w:pageBreakBefore w:val="0"/>
        <w:widowControl/>
        <w:kinsoku w:val="0"/>
        <w:wordWrap/>
        <w:overflowPunct/>
        <w:topLinePunct w:val="0"/>
        <w:autoSpaceDE w:val="0"/>
        <w:autoSpaceDN w:val="0"/>
        <w:bidi w:val="0"/>
        <w:adjustRightInd w:val="0"/>
        <w:snapToGrid w:val="0"/>
        <w:spacing w:before="210" w:line="360" w:lineRule="auto"/>
        <w:ind w:firstLine="444" w:firstLineChars="200"/>
        <w:jc w:val="both"/>
        <w:textAlignment w:val="baseline"/>
        <w:rPr>
          <w:rFonts w:ascii="宋体" w:hAnsi="宋体" w:eastAsia="宋体" w:cs="宋体"/>
          <w:sz w:val="24"/>
          <w:szCs w:val="24"/>
        </w:rPr>
      </w:pPr>
      <w:r>
        <w:rPr>
          <w:rFonts w:hint="default" w:ascii="Times New Roman" w:hAnsi="Times New Roman" w:eastAsia="宋体" w:cs="Times New Roman"/>
          <w:spacing w:val="-9"/>
          <w:sz w:val="24"/>
          <w:szCs w:val="24"/>
        </w:rPr>
        <w:t>由上表可知，本工程环保总投资为</w:t>
      </w:r>
      <w:r>
        <w:rPr>
          <w:rFonts w:hint="default" w:ascii="Times New Roman" w:hAnsi="Times New Roman" w:eastAsia="Times New Roman" w:cs="Times New Roman"/>
          <w:spacing w:val="-9"/>
          <w:sz w:val="24"/>
          <w:szCs w:val="24"/>
        </w:rPr>
        <w:t>171.5</w:t>
      </w:r>
      <w:r>
        <w:rPr>
          <w:rFonts w:hint="default" w:ascii="Times New Roman" w:hAnsi="Times New Roman" w:eastAsia="宋体" w:cs="Times New Roman"/>
          <w:spacing w:val="-9"/>
          <w:sz w:val="24"/>
          <w:szCs w:val="24"/>
        </w:rPr>
        <w:t>万元，占项目总投资</w:t>
      </w:r>
      <w:r>
        <w:rPr>
          <w:rFonts w:hint="default" w:ascii="Times New Roman" w:hAnsi="Times New Roman" w:eastAsia="宋体" w:cs="Times New Roman"/>
          <w:spacing w:val="-9"/>
          <w:sz w:val="24"/>
          <w:szCs w:val="24"/>
          <w:lang w:val="en-US" w:eastAsia="zh-CN"/>
        </w:rPr>
        <w:t>2074.53</w:t>
      </w:r>
      <w:r>
        <w:rPr>
          <w:rFonts w:hint="default" w:ascii="Times New Roman" w:hAnsi="Times New Roman" w:eastAsia="宋体" w:cs="Times New Roman"/>
          <w:spacing w:val="-9"/>
          <w:sz w:val="24"/>
          <w:szCs w:val="24"/>
        </w:rPr>
        <w:t>万元的</w:t>
      </w:r>
      <w:r>
        <w:rPr>
          <w:rFonts w:hint="default" w:ascii="Times New Roman" w:hAnsi="Times New Roman" w:eastAsia="宋体" w:cs="Times New Roman"/>
          <w:spacing w:val="-9"/>
          <w:sz w:val="24"/>
          <w:szCs w:val="24"/>
          <w:lang w:val="en-US" w:eastAsia="zh-CN"/>
        </w:rPr>
        <w:t>8.27</w:t>
      </w:r>
      <w:r>
        <w:rPr>
          <w:rFonts w:hint="default" w:ascii="Times New Roman" w:hAnsi="Times New Roman" w:eastAsia="Times New Roman" w:cs="Times New Roman"/>
          <w:spacing w:val="-9"/>
          <w:sz w:val="24"/>
          <w:szCs w:val="24"/>
        </w:rPr>
        <w:t>%</w:t>
      </w:r>
      <w:r>
        <w:rPr>
          <w:rFonts w:hint="default" w:ascii="Times New Roman" w:hAnsi="Times New Roman" w:eastAsia="宋体" w:cs="Times New Roman"/>
          <w:spacing w:val="-9"/>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营运期环保支出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本项目运营期环保设施运营支出包括环保设施运行费、折旧费、管理费等。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①环保设施运行费（C1）</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工程污染防治措施主要的运行费用为废水的处理费用。根据防污减污措施相关内容，确定本工程污染防治措施，年运行费用为9.25万元。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②环保设施折旧费（C2）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C2=a *C0/n= 11.5（万元）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式中，a—— 固定资产形成率，取95%；</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n——折旧年限，取 10 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C0——环保投资。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③环保管理费（C3）</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环保管理费包括管理部门的办公费、监测费和技术咨询费等，按环保设施运行费与折旧费的8%计算。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C3=（C1+C2）×8%=1.66（万元）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④环保运行管理费（C）</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C=C1+ C2 + C3=22.16（万元）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本项目环保设施运营支出费用为22.16万元。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3</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项目环境经济损益分析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①环保投资费用占建设投资比例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环保投资/总投资=171.5/</w:t>
      </w:r>
      <w:r>
        <w:rPr>
          <w:rFonts w:hint="eastAsia" w:ascii="Times New Roman" w:hAnsi="Times New Roman" w:eastAsia="宋体" w:cs="Times New Roman"/>
          <w:sz w:val="24"/>
          <w:szCs w:val="24"/>
          <w:lang w:val="en-US" w:eastAsia="zh-CN"/>
        </w:rPr>
        <w:t>2074.53</w:t>
      </w:r>
      <w:r>
        <w:rPr>
          <w:rFonts w:hint="default" w:ascii="Times New Roman" w:hAnsi="Times New Roman" w:cs="Times New Roman"/>
          <w:sz w:val="24"/>
          <w:szCs w:val="24"/>
        </w:rPr>
        <w:t>=</w:t>
      </w:r>
      <w:r>
        <w:rPr>
          <w:rFonts w:hint="eastAsia" w:ascii="Times New Roman" w:hAnsi="Times New Roman" w:eastAsia="宋体" w:cs="Times New Roman"/>
          <w:sz w:val="24"/>
          <w:szCs w:val="24"/>
          <w:lang w:val="en-US" w:eastAsia="zh-CN"/>
        </w:rPr>
        <w:t>8.27</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②环保设施运营支出费占净利润比例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环保设施运营支出费/净利润=22.16/480=4.62%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③环境经济总体效益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环境经济总体效益=工程总经济效益-环境代价-环保运行管理费用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=480- 171.5-22. 16</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=286.34（万元）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由以上计算结果可以看出，本项目环境经济总体效益为286.34万元，从经济分析结果可以看出，本项目的环境经济效益良好。</w:t>
      </w:r>
    </w:p>
    <w:p>
      <w:pPr>
        <w:pStyle w:val="4"/>
        <w:bidi w:val="0"/>
        <w:rPr>
          <w:rFonts w:ascii="黑体" w:hAnsi="黑体" w:eastAsia="黑体" w:cs="黑体"/>
          <w:sz w:val="32"/>
          <w:szCs w:val="32"/>
        </w:rPr>
      </w:pPr>
      <w:bookmarkStart w:id="458" w:name="bookmark122"/>
      <w:bookmarkEnd w:id="458"/>
      <w:bookmarkStart w:id="459" w:name="_Toc10584"/>
      <w:bookmarkStart w:id="460" w:name="_Toc9947"/>
      <w:r>
        <w:rPr>
          <w:rFonts w:ascii="Times New Roman" w:hAnsi="Times New Roman" w:eastAsia="Times New Roman" w:cs="Times New Roman"/>
          <w:spacing w:val="-1"/>
          <w:sz w:val="32"/>
          <w:szCs w:val="32"/>
        </w:rPr>
        <w:t>7.4</w:t>
      </w:r>
      <w:r>
        <w:rPr>
          <w:rFonts w:ascii="黑体" w:hAnsi="黑体" w:eastAsia="黑体" w:cs="黑体"/>
          <w:spacing w:val="-1"/>
          <w:sz w:val="32"/>
          <w:szCs w:val="32"/>
        </w:rPr>
        <w:t>社会效益分析</w:t>
      </w:r>
      <w:bookmarkEnd w:id="459"/>
      <w:bookmarkEnd w:id="460"/>
    </w:p>
    <w:p>
      <w:pPr>
        <w:spacing w:before="294" w:line="384" w:lineRule="auto"/>
        <w:ind w:firstLine="482"/>
        <w:jc w:val="both"/>
        <w:rPr>
          <w:rFonts w:ascii="宋体" w:hAnsi="宋体" w:eastAsia="宋体" w:cs="宋体"/>
          <w:spacing w:val="-1"/>
          <w:sz w:val="24"/>
          <w:szCs w:val="24"/>
        </w:rPr>
      </w:pPr>
      <w:r>
        <w:rPr>
          <w:rFonts w:ascii="宋体" w:hAnsi="宋体" w:eastAsia="宋体" w:cs="宋体"/>
          <w:spacing w:val="2"/>
          <w:sz w:val="24"/>
          <w:szCs w:val="24"/>
        </w:rPr>
        <w:t>该项目的建设和实施过程中将投入大量的资金用于建设和生产，将带动当地和周边地区的经济及相关产业链的发展。同时，项目建成投产后，可综合利用当地养殖资源优势，拉长产业链条，满足当地及其周边肉类市场的需求，既带动农民脱贫</w:t>
      </w:r>
      <w:r>
        <w:rPr>
          <w:rFonts w:ascii="宋体" w:hAnsi="宋体" w:eastAsia="宋体" w:cs="宋体"/>
          <w:spacing w:val="-1"/>
          <w:sz w:val="24"/>
          <w:szCs w:val="24"/>
        </w:rPr>
        <w:t>致富奔小康，又可解决当地下岗工人及剩余劳动力。</w:t>
      </w:r>
    </w:p>
    <w:p>
      <w:pPr>
        <w:pStyle w:val="4"/>
        <w:bidi w:val="0"/>
        <w:rPr>
          <w:rFonts w:ascii="黑体" w:hAnsi="黑体" w:eastAsia="黑体" w:cs="黑体"/>
          <w:sz w:val="32"/>
          <w:szCs w:val="32"/>
        </w:rPr>
      </w:pPr>
      <w:bookmarkStart w:id="461" w:name="bookmark123"/>
      <w:bookmarkEnd w:id="461"/>
      <w:bookmarkStart w:id="462" w:name="_Toc5323"/>
      <w:bookmarkStart w:id="463" w:name="_Toc3637"/>
      <w:r>
        <w:rPr>
          <w:rFonts w:ascii="Times New Roman" w:hAnsi="Times New Roman" w:eastAsia="Times New Roman" w:cs="Times New Roman"/>
          <w:spacing w:val="-4"/>
          <w:sz w:val="32"/>
          <w:szCs w:val="32"/>
        </w:rPr>
        <w:t>7.5</w:t>
      </w:r>
      <w:r>
        <w:rPr>
          <w:rFonts w:ascii="黑体" w:hAnsi="黑体" w:eastAsia="黑体" w:cs="黑体"/>
          <w:spacing w:val="-4"/>
          <w:sz w:val="32"/>
          <w:szCs w:val="32"/>
        </w:rPr>
        <w:t>分析结论</w:t>
      </w:r>
      <w:bookmarkEnd w:id="462"/>
      <w:bookmarkEnd w:id="463"/>
    </w:p>
    <w:p>
      <w:pPr>
        <w:keepNext w:val="0"/>
        <w:keepLines w:val="0"/>
        <w:pageBreakBefore w:val="0"/>
        <w:widowControl/>
        <w:kinsoku w:val="0"/>
        <w:wordWrap/>
        <w:overflowPunct/>
        <w:topLinePunct w:val="0"/>
        <w:autoSpaceDE w:val="0"/>
        <w:autoSpaceDN w:val="0"/>
        <w:bidi w:val="0"/>
        <w:adjustRightInd w:val="0"/>
        <w:snapToGrid w:val="0"/>
        <w:spacing w:before="52" w:line="360" w:lineRule="auto"/>
        <w:jc w:val="right"/>
        <w:textAlignment w:val="baseline"/>
        <w:rPr>
          <w:rFonts w:ascii="宋体" w:hAnsi="宋体" w:eastAsia="宋体" w:cs="宋体"/>
          <w:sz w:val="24"/>
          <w:szCs w:val="24"/>
        </w:rPr>
      </w:pPr>
      <w:r>
        <w:rPr>
          <w:rFonts w:ascii="宋体" w:hAnsi="宋体" w:eastAsia="宋体" w:cs="宋体"/>
          <w:spacing w:val="2"/>
          <w:position w:val="19"/>
          <w:sz w:val="24"/>
          <w:szCs w:val="24"/>
        </w:rPr>
        <w:t>综合上述分析可知，本工程在实行有效的清洁生产管理及相应的污染物末端治</w:t>
      </w:r>
    </w:p>
    <w:p>
      <w:pPr>
        <w:spacing w:line="218" w:lineRule="auto"/>
        <w:rPr>
          <w:rFonts w:ascii="宋体" w:hAnsi="宋体" w:eastAsia="宋体" w:cs="宋体"/>
          <w:sz w:val="24"/>
          <w:szCs w:val="24"/>
        </w:rPr>
      </w:pPr>
      <w:r>
        <w:rPr>
          <w:rFonts w:ascii="宋体" w:hAnsi="宋体" w:eastAsia="宋体" w:cs="宋体"/>
          <w:sz w:val="24"/>
          <w:szCs w:val="24"/>
        </w:rPr>
        <w:t>理措施的前提下，能够做到经济效益、环境效</w:t>
      </w:r>
      <w:r>
        <w:rPr>
          <w:rFonts w:ascii="宋体" w:hAnsi="宋体" w:eastAsia="宋体" w:cs="宋体"/>
          <w:spacing w:val="-1"/>
          <w:sz w:val="24"/>
          <w:szCs w:val="24"/>
        </w:rPr>
        <w:t>益和社会效益较好的和谐统一。</w:t>
      </w:r>
    </w:p>
    <w:p>
      <w:pPr>
        <w:spacing w:line="218" w:lineRule="auto"/>
        <w:rPr>
          <w:rFonts w:ascii="宋体" w:hAnsi="宋体" w:eastAsia="宋体" w:cs="宋体"/>
          <w:sz w:val="24"/>
          <w:szCs w:val="24"/>
        </w:rPr>
        <w:sectPr>
          <w:footerReference r:id="rId19" w:type="default"/>
          <w:pgSz w:w="11906" w:h="16839"/>
          <w:pgMar w:top="1431" w:right="1588" w:bottom="1278" w:left="1601" w:header="0" w:footer="1116" w:gutter="0"/>
          <w:pgBorders>
            <w:top w:val="none" w:sz="0" w:space="0"/>
            <w:left w:val="none" w:sz="0" w:space="0"/>
            <w:bottom w:val="none" w:sz="0" w:space="0"/>
            <w:right w:val="none" w:sz="0" w:space="0"/>
          </w:pgBorders>
          <w:pgNumType w:fmt="numberInDash"/>
          <w:cols w:space="720" w:num="1"/>
        </w:sectPr>
      </w:pPr>
    </w:p>
    <w:p>
      <w:pPr>
        <w:pStyle w:val="3"/>
        <w:bidi w:val="0"/>
      </w:pPr>
      <w:bookmarkStart w:id="464" w:name="bookmark126"/>
      <w:bookmarkEnd w:id="464"/>
      <w:bookmarkStart w:id="465" w:name="bookmark125"/>
      <w:bookmarkEnd w:id="465"/>
      <w:bookmarkStart w:id="466" w:name="bookmark124"/>
      <w:bookmarkEnd w:id="466"/>
      <w:bookmarkStart w:id="467" w:name="_Toc13074"/>
      <w:bookmarkStart w:id="468" w:name="_Toc23368"/>
      <w:r>
        <w:t>8  环境管理与监测计划</w:t>
      </w:r>
      <w:bookmarkEnd w:id="467"/>
      <w:bookmarkEnd w:id="468"/>
    </w:p>
    <w:p>
      <w:pPr>
        <w:pStyle w:val="4"/>
        <w:keepNext/>
        <w:keepLines/>
        <w:pageBreakBefore w:val="0"/>
        <w:widowControl/>
        <w:kinsoku w:val="0"/>
        <w:wordWrap/>
        <w:overflowPunct/>
        <w:topLinePunct w:val="0"/>
        <w:autoSpaceDE w:val="0"/>
        <w:autoSpaceDN w:val="0"/>
        <w:bidi w:val="0"/>
        <w:adjustRightInd w:val="0"/>
        <w:snapToGrid w:val="0"/>
        <w:spacing w:after="20" w:line="360" w:lineRule="auto"/>
        <w:textAlignment w:val="baseline"/>
        <w:rPr>
          <w:rFonts w:ascii="黑体" w:hAnsi="黑体" w:eastAsia="黑体" w:cs="黑体"/>
          <w:sz w:val="32"/>
          <w:szCs w:val="32"/>
        </w:rPr>
      </w:pPr>
      <w:bookmarkStart w:id="469" w:name="_Toc16076"/>
      <w:bookmarkStart w:id="470" w:name="_Toc9818"/>
      <w:r>
        <w:rPr>
          <w:rFonts w:ascii="Times New Roman" w:hAnsi="Times New Roman" w:eastAsia="Times New Roman" w:cs="Times New Roman"/>
          <w:spacing w:val="-9"/>
          <w:sz w:val="32"/>
          <w:szCs w:val="32"/>
        </w:rPr>
        <w:t>8.1</w:t>
      </w:r>
      <w:r>
        <w:rPr>
          <w:rFonts w:ascii="黑体" w:hAnsi="黑体" w:eastAsia="黑体" w:cs="黑体"/>
          <w:spacing w:val="-9"/>
          <w:sz w:val="32"/>
          <w:szCs w:val="32"/>
        </w:rPr>
        <w:t>环境管理</w:t>
      </w:r>
      <w:bookmarkEnd w:id="469"/>
      <w:bookmarkEnd w:id="470"/>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r>
        <w:rPr>
          <w:rFonts w:ascii="Times New Roman" w:hAnsi="Times New Roman" w:eastAsia="Times New Roman" w:cs="Times New Roman"/>
          <w:spacing w:val="-3"/>
          <w:sz w:val="28"/>
          <w:szCs w:val="28"/>
        </w:rPr>
        <w:t>8.1.1</w:t>
      </w:r>
      <w:r>
        <w:rPr>
          <w:rFonts w:ascii="楷体" w:hAnsi="楷体" w:eastAsia="楷体" w:cs="楷体"/>
          <w:spacing w:val="-3"/>
          <w:sz w:val="28"/>
          <w:szCs w:val="28"/>
        </w:rPr>
        <w:t>环境管理的目的和意义</w:t>
      </w:r>
    </w:p>
    <w:p>
      <w:pPr>
        <w:keepNext w:val="0"/>
        <w:keepLines w:val="0"/>
        <w:pageBreakBefore w:val="0"/>
        <w:widowControl/>
        <w:kinsoku w:val="0"/>
        <w:wordWrap/>
        <w:overflowPunct/>
        <w:topLinePunct w:val="0"/>
        <w:autoSpaceDE w:val="0"/>
        <w:autoSpaceDN w:val="0"/>
        <w:bidi w:val="0"/>
        <w:adjustRightInd w:val="0"/>
        <w:snapToGrid w:val="0"/>
        <w:spacing w:before="69" w:line="360" w:lineRule="auto"/>
        <w:ind w:firstLine="527"/>
        <w:textAlignment w:val="baseline"/>
        <w:rPr>
          <w:rFonts w:ascii="宋体" w:hAnsi="宋体" w:eastAsia="宋体" w:cs="宋体"/>
          <w:sz w:val="24"/>
          <w:szCs w:val="24"/>
        </w:rPr>
      </w:pPr>
      <w:r>
        <w:rPr>
          <w:rFonts w:ascii="宋体" w:hAnsi="宋体" w:eastAsia="宋体" w:cs="宋体"/>
          <w:spacing w:val="1"/>
          <w:sz w:val="24"/>
          <w:szCs w:val="24"/>
        </w:rPr>
        <w:t>环境管理是企业管理的一项重要内容。加强环境监督管理力度，是实</w:t>
      </w:r>
      <w:r>
        <w:rPr>
          <w:rFonts w:ascii="宋体" w:hAnsi="宋体" w:eastAsia="宋体" w:cs="宋体"/>
          <w:sz w:val="24"/>
          <w:szCs w:val="24"/>
        </w:rPr>
        <w:t>现环境、</w:t>
      </w:r>
      <w:r>
        <w:rPr>
          <w:rFonts w:ascii="宋体" w:hAnsi="宋体" w:eastAsia="宋体" w:cs="宋体"/>
          <w:spacing w:val="2"/>
          <w:sz w:val="24"/>
          <w:szCs w:val="24"/>
        </w:rPr>
        <w:t>生产、经济协调发展和走可持续发展道路的重要保证。实践证明，要解决好企业的</w:t>
      </w:r>
      <w:r>
        <w:rPr>
          <w:rFonts w:ascii="宋体" w:hAnsi="宋体" w:eastAsia="宋体" w:cs="宋体"/>
          <w:spacing w:val="1"/>
          <w:sz w:val="24"/>
          <w:szCs w:val="24"/>
        </w:rPr>
        <w:t>环境问题，首先必须强化企业的环境管理，由于企业的产品产出与“三废”的排放</w:t>
      </w:r>
      <w:r>
        <w:rPr>
          <w:rFonts w:ascii="宋体" w:hAnsi="宋体" w:eastAsia="宋体" w:cs="宋体"/>
          <w:spacing w:val="2"/>
          <w:sz w:val="24"/>
          <w:szCs w:val="24"/>
        </w:rPr>
        <w:t>是生产过程同时存在的两个方面，因此，企业的环境管理实质上是生产管理的主要内容之一，其目的是在发展生产的同时，对污染物的排放实行必要的控制，保护环</w:t>
      </w:r>
      <w:r>
        <w:rPr>
          <w:rFonts w:ascii="宋体" w:hAnsi="宋体" w:eastAsia="宋体" w:cs="宋体"/>
          <w:spacing w:val="-1"/>
          <w:sz w:val="24"/>
          <w:szCs w:val="24"/>
        </w:rPr>
        <w:t>境质量，以实现环境效益、社会效益、经济效益的统一。</w:t>
      </w:r>
    </w:p>
    <w:p>
      <w:pPr>
        <w:spacing w:before="294" w:line="224" w:lineRule="auto"/>
        <w:outlineLvl w:val="3"/>
        <w:rPr>
          <w:rFonts w:ascii="楷体" w:hAnsi="楷体" w:eastAsia="楷体" w:cs="楷体"/>
          <w:sz w:val="28"/>
          <w:szCs w:val="28"/>
        </w:rPr>
      </w:pPr>
      <w:bookmarkStart w:id="471" w:name="bookmark127"/>
      <w:bookmarkEnd w:id="471"/>
      <w:r>
        <w:rPr>
          <w:rFonts w:ascii="Times New Roman" w:hAnsi="Times New Roman" w:eastAsia="Times New Roman" w:cs="Times New Roman"/>
          <w:spacing w:val="-1"/>
          <w:sz w:val="28"/>
          <w:szCs w:val="28"/>
        </w:rPr>
        <w:t>8.1.2</w:t>
      </w:r>
      <w:r>
        <w:rPr>
          <w:rFonts w:ascii="楷体" w:hAnsi="楷体" w:eastAsia="楷体" w:cs="楷体"/>
          <w:spacing w:val="-1"/>
          <w:sz w:val="28"/>
          <w:szCs w:val="28"/>
        </w:rPr>
        <w:t>环境管理的执行及监督机构</w:t>
      </w:r>
    </w:p>
    <w:p>
      <w:pPr>
        <w:spacing w:before="310" w:line="400" w:lineRule="auto"/>
        <w:ind w:left="3" w:firstLine="525"/>
        <w:rPr>
          <w:rFonts w:ascii="宋体" w:hAnsi="宋体" w:eastAsia="宋体" w:cs="宋体"/>
          <w:sz w:val="24"/>
          <w:szCs w:val="24"/>
        </w:rPr>
      </w:pPr>
      <w:r>
        <w:rPr>
          <w:rFonts w:ascii="宋体" w:hAnsi="宋体" w:eastAsia="宋体" w:cs="宋体"/>
          <w:spacing w:val="1"/>
          <w:sz w:val="24"/>
          <w:szCs w:val="24"/>
        </w:rPr>
        <w:t>根据国家环保部和河南省生态环境厅相关文件要求，平顶山市生态环</w:t>
      </w:r>
      <w:r>
        <w:rPr>
          <w:rFonts w:ascii="宋体" w:hAnsi="宋体" w:eastAsia="宋体" w:cs="宋体"/>
          <w:sz w:val="24"/>
          <w:szCs w:val="24"/>
        </w:rPr>
        <w:t>境局</w:t>
      </w:r>
      <w:r>
        <w:rPr>
          <w:rFonts w:hint="eastAsia" w:ascii="宋体" w:hAnsi="宋体" w:eastAsia="宋体" w:cs="宋体"/>
          <w:sz w:val="24"/>
          <w:szCs w:val="24"/>
          <w:lang w:eastAsia="zh-CN"/>
        </w:rPr>
        <w:t>叶县</w:t>
      </w:r>
      <w:r>
        <w:rPr>
          <w:rFonts w:ascii="宋体" w:hAnsi="宋体" w:eastAsia="宋体" w:cs="宋体"/>
          <w:spacing w:val="2"/>
          <w:sz w:val="24"/>
          <w:szCs w:val="24"/>
        </w:rPr>
        <w:t>分局负责本项目环评报告的审批，依据环评报告提出的环境保护方面要求和污染防</w:t>
      </w:r>
      <w:r>
        <w:rPr>
          <w:rFonts w:ascii="宋体" w:hAnsi="宋体" w:eastAsia="宋体" w:cs="宋体"/>
          <w:spacing w:val="-1"/>
          <w:sz w:val="24"/>
          <w:szCs w:val="24"/>
        </w:rPr>
        <w:t>治对策措施进行监督，同时负责项目的环保竣工验收工作。</w:t>
      </w:r>
    </w:p>
    <w:p>
      <w:pPr>
        <w:keepNext w:val="0"/>
        <w:keepLines w:val="0"/>
        <w:pageBreakBefore w:val="0"/>
        <w:widowControl/>
        <w:kinsoku/>
        <w:wordWrap/>
        <w:overflowPunct/>
        <w:topLinePunct w:val="0"/>
        <w:autoSpaceDE w:val="0"/>
        <w:autoSpaceDN w:val="0"/>
        <w:bidi w:val="0"/>
        <w:adjustRightInd w:val="0"/>
        <w:snapToGrid w:val="0"/>
        <w:spacing w:before="116" w:line="401" w:lineRule="auto"/>
        <w:ind w:firstLine="533"/>
        <w:textAlignment w:val="baseline"/>
        <w:rPr>
          <w:rFonts w:ascii="宋体" w:hAnsi="宋体" w:eastAsia="宋体" w:cs="宋体"/>
          <w:sz w:val="24"/>
          <w:szCs w:val="24"/>
        </w:rPr>
      </w:pPr>
      <w:r>
        <w:rPr>
          <w:rFonts w:ascii="宋体" w:hAnsi="宋体" w:eastAsia="宋体" w:cs="宋体"/>
          <w:spacing w:val="1"/>
          <w:sz w:val="24"/>
          <w:szCs w:val="24"/>
        </w:rPr>
        <w:t>项目建设单位必须根据工程的实施进度分阶段具体落实各项</w:t>
      </w:r>
      <w:r>
        <w:rPr>
          <w:rFonts w:ascii="宋体" w:hAnsi="宋体" w:eastAsia="宋体" w:cs="宋体"/>
          <w:sz w:val="24"/>
          <w:szCs w:val="24"/>
        </w:rPr>
        <w:t>环境保护措施。首</w:t>
      </w:r>
      <w:r>
        <w:rPr>
          <w:rFonts w:ascii="宋体" w:hAnsi="宋体" w:eastAsia="宋体" w:cs="宋体"/>
          <w:spacing w:val="2"/>
          <w:sz w:val="24"/>
          <w:szCs w:val="24"/>
        </w:rPr>
        <w:t>先在设计阶段，应委托有环保设计资质的单位进行设计，将环境影响报告书中提出的环保工程措施落实在设计中，建设单位应对有关环保的设计方案进行审查。在招投标阶段，承包商在标书中应有环境保护内容，中标后的合同中应含有实施环保措施的条款，并应明确违约责任。建设单位在施工开始后应配备一名以上专职人员，负责施工期环境管理与监督环保措施的落实。</w:t>
      </w:r>
      <w:r>
        <w:rPr>
          <w:rFonts w:hint="eastAsia" w:ascii="宋体" w:hAnsi="宋体" w:eastAsia="宋体" w:cs="宋体"/>
          <w:spacing w:val="2"/>
          <w:sz w:val="24"/>
          <w:szCs w:val="24"/>
          <w:lang w:eastAsia="zh-CN"/>
        </w:rPr>
        <w:t>当地生态环境局</w:t>
      </w:r>
      <w:r>
        <w:rPr>
          <w:rFonts w:ascii="宋体" w:hAnsi="宋体" w:eastAsia="宋体" w:cs="宋体"/>
          <w:spacing w:val="2"/>
          <w:sz w:val="24"/>
          <w:szCs w:val="24"/>
        </w:rPr>
        <w:t>对本工</w:t>
      </w:r>
      <w:r>
        <w:rPr>
          <w:rFonts w:ascii="宋体" w:hAnsi="宋体" w:eastAsia="宋体" w:cs="宋体"/>
          <w:spacing w:val="-1"/>
          <w:sz w:val="24"/>
          <w:szCs w:val="24"/>
        </w:rPr>
        <w:t>程在营运过程中有关环保措施的落实情况给予监督和指导。</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textAlignment w:val="baseline"/>
        <w:outlineLvl w:val="3"/>
        <w:rPr>
          <w:rFonts w:ascii="楷体" w:hAnsi="楷体" w:eastAsia="楷体" w:cs="楷体"/>
          <w:sz w:val="28"/>
          <w:szCs w:val="28"/>
        </w:rPr>
      </w:pPr>
      <w:bookmarkStart w:id="472" w:name="bookmark128"/>
      <w:bookmarkEnd w:id="472"/>
      <w:r>
        <w:rPr>
          <w:rFonts w:ascii="Times New Roman" w:hAnsi="Times New Roman" w:eastAsia="Times New Roman" w:cs="Times New Roman"/>
          <w:spacing w:val="-1"/>
          <w:sz w:val="28"/>
          <w:szCs w:val="28"/>
        </w:rPr>
        <w:t>8.1.3</w:t>
      </w:r>
      <w:r>
        <w:rPr>
          <w:rFonts w:ascii="楷体" w:hAnsi="楷体" w:eastAsia="楷体" w:cs="楷体"/>
          <w:spacing w:val="-1"/>
          <w:sz w:val="28"/>
          <w:szCs w:val="28"/>
        </w:rPr>
        <w:t>企业内部环境管理机构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39"/>
        <w:textAlignment w:val="baseline"/>
        <w:rPr>
          <w:rFonts w:ascii="宋体" w:hAnsi="宋体" w:eastAsia="宋体" w:cs="宋体"/>
          <w:spacing w:val="-5"/>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）职责</w:t>
      </w:r>
    </w:p>
    <w:p>
      <w:pPr>
        <w:keepNext w:val="0"/>
        <w:keepLines w:val="0"/>
        <w:pageBreakBefore w:val="0"/>
        <w:widowControl w:val="0"/>
        <w:kinsoku/>
        <w:wordWrap/>
        <w:overflowPunct/>
        <w:topLinePunct w:val="0"/>
        <w:autoSpaceDE w:val="0"/>
        <w:autoSpaceDN w:val="0"/>
        <w:bidi w:val="0"/>
        <w:adjustRightInd w:val="0"/>
        <w:snapToGrid w:val="0"/>
        <w:spacing w:before="78" w:line="401" w:lineRule="auto"/>
        <w:ind w:firstLine="482"/>
        <w:textAlignment w:val="baseline"/>
        <w:rPr>
          <w:rFonts w:ascii="宋体" w:hAnsi="宋体" w:eastAsia="宋体" w:cs="宋体"/>
          <w:sz w:val="24"/>
          <w:szCs w:val="24"/>
        </w:rPr>
      </w:pPr>
      <w:r>
        <w:rPr>
          <w:rFonts w:ascii="宋体" w:hAnsi="宋体" w:eastAsia="宋体" w:cs="宋体"/>
          <w:spacing w:val="-2"/>
          <w:sz w:val="24"/>
          <w:szCs w:val="24"/>
        </w:rPr>
        <w:t>环境污染问题是由自然、社会、经济和技术等多种因</w:t>
      </w:r>
      <w:r>
        <w:rPr>
          <w:rFonts w:ascii="宋体" w:hAnsi="宋体" w:eastAsia="宋体" w:cs="宋体"/>
          <w:spacing w:val="-3"/>
          <w:sz w:val="24"/>
          <w:szCs w:val="24"/>
        </w:rPr>
        <w:t>素引起的，情况十分复杂。</w:t>
      </w:r>
      <w:r>
        <w:rPr>
          <w:rFonts w:ascii="宋体" w:hAnsi="宋体" w:eastAsia="宋体" w:cs="宋体"/>
          <w:spacing w:val="-2"/>
          <w:sz w:val="24"/>
          <w:szCs w:val="24"/>
        </w:rPr>
        <w:t>因此必须对损害和破坏环境的活动施加影响，以达到控制、保护和</w:t>
      </w:r>
      <w:r>
        <w:rPr>
          <w:rFonts w:ascii="宋体" w:hAnsi="宋体" w:eastAsia="宋体" w:cs="宋体"/>
          <w:spacing w:val="-3"/>
          <w:sz w:val="24"/>
          <w:szCs w:val="24"/>
        </w:rPr>
        <w:t>改善环境的目的。</w:t>
      </w:r>
      <w:r>
        <w:rPr>
          <w:rFonts w:ascii="宋体" w:hAnsi="宋体" w:eastAsia="宋体" w:cs="宋体"/>
          <w:sz w:val="24"/>
          <w:szCs w:val="24"/>
        </w:rPr>
        <w:t xml:space="preserve"> </w:t>
      </w:r>
      <w:r>
        <w:rPr>
          <w:rFonts w:ascii="宋体" w:hAnsi="宋体" w:eastAsia="宋体" w:cs="宋体"/>
          <w:spacing w:val="2"/>
          <w:sz w:val="24"/>
          <w:szCs w:val="24"/>
        </w:rPr>
        <w:t>要达到这个目的，则需要在环境容量允许的前提下，本着“</w:t>
      </w:r>
      <w:r>
        <w:rPr>
          <w:rFonts w:ascii="宋体" w:hAnsi="宋体" w:eastAsia="宋体" w:cs="宋体"/>
          <w:spacing w:val="-81"/>
          <w:sz w:val="24"/>
          <w:szCs w:val="24"/>
        </w:rPr>
        <w:t xml:space="preserve"> </w:t>
      </w:r>
      <w:r>
        <w:rPr>
          <w:rFonts w:ascii="宋体" w:hAnsi="宋体" w:eastAsia="宋体" w:cs="宋体"/>
          <w:spacing w:val="2"/>
          <w:sz w:val="24"/>
          <w:szCs w:val="24"/>
        </w:rPr>
        <w:t>以防为</w:t>
      </w:r>
      <w:r>
        <w:rPr>
          <w:rFonts w:ascii="宋体" w:hAnsi="宋体" w:eastAsia="宋体" w:cs="宋体"/>
          <w:spacing w:val="1"/>
          <w:sz w:val="24"/>
          <w:szCs w:val="24"/>
        </w:rPr>
        <w:t>主、综合治理、以管促治、管治结合</w:t>
      </w:r>
      <w:r>
        <w:rPr>
          <w:rFonts w:ascii="宋体" w:hAnsi="宋体" w:eastAsia="宋体" w:cs="宋体"/>
          <w:spacing w:val="-88"/>
          <w:sz w:val="24"/>
          <w:szCs w:val="24"/>
        </w:rPr>
        <w:t xml:space="preserve"> </w:t>
      </w:r>
      <w:r>
        <w:rPr>
          <w:rFonts w:ascii="宋体" w:hAnsi="宋体" w:eastAsia="宋体" w:cs="宋体"/>
          <w:spacing w:val="1"/>
          <w:sz w:val="24"/>
          <w:szCs w:val="24"/>
        </w:rPr>
        <w:t>”的原则，以环境科学的理论为基础，</w:t>
      </w:r>
      <w:r>
        <w:rPr>
          <w:rFonts w:ascii="宋体" w:hAnsi="宋体" w:eastAsia="宋体" w:cs="宋体"/>
          <w:sz w:val="24"/>
          <w:szCs w:val="24"/>
        </w:rPr>
        <w:t>用技术的、经济的、教</w:t>
      </w:r>
      <w:r>
        <w:rPr>
          <w:rFonts w:ascii="宋体" w:hAnsi="宋体" w:eastAsia="宋体" w:cs="宋体"/>
          <w:spacing w:val="2"/>
          <w:sz w:val="24"/>
          <w:szCs w:val="24"/>
        </w:rPr>
        <w:t>育的和行政的手段，对项目经营活动进行科学管理，协调社会经济发展和保护环境的关系，使人们具有一个良好的生活、工作环境，从而达到经济效益、社会效益和环境效益的三统一。建设单位应设立单独的环保机构，有专人负责项目建设及运行期间的环境管理工作，负责对公司的环境保护进行全面管理，特别是对各污染源的</w:t>
      </w:r>
      <w:r>
        <w:rPr>
          <w:rFonts w:ascii="宋体" w:hAnsi="宋体" w:eastAsia="宋体" w:cs="宋体"/>
          <w:spacing w:val="-1"/>
          <w:sz w:val="24"/>
          <w:szCs w:val="24"/>
        </w:rPr>
        <w:t>控制与环保设施进行监督检查。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环保责任人的主要工作职责如下：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①环境管理部门除负责公司内有关环保工作外，还应接受环境保护行政主管部门的领导检查与监督；</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②贯彻执行各项环保法规和各项标准；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③加强对污染防治设施的监督管理，安排专人负责设施的具体运作，确保设施正常运行，保证污染物达标排放；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④防范风险事故发生，协助环境保护行政主管部门、企业内的应急反应中心或生产安全部门处理各种事故；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⑤对员工进行环保知识的宣传教育。</w:t>
      </w:r>
    </w:p>
    <w:p>
      <w:pPr>
        <w:keepNext w:val="0"/>
        <w:keepLines w:val="0"/>
        <w:pageBreakBefore w:val="0"/>
        <w:widowControl/>
        <w:kinsoku w:val="0"/>
        <w:wordWrap/>
        <w:overflowPunct/>
        <w:topLinePunct w:val="0"/>
        <w:autoSpaceDE w:val="0"/>
        <w:autoSpaceDN w:val="0"/>
        <w:bidi w:val="0"/>
        <w:adjustRightInd w:val="0"/>
        <w:snapToGrid w:val="0"/>
        <w:spacing w:before="56" w:line="360" w:lineRule="auto"/>
        <w:textAlignment w:val="baseline"/>
        <w:outlineLvl w:val="3"/>
        <w:rPr>
          <w:rFonts w:ascii="楷体" w:hAnsi="楷体" w:eastAsia="楷体" w:cs="楷体"/>
          <w:sz w:val="28"/>
          <w:szCs w:val="28"/>
        </w:rPr>
      </w:pPr>
      <w:bookmarkStart w:id="473" w:name="bookmark129"/>
      <w:bookmarkEnd w:id="473"/>
      <w:r>
        <w:rPr>
          <w:rFonts w:ascii="Times New Roman" w:hAnsi="Times New Roman" w:eastAsia="Times New Roman" w:cs="Times New Roman"/>
          <w:spacing w:val="-2"/>
          <w:sz w:val="28"/>
          <w:szCs w:val="28"/>
        </w:rPr>
        <w:t>8.1.4</w:t>
      </w:r>
      <w:r>
        <w:rPr>
          <w:rFonts w:ascii="楷体" w:hAnsi="楷体" w:eastAsia="楷体" w:cs="楷体"/>
          <w:spacing w:val="-2"/>
          <w:sz w:val="28"/>
          <w:szCs w:val="28"/>
        </w:rPr>
        <w:t>环境管理的内容</w:t>
      </w:r>
    </w:p>
    <w:p>
      <w:pPr>
        <w:keepNext w:val="0"/>
        <w:keepLines w:val="0"/>
        <w:pageBreakBefore w:val="0"/>
        <w:widowControl/>
        <w:kinsoku w:val="0"/>
        <w:wordWrap/>
        <w:overflowPunct/>
        <w:topLinePunct w:val="0"/>
        <w:autoSpaceDE w:val="0"/>
        <w:autoSpaceDN w:val="0"/>
        <w:bidi w:val="0"/>
        <w:adjustRightInd w:val="0"/>
        <w:snapToGrid w:val="0"/>
        <w:spacing w:before="70" w:line="360" w:lineRule="auto"/>
        <w:ind w:left="6" w:right="79" w:firstLine="476"/>
        <w:jc w:val="both"/>
        <w:textAlignment w:val="baseline"/>
        <w:rPr>
          <w:rFonts w:ascii="宋体" w:hAnsi="宋体" w:eastAsia="宋体" w:cs="宋体"/>
          <w:sz w:val="24"/>
          <w:szCs w:val="24"/>
        </w:rPr>
      </w:pPr>
      <w:r>
        <w:rPr>
          <w:rFonts w:ascii="宋体" w:hAnsi="宋体" w:eastAsia="宋体" w:cs="宋体"/>
          <w:spacing w:val="-1"/>
          <w:sz w:val="24"/>
          <w:szCs w:val="24"/>
        </w:rPr>
        <w:t>按照</w:t>
      </w:r>
      <w:r>
        <w:rPr>
          <w:rFonts w:ascii="Times New Roman" w:hAnsi="Times New Roman" w:eastAsia="Times New Roman" w:cs="Times New Roman"/>
          <w:spacing w:val="-1"/>
          <w:sz w:val="24"/>
          <w:szCs w:val="24"/>
        </w:rPr>
        <w:t>IS014000</w:t>
      </w:r>
      <w:r>
        <w:rPr>
          <w:rFonts w:ascii="宋体" w:hAnsi="宋体" w:eastAsia="宋体" w:cs="宋体"/>
          <w:spacing w:val="-1"/>
          <w:sz w:val="24"/>
          <w:szCs w:val="24"/>
        </w:rPr>
        <w:t>的要求，建立完善的环境管理体</w:t>
      </w:r>
      <w:r>
        <w:rPr>
          <w:rFonts w:ascii="宋体" w:hAnsi="宋体" w:eastAsia="宋体" w:cs="宋体"/>
          <w:spacing w:val="-2"/>
          <w:sz w:val="24"/>
          <w:szCs w:val="24"/>
        </w:rPr>
        <w:t>系，健全内部环境管理制度，加</w:t>
      </w:r>
      <w:r>
        <w:rPr>
          <w:rFonts w:ascii="宋体" w:hAnsi="宋体" w:eastAsia="宋体" w:cs="宋体"/>
          <w:spacing w:val="2"/>
          <w:sz w:val="24"/>
          <w:szCs w:val="24"/>
        </w:rPr>
        <w:t>强日常环境管理工作，对整个生产过程实施全程环境管理，每天做好运行记录并归</w:t>
      </w:r>
      <w:r>
        <w:rPr>
          <w:rFonts w:ascii="宋体" w:hAnsi="宋体" w:eastAsia="宋体" w:cs="宋体"/>
          <w:spacing w:val="-1"/>
          <w:sz w:val="24"/>
          <w:szCs w:val="24"/>
        </w:rPr>
        <w:t>档，杜绝生产过程中环境污染事故的发生，保护环境。</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加强建设项目的环境管理，根据本报告提出的污染防治措施和对策，制定出切实可行的环境污染防治方法和措施；做好环境教育和宣传工作，提供各级管理人员和操作人员的环境保护意识，加强员工对环境污染防治的责任心，自觉遵守和执行 各项环境保护的规章制度；定期对环境保护设施进行维护和保养，并做好保养日期及内容等相关记录，确保环境保护设施的正常运行，防止污染事故的发生；加强与环境保护管理部门的沟通和联系，主动接受环境主管部门的管理、监督和指导。</w:t>
      </w:r>
    </w:p>
    <w:p>
      <w:pPr>
        <w:keepNext w:val="0"/>
        <w:keepLines w:val="0"/>
        <w:pageBreakBefore w:val="0"/>
        <w:widowControl/>
        <w:kinsoku w:val="0"/>
        <w:wordWrap/>
        <w:overflowPunct/>
        <w:topLinePunct w:val="0"/>
        <w:autoSpaceDE w:val="0"/>
        <w:autoSpaceDN w:val="0"/>
        <w:bidi w:val="0"/>
        <w:adjustRightInd w:val="0"/>
        <w:snapToGrid w:val="0"/>
        <w:spacing w:before="116" w:line="219" w:lineRule="auto"/>
        <w:ind w:left="493"/>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）管理要求</w:t>
      </w:r>
    </w:p>
    <w:p>
      <w:pPr>
        <w:keepNext w:val="0"/>
        <w:keepLines w:val="0"/>
        <w:pageBreakBefore w:val="0"/>
        <w:widowControl w:val="0"/>
        <w:kinsoku w:val="0"/>
        <w:wordWrap/>
        <w:overflowPunct/>
        <w:topLinePunct w:val="0"/>
        <w:autoSpaceDE w:val="0"/>
        <w:autoSpaceDN w:val="0"/>
        <w:bidi w:val="0"/>
        <w:adjustRightInd w:val="0"/>
        <w:snapToGrid w:val="0"/>
        <w:spacing w:before="120" w:line="360" w:lineRule="auto"/>
        <w:ind w:left="482"/>
        <w:textAlignment w:val="baseline"/>
        <w:rPr>
          <w:rFonts w:ascii="宋体" w:hAnsi="宋体" w:eastAsia="宋体" w:cs="宋体"/>
          <w:sz w:val="24"/>
          <w:szCs w:val="24"/>
        </w:rPr>
      </w:pPr>
      <w:r>
        <w:rPr>
          <w:rFonts w:ascii="宋体" w:hAnsi="宋体" w:eastAsia="宋体" w:cs="宋体"/>
          <w:spacing w:val="-1"/>
          <w:sz w:val="24"/>
          <w:szCs w:val="24"/>
        </w:rPr>
        <w:t>①配合环境保护行政主管部门的工作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2"/>
        <w:textAlignment w:val="baseline"/>
        <w:rPr>
          <w:rFonts w:ascii="宋体" w:hAnsi="宋体" w:eastAsia="宋体" w:cs="宋体"/>
          <w:sz w:val="24"/>
          <w:szCs w:val="24"/>
        </w:rPr>
      </w:pPr>
      <w:r>
        <w:rPr>
          <w:rFonts w:ascii="宋体" w:hAnsi="宋体" w:eastAsia="宋体" w:cs="宋体"/>
          <w:spacing w:val="2"/>
          <w:position w:val="21"/>
          <w:sz w:val="24"/>
          <w:szCs w:val="24"/>
        </w:rPr>
        <w:t>建设单位应及时向当地环境保护主管部门申报登记污染物排放情况，积极配合</w:t>
      </w:r>
    </w:p>
    <w:p>
      <w:pPr>
        <w:spacing w:before="1" w:line="218" w:lineRule="auto"/>
        <w:rPr>
          <w:rFonts w:ascii="宋体" w:hAnsi="宋体" w:eastAsia="宋体" w:cs="宋体"/>
          <w:sz w:val="24"/>
          <w:szCs w:val="24"/>
        </w:rPr>
      </w:pPr>
      <w:r>
        <w:rPr>
          <w:rFonts w:ascii="宋体" w:hAnsi="宋体" w:eastAsia="宋体" w:cs="宋体"/>
          <w:sz w:val="24"/>
          <w:szCs w:val="24"/>
        </w:rPr>
        <w:t>政府环境监测部门的监督检查工作，并按要求上报各项</w:t>
      </w:r>
      <w:r>
        <w:rPr>
          <w:rFonts w:ascii="宋体" w:hAnsi="宋体" w:eastAsia="宋体" w:cs="宋体"/>
          <w:spacing w:val="-1"/>
          <w:sz w:val="24"/>
          <w:szCs w:val="24"/>
        </w:rPr>
        <w:t>环保工作的执行情况。</w:t>
      </w:r>
    </w:p>
    <w:p>
      <w:pPr>
        <w:spacing w:before="234" w:line="217" w:lineRule="auto"/>
        <w:ind w:left="479"/>
        <w:rPr>
          <w:rFonts w:ascii="宋体" w:hAnsi="宋体" w:eastAsia="宋体" w:cs="宋体"/>
          <w:sz w:val="24"/>
          <w:szCs w:val="24"/>
        </w:rPr>
      </w:pPr>
      <w:r>
        <w:rPr>
          <w:rFonts w:ascii="宋体" w:hAnsi="宋体" w:eastAsia="宋体" w:cs="宋体"/>
          <w:spacing w:val="-1"/>
          <w:sz w:val="24"/>
          <w:szCs w:val="24"/>
        </w:rPr>
        <w:t>②制定并实施企业环境保护计划</w:t>
      </w:r>
    </w:p>
    <w:p>
      <w:pPr>
        <w:spacing w:before="239" w:line="219" w:lineRule="auto"/>
        <w:ind w:left="484"/>
        <w:rPr>
          <w:rFonts w:ascii="宋体" w:hAnsi="宋体" w:eastAsia="宋体" w:cs="宋体"/>
          <w:sz w:val="24"/>
          <w:szCs w:val="24"/>
        </w:rPr>
      </w:pPr>
      <w:r>
        <w:rPr>
          <w:rFonts w:ascii="宋体" w:hAnsi="宋体" w:eastAsia="宋体" w:cs="宋体"/>
          <w:spacing w:val="-1"/>
          <w:sz w:val="24"/>
          <w:szCs w:val="24"/>
        </w:rPr>
        <w:t>该部门应根据企业的实际情况，制定企业的环境保护计划，并组织实施。</w:t>
      </w:r>
    </w:p>
    <w:p>
      <w:pPr>
        <w:spacing w:before="236" w:line="217" w:lineRule="auto"/>
        <w:ind w:left="479"/>
        <w:rPr>
          <w:rFonts w:ascii="宋体" w:hAnsi="宋体" w:eastAsia="宋体" w:cs="宋体"/>
          <w:sz w:val="24"/>
          <w:szCs w:val="24"/>
        </w:rPr>
      </w:pPr>
      <w:r>
        <w:rPr>
          <w:rFonts w:ascii="宋体" w:hAnsi="宋体" w:eastAsia="宋体" w:cs="宋体"/>
          <w:spacing w:val="-1"/>
          <w:sz w:val="24"/>
          <w:szCs w:val="24"/>
        </w:rPr>
        <w:t>⑧制定环境保护工程治理方案，建立环境保护设施</w:t>
      </w:r>
    </w:p>
    <w:p>
      <w:pPr>
        <w:spacing w:before="236" w:line="400" w:lineRule="auto"/>
        <w:ind w:firstLine="484"/>
        <w:rPr>
          <w:rFonts w:hint="eastAsia" w:ascii="宋体" w:hAnsi="宋体" w:eastAsia="宋体" w:cs="宋体"/>
          <w:spacing w:val="2"/>
          <w:sz w:val="24"/>
          <w:szCs w:val="24"/>
          <w:lang w:eastAsia="zh-CN"/>
        </w:rPr>
      </w:pPr>
      <w:r>
        <w:rPr>
          <w:rFonts w:ascii="宋体" w:hAnsi="宋体" w:eastAsia="宋体" w:cs="宋体"/>
          <w:spacing w:val="2"/>
          <w:sz w:val="24"/>
          <w:szCs w:val="24"/>
        </w:rPr>
        <w:t>该部门应根据项目产生的污染物状况及企业的环境保护计划，制定环境保护工</w:t>
      </w:r>
      <w:r>
        <w:rPr>
          <w:rFonts w:ascii="宋体" w:hAnsi="宋体" w:eastAsia="宋体" w:cs="宋体"/>
          <w:spacing w:val="-2"/>
          <w:sz w:val="24"/>
          <w:szCs w:val="24"/>
        </w:rPr>
        <w:t>程治理方案，建立环境保护措施。环境保护设施必须保证与主体工程</w:t>
      </w:r>
      <w:r>
        <w:rPr>
          <w:rFonts w:ascii="宋体" w:hAnsi="宋体" w:eastAsia="宋体" w:cs="宋体"/>
          <w:spacing w:val="-3"/>
          <w:sz w:val="24"/>
          <w:szCs w:val="24"/>
        </w:rPr>
        <w:t>项目</w:t>
      </w:r>
      <w:r>
        <w:rPr>
          <w:rFonts w:hint="eastAsia" w:ascii="宋体" w:hAnsi="宋体" w:eastAsia="宋体" w:cs="宋体"/>
          <w:spacing w:val="-3"/>
          <w:sz w:val="24"/>
          <w:szCs w:val="24"/>
          <w:lang w:eastAsia="zh-CN"/>
        </w:rPr>
        <w:t>同时设计、</w:t>
      </w:r>
      <w:r>
        <w:rPr>
          <w:rFonts w:ascii="宋体" w:hAnsi="宋体" w:eastAsia="宋体" w:cs="宋体"/>
          <w:spacing w:val="-3"/>
          <w:sz w:val="24"/>
          <w:szCs w:val="24"/>
        </w:rPr>
        <w:t>同时施工、</w:t>
      </w:r>
      <w:r>
        <w:rPr>
          <w:rFonts w:ascii="宋体" w:hAnsi="宋体" w:eastAsia="宋体" w:cs="宋体"/>
          <w:spacing w:val="2"/>
          <w:sz w:val="24"/>
          <w:szCs w:val="24"/>
        </w:rPr>
        <w:t>同时投入运行。项目竣工后，</w:t>
      </w:r>
      <w:r>
        <w:rPr>
          <w:rFonts w:hint="eastAsia" w:ascii="宋体" w:hAnsi="宋体" w:eastAsia="宋体" w:cs="宋体"/>
          <w:spacing w:val="2"/>
          <w:sz w:val="24"/>
          <w:szCs w:val="24"/>
        </w:rPr>
        <w:t>建设单位应自主组织对该项目配套建设的环保治理设施的竣工验收。环保设施竣工验收合格后，该项目方可正式投产运行</w:t>
      </w:r>
      <w:r>
        <w:rPr>
          <w:rFonts w:hint="eastAsia" w:ascii="宋体" w:hAnsi="宋体" w:eastAsia="宋体" w:cs="宋体"/>
          <w:spacing w:val="2"/>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16" w:line="216" w:lineRule="auto"/>
        <w:ind w:left="476"/>
        <w:textAlignment w:val="baseline"/>
        <w:rPr>
          <w:rFonts w:ascii="宋体" w:hAnsi="宋体" w:eastAsia="宋体" w:cs="宋体"/>
          <w:sz w:val="24"/>
          <w:szCs w:val="24"/>
        </w:rPr>
      </w:pPr>
      <w:r>
        <w:rPr>
          <w:rFonts w:ascii="宋体" w:hAnsi="宋体" w:eastAsia="宋体" w:cs="宋体"/>
          <w:spacing w:val="-1"/>
          <w:sz w:val="24"/>
          <w:szCs w:val="24"/>
        </w:rPr>
        <w:t>④监督和检查环境保护设施运行状况</w:t>
      </w:r>
    </w:p>
    <w:p>
      <w:pPr>
        <w:spacing w:before="238" w:line="400" w:lineRule="auto"/>
        <w:ind w:right="80" w:firstLine="483"/>
        <w:rPr>
          <w:rFonts w:ascii="宋体" w:hAnsi="宋体" w:eastAsia="宋体" w:cs="宋体"/>
          <w:sz w:val="24"/>
          <w:szCs w:val="24"/>
        </w:rPr>
      </w:pPr>
      <w:r>
        <w:rPr>
          <w:rFonts w:ascii="宋体" w:hAnsi="宋体" w:eastAsia="宋体" w:cs="宋体"/>
          <w:spacing w:val="2"/>
          <w:sz w:val="24"/>
          <w:szCs w:val="24"/>
        </w:rPr>
        <w:t>项目营运期间，该部门应监督和检查自建污水处理站、废气污染防治措施、噪声防护措施等环境保护设施运行状况，定期对环境保护设施进行保养和维</w:t>
      </w:r>
      <w:r>
        <w:rPr>
          <w:rFonts w:ascii="宋体" w:hAnsi="宋体" w:eastAsia="宋体" w:cs="宋体"/>
          <w:sz w:val="24"/>
          <w:szCs w:val="24"/>
        </w:rPr>
        <w:t>护，确保设施正常运行。同时应对环境保护</w:t>
      </w:r>
      <w:r>
        <w:rPr>
          <w:rFonts w:ascii="宋体" w:hAnsi="宋体" w:eastAsia="宋体" w:cs="宋体"/>
          <w:spacing w:val="-1"/>
          <w:sz w:val="24"/>
          <w:szCs w:val="24"/>
        </w:rPr>
        <w:t>设施的运行情况进行记录。</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⑤处理企业意外污染事故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当出现火灾等意外事故时，该部门应参与污染事故的调查与分析，并负责对污染进行跟踪监测，采取污染处理措施，减少污染事故对环境的影响程度。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⑥建立环境科技档案及管理档案</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应建立环境保护工作中的各类档案资料，包括环评报告、环保工程验收报告、环境监测报告、环保设施运行记录以及有关的污染物排放标准、环保法规等。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⑦处理与本项目有关的其它环境保护问题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（2）污染治理设施的运行管理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①指派专人负责环保设施的运行、巡检、保养工作。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②当设施运行出现异常时，负责环保设施的人负责与运营公司联系，及时完成维修和更换。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⑧逐步建立健全环境保护设施岗位责任、操作规程、事故预防和应急措施、运行记录台帐、监测报告等具体事项。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④记录污水处理设施的排放情况，定期查看排放情况，发现问题及时协调厂内有关部门协同处理。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⑤配套通风设备等应定期维护，根据检查站提供的有机废气监测数据，发现处理效率变低、排放浓度不达标时，及时修理废气处理设备。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⑥根据噪声监测情况进行分析并现场调查，及时发现噪声较高设备或消声装置失效情况，及时</w:t>
      </w:r>
      <w:r>
        <w:rPr>
          <w:rFonts w:hint="eastAsia" w:ascii="Times New Roman" w:hAnsi="Times New Roman" w:eastAsia="宋体" w:cs="Times New Roman"/>
          <w:sz w:val="24"/>
          <w:szCs w:val="24"/>
          <w:lang w:eastAsia="zh-CN"/>
        </w:rPr>
        <w:t>解决</w:t>
      </w:r>
      <w:r>
        <w:rPr>
          <w:rFonts w:hint="default" w:ascii="Times New Roman" w:hAnsi="Times New Roman"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⑦定期到存储仓库了解固体废物的外运情况，发现问题及时协调厂内有关部门协同处理。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（3）污染物达标排放的环境管理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①根据污染物总量控制指标，对生产排污环节进行层层分节落实，责任到人，保障总量控制指标的实现。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②根据当地环保主管部门分配的污染物总量控制指标，按照国家对企业污染总量削减的要求，进行污染物排放总量的控制。</w:t>
      </w:r>
    </w:p>
    <w:p>
      <w:pPr>
        <w:keepNext w:val="0"/>
        <w:keepLines w:val="0"/>
        <w:pageBreakBefore w:val="0"/>
        <w:widowControl/>
        <w:kinsoku w:val="0"/>
        <w:wordWrap/>
        <w:overflowPunct/>
        <w:topLinePunct w:val="0"/>
        <w:autoSpaceDE w:val="0"/>
        <w:autoSpaceDN w:val="0"/>
        <w:bidi w:val="0"/>
        <w:adjustRightInd w:val="0"/>
        <w:snapToGrid w:val="0"/>
        <w:spacing w:before="172" w:line="224" w:lineRule="auto"/>
        <w:textAlignment w:val="baseline"/>
        <w:outlineLvl w:val="3"/>
        <w:rPr>
          <w:rFonts w:ascii="楷体" w:hAnsi="楷体" w:eastAsia="楷体" w:cs="楷体"/>
          <w:sz w:val="28"/>
          <w:szCs w:val="28"/>
        </w:rPr>
      </w:pPr>
      <w:bookmarkStart w:id="474" w:name="bookmark130"/>
      <w:bookmarkEnd w:id="474"/>
      <w:r>
        <w:rPr>
          <w:rFonts w:ascii="Times New Roman" w:hAnsi="Times New Roman" w:eastAsia="Times New Roman" w:cs="Times New Roman"/>
          <w:spacing w:val="-2"/>
          <w:sz w:val="28"/>
          <w:szCs w:val="28"/>
        </w:rPr>
        <w:t>8.1.5</w:t>
      </w:r>
      <w:r>
        <w:rPr>
          <w:rFonts w:ascii="楷体" w:hAnsi="楷体" w:eastAsia="楷体" w:cs="楷体"/>
          <w:spacing w:val="-2"/>
          <w:sz w:val="28"/>
          <w:szCs w:val="28"/>
        </w:rPr>
        <w:t>环境管理计划</w:t>
      </w:r>
    </w:p>
    <w:p>
      <w:pPr>
        <w:spacing w:before="229" w:line="219" w:lineRule="auto"/>
        <w:ind w:left="651"/>
        <w:rPr>
          <w:rFonts w:ascii="宋体" w:hAnsi="宋体" w:eastAsia="宋体" w:cs="宋体"/>
          <w:sz w:val="24"/>
          <w:szCs w:val="24"/>
        </w:rPr>
      </w:pPr>
      <w:r>
        <w:rPr>
          <w:rFonts w:ascii="宋体" w:hAnsi="宋体" w:eastAsia="宋体" w:cs="宋体"/>
          <w:spacing w:val="-3"/>
          <w:sz w:val="24"/>
          <w:szCs w:val="24"/>
        </w:rPr>
        <w:t>本项目不同工作阶段的环境管理计划详见表</w:t>
      </w:r>
      <w:r>
        <w:rPr>
          <w:rFonts w:ascii="Times New Roman" w:hAnsi="Times New Roman" w:eastAsia="Times New Roman" w:cs="Times New Roman"/>
          <w:spacing w:val="-3"/>
          <w:sz w:val="24"/>
          <w:szCs w:val="24"/>
        </w:rPr>
        <w:t>8-1</w:t>
      </w:r>
      <w:r>
        <w:rPr>
          <w:rFonts w:ascii="宋体" w:hAnsi="宋体" w:eastAsia="宋体" w:cs="宋体"/>
          <w:spacing w:val="-3"/>
          <w:sz w:val="24"/>
          <w:szCs w:val="24"/>
        </w:rPr>
        <w:t>。</w:t>
      </w:r>
    </w:p>
    <w:p>
      <w:pPr>
        <w:spacing w:before="215" w:line="219" w:lineRule="auto"/>
        <w:ind w:left="2973"/>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1"/>
          <w:sz w:val="24"/>
          <w:szCs w:val="24"/>
        </w:rPr>
        <w:t xml:space="preserve">8-1        </w:t>
      </w:r>
      <w:r>
        <w:rPr>
          <w:rFonts w:ascii="宋体" w:hAnsi="宋体" w:eastAsia="宋体" w:cs="宋体"/>
          <w:spacing w:val="-1"/>
          <w:sz w:val="24"/>
          <w:szCs w:val="24"/>
          <w14:textOutline w14:w="4358" w14:cap="sq" w14:cmpd="sng">
            <w14:solidFill>
              <w14:srgbClr w14:val="000000"/>
            </w14:solidFill>
            <w14:prstDash w14:val="solid"/>
            <w14:bevel/>
          </w14:textOutline>
        </w:rPr>
        <w:t>环境管理工作计划</w:t>
      </w:r>
    </w:p>
    <w:tbl>
      <w:tblPr>
        <w:tblStyle w:val="24"/>
        <w:tblW w:w="9039"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8092"/>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jc w:val="center"/>
        </w:trPr>
        <w:tc>
          <w:tcPr>
            <w:tcW w:w="9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阶段</w:t>
            </w:r>
          </w:p>
        </w:tc>
        <w:tc>
          <w:tcPr>
            <w:tcW w:w="80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环境管理工作主要内容</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jc w:val="center"/>
        </w:trPr>
        <w:tc>
          <w:tcPr>
            <w:tcW w:w="9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管理机构职能</w:t>
            </w:r>
          </w:p>
        </w:tc>
        <w:tc>
          <w:tcPr>
            <w:tcW w:w="80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根据国家建设项目环境管理规定，认真落实各项环保手续，完成各级主管部门对本企业 提出的环境管理要求，对本企业内部各项管理计划的执行及完成情况进行监督、控制，确保环境管理工作真正发挥作用。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jc w:val="center"/>
        </w:trPr>
        <w:tc>
          <w:tcPr>
            <w:tcW w:w="9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项目建设前期</w:t>
            </w:r>
          </w:p>
        </w:tc>
        <w:tc>
          <w:tcPr>
            <w:tcW w:w="80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1 、与项目可行性同期，委托评价单位进行项目的环境影响评价工作；</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2 、积极配合可研及环评单位所需进行现场调研；</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3 、针对项目的具体情况，建立企业内部必要的环境管理与监测制度；</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4 、对全厂职工进行岗位宣传和培训。</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jc w:val="center"/>
        </w:trPr>
        <w:tc>
          <w:tcPr>
            <w:tcW w:w="9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设计阶段</w:t>
            </w:r>
          </w:p>
        </w:tc>
        <w:tc>
          <w:tcPr>
            <w:tcW w:w="80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1 、委托设计单位对项目的环保工程进行设计，与主体工程同步进行；</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2 、协助设计单位弄清楚现阶段的环境问题；</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3 、对污染物大的设备应该严格按照环保规范布置在厂区主导风向的下风向；</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4 、在设计中落实环境影响报告书提出的环保对策措施。</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2627" w:hRule="atLeast"/>
          <w:jc w:val="center"/>
        </w:trPr>
        <w:tc>
          <w:tcPr>
            <w:tcW w:w="9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施工阶段</w:t>
            </w:r>
          </w:p>
        </w:tc>
        <w:tc>
          <w:tcPr>
            <w:tcW w:w="80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1 、严格执行“三同时”制度；</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2 、按照环评报告中提出的要求，制定出建设项目施工环保措施实施计划表，并与当地 环保部门签订落实计划内的目标责任书；</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3 、认真监督主体工程与环保设施的同步建设；建立环保设施施工进度档案，确保环保 工作的正常实施运行；</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4 、施工噪声与振动要符合《中华人民共和国噪声污染防治法》有关规定，不得干扰周围群众的正常生活和工作；</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5 、制定施工期环境监理制度，监督环保工程的实施情况，施工阶段的环保工程进展情 况和环保投资落实情况定期（每季度）向环保主管部门汇报一次。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41" w:hRule="atLeast"/>
          <w:jc w:val="center"/>
        </w:trPr>
        <w:tc>
          <w:tcPr>
            <w:tcW w:w="9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验收阶段</w:t>
            </w:r>
          </w:p>
        </w:tc>
        <w:tc>
          <w:tcPr>
            <w:tcW w:w="80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1）在各项主体工程、环保工程建设完毕后，及时办理排污许可证，做到合法持证排污（2）各项生产设施和环保设施调试合格后，按照国家规定进行竣工环保设施验收工作，实施工程竣工验收监测，验收合格后方能正式生产。</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912" w:hRule="atLeast"/>
          <w:jc w:val="center"/>
        </w:trPr>
        <w:tc>
          <w:tcPr>
            <w:tcW w:w="9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生产运 营阶段</w:t>
            </w:r>
          </w:p>
        </w:tc>
        <w:tc>
          <w:tcPr>
            <w:tcW w:w="80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（1）企业法人负责环保工作，设立环保管理专门机构，专人负责厂内环保设施的管 理和维护。</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（2）贯彻执行环保工作制度以及监视性监测制度，并不断总结经验提高管理水平。</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（3）加强对环保设施的运行管理，制定定期维修制度，如环保设施出现故障，应立 即停止运行，及时检修，严禁非正常排放。</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（4）加强环境监测工作，重点是各污染源的监测，并注意做好记录，不得弄虚作假。监测中如发现异常情况应及时向有关部门通报，及时采取应急措施，防止事故排放。</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（5）定期向环保部门汇报工作情况及污染治理设施运行情况和监视性监测结果。</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（6）建立企业的环境保护档案。档案包括：a.污染物排放情况；b.污染物治理设施的运行、操作和管理情况；c.监测仪器、设备的型号和规格以及校验情况；d.采用监测分析方法和监测记录；e. 限期治理执行情况；f.事故情况及有关记录；g.与污染有关的生产 工艺、原材料使用方面的资料；h.其它与污染防治有关的情况和资料等。</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7）建立污染事故报告制度。当污染事故发生时，必须在事故发生四十八小时内，向环保部门作出事故发生的时间、地点、类型和排放污染物的数量、经济损失等情况的初步报告，事故查清后，向环保部门书面报告事故原因，采取的措施，处理结果，并附有关证明，若发生污染事故，则有责任排除危害，同时对直接受到损害的单位或个人赔偿损失。</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jc w:val="center"/>
        </w:trPr>
        <w:tc>
          <w:tcPr>
            <w:tcW w:w="94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信息反馈和群众监督</w:t>
            </w:r>
          </w:p>
        </w:tc>
        <w:tc>
          <w:tcPr>
            <w:tcW w:w="80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（1）反馈常规监测数据，加强群众监督，改进污染治理工作。</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（2）建立奖惩制度，保证环保设施正常运作，并配合环保部门的检查验收。</w:t>
            </w: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（3）归纳整理监测数据，及时反馈给有关环保部门。</w:t>
            </w:r>
          </w:p>
        </w:tc>
      </w:tr>
    </w:tbl>
    <w:p>
      <w:pPr>
        <w:pStyle w:val="4"/>
        <w:keepNext/>
        <w:keepLines/>
        <w:pageBreakBefore w:val="0"/>
        <w:widowControl/>
        <w:kinsoku w:val="0"/>
        <w:wordWrap/>
        <w:overflowPunct/>
        <w:topLinePunct w:val="0"/>
        <w:autoSpaceDE w:val="0"/>
        <w:autoSpaceDN w:val="0"/>
        <w:bidi w:val="0"/>
        <w:adjustRightInd w:val="0"/>
        <w:snapToGrid w:val="0"/>
        <w:spacing w:after="20" w:line="360" w:lineRule="auto"/>
        <w:textAlignment w:val="baseline"/>
        <w:rPr>
          <w:rFonts w:ascii="黑体" w:hAnsi="黑体" w:eastAsia="黑体" w:cs="黑体"/>
          <w:sz w:val="32"/>
          <w:szCs w:val="32"/>
        </w:rPr>
      </w:pPr>
      <w:bookmarkStart w:id="475" w:name="bookmark131"/>
      <w:bookmarkEnd w:id="475"/>
      <w:bookmarkStart w:id="476" w:name="bookmark132"/>
      <w:bookmarkEnd w:id="476"/>
      <w:bookmarkStart w:id="477" w:name="_Toc15161"/>
      <w:bookmarkStart w:id="478" w:name="_Toc3742"/>
      <w:r>
        <w:rPr>
          <w:rFonts w:ascii="Times New Roman" w:hAnsi="Times New Roman" w:eastAsia="Times New Roman" w:cs="Times New Roman"/>
          <w:spacing w:val="-2"/>
          <w:sz w:val="32"/>
          <w:szCs w:val="32"/>
        </w:rPr>
        <w:t>8.2</w:t>
      </w:r>
      <w:r>
        <w:rPr>
          <w:rFonts w:ascii="黑体" w:hAnsi="黑体" w:eastAsia="黑体" w:cs="黑体"/>
          <w:spacing w:val="-2"/>
          <w:sz w:val="32"/>
          <w:szCs w:val="32"/>
        </w:rPr>
        <w:t>环境监测计划</w:t>
      </w:r>
      <w:bookmarkEnd w:id="477"/>
      <w:bookmarkEnd w:id="478"/>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r>
        <w:rPr>
          <w:rFonts w:ascii="Times New Roman" w:hAnsi="Times New Roman" w:eastAsia="Times New Roman" w:cs="Times New Roman"/>
          <w:spacing w:val="-7"/>
          <w:sz w:val="28"/>
          <w:szCs w:val="28"/>
        </w:rPr>
        <w:t>8.2.1</w:t>
      </w:r>
      <w:r>
        <w:rPr>
          <w:rFonts w:ascii="楷体" w:hAnsi="楷体" w:eastAsia="楷体" w:cs="楷体"/>
          <w:spacing w:val="-7"/>
          <w:sz w:val="28"/>
          <w:szCs w:val="28"/>
        </w:rPr>
        <w:t>监测目的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z w:val="24"/>
          <w:szCs w:val="24"/>
        </w:rPr>
      </w:pPr>
      <w:r>
        <w:rPr>
          <w:rFonts w:ascii="宋体" w:hAnsi="宋体" w:eastAsia="宋体" w:cs="宋体"/>
          <w:spacing w:val="-3"/>
          <w:sz w:val="24"/>
          <w:szCs w:val="24"/>
        </w:rPr>
        <w:t>环境监测是企业环境管理必不可少的一部分，也是环境管理规范化的重要手段，</w:t>
      </w:r>
      <w:r>
        <w:rPr>
          <w:rFonts w:ascii="宋体" w:hAnsi="宋体" w:eastAsia="宋体" w:cs="宋体"/>
          <w:spacing w:val="2"/>
          <w:sz w:val="24"/>
          <w:szCs w:val="24"/>
        </w:rPr>
        <w:t>其对企业主要污染物进行监测分析、资料整理、编制报表、建立技术文件档案，作</w:t>
      </w:r>
      <w:r>
        <w:rPr>
          <w:rFonts w:ascii="宋体" w:hAnsi="宋体" w:eastAsia="宋体" w:cs="宋体"/>
          <w:spacing w:val="-1"/>
          <w:sz w:val="24"/>
          <w:szCs w:val="24"/>
        </w:rPr>
        <w:t>为上级环保部门进行环境规划、管理及执法提供依据。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both"/>
        <w:textAlignment w:val="baseline"/>
        <w:rPr>
          <w:rFonts w:ascii="宋体" w:hAnsi="宋体" w:eastAsia="宋体" w:cs="宋体"/>
          <w:sz w:val="24"/>
          <w:szCs w:val="24"/>
        </w:rPr>
      </w:pPr>
      <w:r>
        <w:rPr>
          <w:rFonts w:ascii="宋体" w:hAnsi="宋体" w:eastAsia="宋体" w:cs="宋体"/>
          <w:spacing w:val="2"/>
          <w:sz w:val="24"/>
          <w:szCs w:val="24"/>
        </w:rPr>
        <w:t>根据建设项目的工程影响分析可知：本项目在运营过程中由于环保设施的运行</w:t>
      </w:r>
      <w:r>
        <w:rPr>
          <w:rFonts w:ascii="宋体" w:hAnsi="宋体" w:eastAsia="宋体" w:cs="宋体"/>
          <w:spacing w:val="10"/>
          <w:sz w:val="24"/>
          <w:szCs w:val="24"/>
        </w:rPr>
        <w:t xml:space="preserve"> </w:t>
      </w:r>
      <w:r>
        <w:rPr>
          <w:rFonts w:ascii="宋体" w:hAnsi="宋体" w:eastAsia="宋体" w:cs="宋体"/>
          <w:spacing w:val="2"/>
          <w:sz w:val="24"/>
          <w:szCs w:val="24"/>
        </w:rPr>
        <w:t>状况，可能出现大气污染物超标排放、噪声污染物等以及事故发生后引发的环境问</w:t>
      </w:r>
      <w:r>
        <w:rPr>
          <w:rFonts w:ascii="宋体" w:hAnsi="宋体" w:eastAsia="宋体" w:cs="宋体"/>
          <w:spacing w:val="-2"/>
          <w:sz w:val="24"/>
          <w:szCs w:val="24"/>
        </w:rPr>
        <w:t>题，这些都可能对当地环境造成影响，所以，运行期进行定期的监</w:t>
      </w:r>
      <w:r>
        <w:rPr>
          <w:rFonts w:ascii="宋体" w:hAnsi="宋体" w:eastAsia="宋体" w:cs="宋体"/>
          <w:spacing w:val="-3"/>
          <w:sz w:val="24"/>
          <w:szCs w:val="24"/>
        </w:rPr>
        <w:t>测是很有必要的。</w:t>
      </w:r>
    </w:p>
    <w:p>
      <w:pPr>
        <w:keepNext w:val="0"/>
        <w:keepLines w:val="0"/>
        <w:pageBreakBefore w:val="0"/>
        <w:widowControl/>
        <w:kinsoku w:val="0"/>
        <w:wordWrap/>
        <w:overflowPunct/>
        <w:topLinePunct w:val="0"/>
        <w:autoSpaceDE w:val="0"/>
        <w:autoSpaceDN w:val="0"/>
        <w:bidi w:val="0"/>
        <w:adjustRightInd w:val="0"/>
        <w:snapToGrid w:val="0"/>
        <w:spacing w:before="174" w:line="360" w:lineRule="auto"/>
        <w:textAlignment w:val="baseline"/>
        <w:outlineLvl w:val="3"/>
        <w:rPr>
          <w:rFonts w:ascii="楷体" w:hAnsi="楷体" w:eastAsia="楷体" w:cs="楷体"/>
          <w:sz w:val="28"/>
          <w:szCs w:val="28"/>
        </w:rPr>
      </w:pPr>
      <w:bookmarkStart w:id="479" w:name="bookmark133"/>
      <w:bookmarkEnd w:id="479"/>
      <w:r>
        <w:rPr>
          <w:rFonts w:ascii="Times New Roman" w:hAnsi="Times New Roman" w:eastAsia="Times New Roman" w:cs="Times New Roman"/>
          <w:spacing w:val="-2"/>
          <w:sz w:val="28"/>
          <w:szCs w:val="28"/>
        </w:rPr>
        <w:t>8.2.2</w:t>
      </w:r>
      <w:r>
        <w:rPr>
          <w:rFonts w:ascii="楷体" w:hAnsi="楷体" w:eastAsia="楷体" w:cs="楷体"/>
          <w:spacing w:val="-2"/>
          <w:sz w:val="28"/>
          <w:szCs w:val="28"/>
        </w:rPr>
        <w:t>监测项目及监测计划</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jc w:val="both"/>
        <w:textAlignment w:val="baseline"/>
        <w:rPr>
          <w:rFonts w:ascii="宋体" w:hAnsi="宋体" w:eastAsia="宋体" w:cs="宋体"/>
          <w:sz w:val="24"/>
          <w:szCs w:val="24"/>
        </w:rPr>
      </w:pPr>
      <w:r>
        <w:rPr>
          <w:rFonts w:ascii="宋体" w:hAnsi="宋体" w:eastAsia="宋体" w:cs="宋体"/>
          <w:spacing w:val="-3"/>
          <w:sz w:val="24"/>
          <w:szCs w:val="24"/>
        </w:rPr>
        <w:t>环境监测是企业环境管理必不可少的一部分，也是环境管理规范化的主要手段，</w:t>
      </w:r>
      <w:r>
        <w:rPr>
          <w:rFonts w:ascii="宋体" w:hAnsi="宋体" w:eastAsia="宋体" w:cs="宋体"/>
          <w:spacing w:val="2"/>
          <w:sz w:val="24"/>
          <w:szCs w:val="24"/>
        </w:rPr>
        <w:t>通过对企业主要污染物进行分析、资料整理、编制报告、建立技术文件档案；为上</w:t>
      </w:r>
      <w:r>
        <w:rPr>
          <w:rFonts w:ascii="宋体" w:hAnsi="宋体" w:eastAsia="宋体" w:cs="宋体"/>
          <w:spacing w:val="-1"/>
          <w:sz w:val="24"/>
          <w:szCs w:val="24"/>
        </w:rPr>
        <w:t>级环保部门进行环境规划、管理及执法提供依据。</w:t>
      </w:r>
    </w:p>
    <w:p>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2"/>
        <w:jc w:val="both"/>
        <w:textAlignment w:val="baseline"/>
        <w:rPr>
          <w:rFonts w:ascii="宋体" w:hAnsi="宋体" w:eastAsia="宋体" w:cs="宋体"/>
          <w:sz w:val="24"/>
          <w:szCs w:val="24"/>
          <w:u w:val="single"/>
        </w:rPr>
      </w:pPr>
      <w:r>
        <w:rPr>
          <w:rFonts w:ascii="宋体" w:hAnsi="宋体" w:eastAsia="宋体" w:cs="宋体"/>
          <w:spacing w:val="-2"/>
          <w:sz w:val="24"/>
          <w:szCs w:val="24"/>
          <w:u w:val="single"/>
        </w:rPr>
        <w:t>环境监测可委托有资质的监测单位进行，并设立监测</w:t>
      </w:r>
      <w:r>
        <w:rPr>
          <w:rFonts w:ascii="宋体" w:hAnsi="宋体" w:eastAsia="宋体" w:cs="宋体"/>
          <w:spacing w:val="-3"/>
          <w:sz w:val="24"/>
          <w:szCs w:val="24"/>
          <w:u w:val="single"/>
        </w:rPr>
        <w:t>数据档案。环境监测方法、</w:t>
      </w:r>
      <w:r>
        <w:rPr>
          <w:rFonts w:ascii="宋体" w:hAnsi="宋体" w:eastAsia="宋体" w:cs="宋体"/>
          <w:spacing w:val="2"/>
          <w:sz w:val="24"/>
          <w:szCs w:val="24"/>
          <w:u w:val="single"/>
        </w:rPr>
        <w:t>仪器设备的使用及监测频次时段等，应严格遵守国家有关技术规范文件的要求，</w:t>
      </w:r>
      <w:r>
        <w:rPr>
          <w:rFonts w:hint="default" w:ascii="Times New Roman" w:hAnsi="Times New Roman" w:eastAsia="宋体" w:cs="Times New Roman"/>
          <w:spacing w:val="2"/>
          <w:sz w:val="24"/>
          <w:szCs w:val="24"/>
          <w:u w:val="single"/>
        </w:rPr>
        <w:t>根据《排污单位自行监测技术指南 总则》（HJ819-2017）、《排污许可证申请与核发技术规范 农副食品加工工业-屠宰及肉类加工工业（HJ 860.3-2018）》、《排污单位自行监测技术指南 农副食品加工业》（HJ986-2018）</w:t>
      </w:r>
      <w:r>
        <w:rPr>
          <w:rFonts w:ascii="宋体" w:hAnsi="宋体" w:eastAsia="宋体" w:cs="宋体"/>
          <w:spacing w:val="-54"/>
          <w:w w:val="86"/>
          <w:sz w:val="24"/>
          <w:szCs w:val="24"/>
          <w:u w:val="single"/>
        </w:rPr>
        <w:t>，</w:t>
      </w:r>
      <w:r>
        <w:rPr>
          <w:rFonts w:ascii="宋体" w:hAnsi="宋体" w:eastAsia="宋体" w:cs="宋体"/>
          <w:spacing w:val="-2"/>
          <w:sz w:val="24"/>
          <w:szCs w:val="24"/>
          <w:u w:val="single"/>
        </w:rPr>
        <w:t>本项目监测内容、监测制度建议详见表</w:t>
      </w:r>
      <w:r>
        <w:rPr>
          <w:rFonts w:ascii="Times New Roman" w:hAnsi="Times New Roman" w:eastAsia="Times New Roman" w:cs="Times New Roman"/>
          <w:spacing w:val="-2"/>
          <w:sz w:val="24"/>
          <w:szCs w:val="24"/>
          <w:u w:val="single"/>
        </w:rPr>
        <w:t>8-2</w:t>
      </w:r>
      <w:r>
        <w:rPr>
          <w:rFonts w:ascii="宋体" w:hAnsi="宋体" w:eastAsia="宋体" w:cs="宋体"/>
          <w:spacing w:val="-2"/>
          <w:sz w:val="24"/>
          <w:szCs w:val="24"/>
          <w:u w:val="single"/>
        </w:rPr>
        <w:t>。</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 xml:space="preserve">8-2          </w:t>
      </w:r>
      <w:r>
        <w:rPr>
          <w:rFonts w:ascii="宋体" w:hAnsi="宋体" w:eastAsia="宋体" w:cs="宋体"/>
          <w:spacing w:val="-1"/>
          <w:sz w:val="24"/>
          <w:szCs w:val="24"/>
          <w14:textOutline w14:w="4358" w14:cap="sq" w14:cmpd="sng">
            <w14:solidFill>
              <w14:srgbClr w14:val="000000"/>
            </w14:solidFill>
            <w14:prstDash w14:val="solid"/>
            <w14:bevel/>
          </w14:textOutline>
        </w:rPr>
        <w:t>环境监测计划</w:t>
      </w:r>
    </w:p>
    <w:tbl>
      <w:tblPr>
        <w:tblStyle w:val="24"/>
        <w:tblW w:w="8950"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2555"/>
        <w:gridCol w:w="3330"/>
        <w:gridCol w:w="239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3"/>
                <w:u w:val="single"/>
              </w:rPr>
              <w:t>项目</w:t>
            </w:r>
          </w:p>
        </w:tc>
        <w:tc>
          <w:tcPr>
            <w:tcW w:w="25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7"/>
                <w:u w:val="single"/>
              </w:rPr>
              <w:t>监测点位</w:t>
            </w:r>
          </w:p>
        </w:tc>
        <w:tc>
          <w:tcPr>
            <w:tcW w:w="3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7"/>
                <w:u w:val="single"/>
              </w:rPr>
              <w:t>监测项目</w:t>
            </w:r>
          </w:p>
        </w:tc>
        <w:tc>
          <w:tcPr>
            <w:tcW w:w="23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7"/>
                <w:u w:val="single"/>
              </w:rPr>
              <w:t>监测频率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5"/>
                <w:u w:val="single"/>
              </w:rPr>
              <w:t>废气</w:t>
            </w:r>
          </w:p>
        </w:tc>
        <w:tc>
          <w:tcPr>
            <w:tcW w:w="25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8"/>
                <w:u w:val="single"/>
              </w:rPr>
              <w:t>生物除臭装置排气筒进出口</w:t>
            </w:r>
          </w:p>
        </w:tc>
        <w:tc>
          <w:tcPr>
            <w:tcW w:w="3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rFonts w:ascii="Times New Roman" w:hAnsi="Times New Roman" w:eastAsia="Times New Roman" w:cs="Times New Roman"/>
                <w:u w:val="single"/>
              </w:rPr>
              <w:t>NH</w:t>
            </w:r>
            <w:r>
              <w:rPr>
                <w:rFonts w:ascii="Times New Roman" w:hAnsi="Times New Roman" w:eastAsia="Times New Roman" w:cs="Times New Roman"/>
                <w:spacing w:val="5"/>
                <w:position w:val="-1"/>
                <w:sz w:val="13"/>
                <w:szCs w:val="13"/>
                <w:u w:val="single"/>
              </w:rPr>
              <w:t>3</w:t>
            </w:r>
            <w:r>
              <w:rPr>
                <w:rFonts w:ascii="Times New Roman" w:hAnsi="Times New Roman" w:eastAsia="Times New Roman" w:cs="Times New Roman"/>
                <w:spacing w:val="-12"/>
                <w:position w:val="-1"/>
                <w:sz w:val="13"/>
                <w:szCs w:val="13"/>
                <w:u w:val="single"/>
              </w:rPr>
              <w:t xml:space="preserve"> </w:t>
            </w:r>
            <w:r>
              <w:rPr>
                <w:spacing w:val="5"/>
                <w:u w:val="single"/>
              </w:rPr>
              <w:t>、</w:t>
            </w:r>
            <w:r>
              <w:rPr>
                <w:rFonts w:ascii="Times New Roman" w:hAnsi="Times New Roman" w:eastAsia="Times New Roman" w:cs="Times New Roman"/>
                <w:spacing w:val="5"/>
                <w:u w:val="single"/>
              </w:rPr>
              <w:t>H</w:t>
            </w:r>
            <w:r>
              <w:rPr>
                <w:rFonts w:ascii="Times New Roman" w:hAnsi="Times New Roman" w:eastAsia="Times New Roman" w:cs="Times New Roman"/>
                <w:spacing w:val="5"/>
                <w:position w:val="-1"/>
                <w:sz w:val="13"/>
                <w:szCs w:val="13"/>
                <w:u w:val="single"/>
              </w:rPr>
              <w:t>2</w:t>
            </w:r>
            <w:r>
              <w:rPr>
                <w:rFonts w:ascii="Times New Roman" w:hAnsi="Times New Roman" w:eastAsia="Times New Roman" w:cs="Times New Roman"/>
                <w:spacing w:val="5"/>
                <w:u w:val="single"/>
              </w:rPr>
              <w:t>S</w:t>
            </w:r>
            <w:r>
              <w:rPr>
                <w:spacing w:val="5"/>
                <w:u w:val="single"/>
              </w:rPr>
              <w:t>、臭气浓度</w:t>
            </w:r>
          </w:p>
        </w:tc>
        <w:tc>
          <w:tcPr>
            <w:tcW w:w="2396"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2"/>
                <w:u w:val="single"/>
              </w:rPr>
              <w:t>每半年监测</w:t>
            </w:r>
            <w:r>
              <w:rPr>
                <w:rFonts w:ascii="Times New Roman" w:hAnsi="Times New Roman" w:eastAsia="Times New Roman" w:cs="Times New Roman"/>
                <w:spacing w:val="2"/>
                <w:u w:val="single"/>
              </w:rPr>
              <w:t>1</w:t>
            </w:r>
            <w:r>
              <w:rPr>
                <w:spacing w:val="2"/>
                <w:u w:val="single"/>
              </w:rPr>
              <w:t>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25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8"/>
                <w:u w:val="single"/>
              </w:rPr>
              <w:t>厂界周边浓度最高点</w:t>
            </w:r>
          </w:p>
        </w:tc>
        <w:tc>
          <w:tcPr>
            <w:tcW w:w="3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rFonts w:ascii="Times New Roman" w:hAnsi="Times New Roman" w:eastAsia="Times New Roman" w:cs="Times New Roman"/>
                <w:u w:val="single"/>
              </w:rPr>
              <w:t>NH</w:t>
            </w:r>
            <w:r>
              <w:rPr>
                <w:rFonts w:ascii="Times New Roman" w:hAnsi="Times New Roman" w:eastAsia="Times New Roman" w:cs="Times New Roman"/>
                <w:spacing w:val="5"/>
                <w:position w:val="-1"/>
                <w:sz w:val="13"/>
                <w:szCs w:val="13"/>
                <w:u w:val="single"/>
              </w:rPr>
              <w:t>3</w:t>
            </w:r>
            <w:r>
              <w:rPr>
                <w:rFonts w:ascii="Times New Roman" w:hAnsi="Times New Roman" w:eastAsia="Times New Roman" w:cs="Times New Roman"/>
                <w:spacing w:val="-12"/>
                <w:position w:val="-1"/>
                <w:sz w:val="13"/>
                <w:szCs w:val="13"/>
                <w:u w:val="single"/>
              </w:rPr>
              <w:t xml:space="preserve"> </w:t>
            </w:r>
            <w:r>
              <w:rPr>
                <w:spacing w:val="5"/>
                <w:u w:val="single"/>
              </w:rPr>
              <w:t>、</w:t>
            </w:r>
            <w:r>
              <w:rPr>
                <w:rFonts w:ascii="Times New Roman" w:hAnsi="Times New Roman" w:eastAsia="Times New Roman" w:cs="Times New Roman"/>
                <w:spacing w:val="5"/>
                <w:u w:val="single"/>
              </w:rPr>
              <w:t>H</w:t>
            </w:r>
            <w:r>
              <w:rPr>
                <w:rFonts w:ascii="Times New Roman" w:hAnsi="Times New Roman" w:eastAsia="Times New Roman" w:cs="Times New Roman"/>
                <w:spacing w:val="5"/>
                <w:position w:val="-1"/>
                <w:sz w:val="13"/>
                <w:szCs w:val="13"/>
                <w:u w:val="single"/>
              </w:rPr>
              <w:t>2</w:t>
            </w:r>
            <w:r>
              <w:rPr>
                <w:rFonts w:ascii="Times New Roman" w:hAnsi="Times New Roman" w:eastAsia="Times New Roman" w:cs="Times New Roman"/>
                <w:spacing w:val="5"/>
                <w:u w:val="single"/>
              </w:rPr>
              <w:t>S</w:t>
            </w:r>
            <w:r>
              <w:rPr>
                <w:spacing w:val="5"/>
                <w:u w:val="single"/>
              </w:rPr>
              <w:t>、臭气浓度</w:t>
            </w:r>
          </w:p>
        </w:tc>
        <w:tc>
          <w:tcPr>
            <w:tcW w:w="23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c>
          <w:tcPr>
            <w:tcW w:w="25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8"/>
                <w:highlight w:val="none"/>
                <w:u w:val="single"/>
              </w:rPr>
              <w:t>食堂油烟净化器进出口</w:t>
            </w:r>
          </w:p>
        </w:tc>
        <w:tc>
          <w:tcPr>
            <w:tcW w:w="3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6"/>
                <w:u w:val="single"/>
              </w:rPr>
              <w:t>油烟废气</w:t>
            </w:r>
          </w:p>
        </w:tc>
        <w:tc>
          <w:tcPr>
            <w:tcW w:w="239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5"/>
                <w:u w:val="single"/>
              </w:rPr>
              <w:t>废水</w:t>
            </w:r>
          </w:p>
        </w:tc>
        <w:tc>
          <w:tcPr>
            <w:tcW w:w="25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8"/>
                <w:u w:val="single"/>
              </w:rPr>
              <w:t>污水处理站排口</w:t>
            </w:r>
          </w:p>
        </w:tc>
        <w:tc>
          <w:tcPr>
            <w:tcW w:w="3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2"/>
                <w:u w:val="single"/>
              </w:rPr>
              <w:t>流量、</w:t>
            </w:r>
            <w:r>
              <w:rPr>
                <w:rFonts w:ascii="Times New Roman" w:hAnsi="Times New Roman" w:eastAsia="Times New Roman" w:cs="Times New Roman"/>
                <w:spacing w:val="-2"/>
                <w:u w:val="single"/>
              </w:rPr>
              <w:t>pH</w:t>
            </w:r>
            <w:r>
              <w:rPr>
                <w:spacing w:val="-2"/>
                <w:u w:val="single"/>
              </w:rPr>
              <w:t>、</w:t>
            </w:r>
            <w:r>
              <w:rPr>
                <w:rFonts w:ascii="Times New Roman" w:hAnsi="Times New Roman" w:eastAsia="Times New Roman" w:cs="Times New Roman"/>
                <w:spacing w:val="-2"/>
                <w:u w:val="single"/>
              </w:rPr>
              <w:t>COD</w:t>
            </w:r>
            <w:r>
              <w:rPr>
                <w:spacing w:val="-2"/>
                <w:u w:val="single"/>
              </w:rPr>
              <w:t>、</w:t>
            </w:r>
            <w:r>
              <w:rPr>
                <w:rFonts w:ascii="Times New Roman" w:hAnsi="Times New Roman" w:eastAsia="Times New Roman" w:cs="Times New Roman"/>
                <w:spacing w:val="-2"/>
                <w:u w:val="single"/>
              </w:rPr>
              <w:t>BOD</w:t>
            </w:r>
            <w:r>
              <w:rPr>
                <w:rFonts w:ascii="Times New Roman" w:hAnsi="Times New Roman" w:eastAsia="Times New Roman" w:cs="Times New Roman"/>
                <w:spacing w:val="-2"/>
                <w:position w:val="-1"/>
                <w:sz w:val="13"/>
                <w:szCs w:val="13"/>
                <w:u w:val="single"/>
              </w:rPr>
              <w:t>5</w:t>
            </w:r>
            <w:r>
              <w:rPr>
                <w:rFonts w:ascii="Times New Roman" w:hAnsi="Times New Roman" w:eastAsia="Times New Roman" w:cs="Times New Roman"/>
                <w:spacing w:val="-8"/>
                <w:position w:val="-1"/>
                <w:sz w:val="13"/>
                <w:szCs w:val="13"/>
                <w:u w:val="single"/>
              </w:rPr>
              <w:t xml:space="preserve"> </w:t>
            </w:r>
            <w:r>
              <w:rPr>
                <w:spacing w:val="-2"/>
                <w:u w:val="single"/>
              </w:rPr>
              <w:t>、</w:t>
            </w:r>
            <w:r>
              <w:rPr>
                <w:rFonts w:ascii="Times New Roman" w:hAnsi="Times New Roman" w:eastAsia="Times New Roman" w:cs="Times New Roman"/>
                <w:spacing w:val="-2"/>
                <w:u w:val="single"/>
              </w:rPr>
              <w:t>SS</w:t>
            </w:r>
            <w:r>
              <w:rPr>
                <w:rFonts w:ascii="Times New Roman" w:hAnsi="Times New Roman" w:eastAsia="Times New Roman" w:cs="Times New Roman"/>
                <w:spacing w:val="-24"/>
                <w:u w:val="single"/>
              </w:rPr>
              <w:t xml:space="preserve"> </w:t>
            </w:r>
            <w:r>
              <w:rPr>
                <w:spacing w:val="-2"/>
                <w:u w:val="single"/>
              </w:rPr>
              <w:t>、氨</w:t>
            </w:r>
            <w:r>
              <w:rPr>
                <w:spacing w:val="9"/>
                <w:u w:val="single"/>
              </w:rPr>
              <w:t>氮、动植物油、</w:t>
            </w:r>
            <w:r>
              <w:rPr>
                <w:rFonts w:hint="eastAsia"/>
                <w:spacing w:val="9"/>
                <w:u w:val="single"/>
                <w:lang w:eastAsia="zh-CN"/>
              </w:rPr>
              <w:t>总</w:t>
            </w:r>
            <w:r>
              <w:rPr>
                <w:spacing w:val="9"/>
                <w:u w:val="single"/>
              </w:rPr>
              <w:t>大肠菌群</w:t>
            </w:r>
            <w:r>
              <w:rPr>
                <w:rFonts w:hint="eastAsia"/>
                <w:spacing w:val="9"/>
                <w:u w:val="single"/>
                <w:lang w:eastAsia="zh-CN"/>
              </w:rPr>
              <w:t>、细菌总</w:t>
            </w:r>
            <w:r>
              <w:rPr>
                <w:spacing w:val="9"/>
                <w:u w:val="single"/>
              </w:rPr>
              <w:t>数</w:t>
            </w:r>
          </w:p>
        </w:tc>
        <w:tc>
          <w:tcPr>
            <w:tcW w:w="23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u w:val="single"/>
              </w:rPr>
            </w:pPr>
            <w:r>
              <w:rPr>
                <w:spacing w:val="5"/>
                <w:u w:val="single"/>
              </w:rPr>
              <w:t>流量、</w:t>
            </w:r>
            <w:r>
              <w:rPr>
                <w:rFonts w:ascii="Times New Roman" w:hAnsi="Times New Roman" w:eastAsia="Times New Roman" w:cs="Times New Roman"/>
                <w:u w:val="single"/>
              </w:rPr>
              <w:t>pH</w:t>
            </w:r>
            <w:r>
              <w:rPr>
                <w:spacing w:val="5"/>
                <w:u w:val="single"/>
              </w:rPr>
              <w:t>、</w:t>
            </w:r>
            <w:r>
              <w:rPr>
                <w:rFonts w:ascii="Times New Roman" w:hAnsi="Times New Roman" w:eastAsia="Times New Roman" w:cs="Times New Roman"/>
                <w:u w:val="single"/>
              </w:rPr>
              <w:t>COD</w:t>
            </w:r>
            <w:r>
              <w:rPr>
                <w:spacing w:val="5"/>
                <w:u w:val="single"/>
              </w:rPr>
              <w:t>、氨</w:t>
            </w:r>
            <w:r>
              <w:rPr>
                <w:spacing w:val="1"/>
                <w:u w:val="single"/>
              </w:rPr>
              <w:t>氮、总磷、总氮，安装在线监测，与环保部门联网，其余监测项目每</w:t>
            </w:r>
            <w:r>
              <w:rPr>
                <w:spacing w:val="-3"/>
                <w:u w:val="single"/>
              </w:rPr>
              <w:t>季度</w:t>
            </w:r>
            <w:r>
              <w:rPr>
                <w:rFonts w:ascii="Times New Roman" w:hAnsi="Times New Roman" w:eastAsia="Times New Roman" w:cs="Times New Roman"/>
                <w:spacing w:val="-3"/>
                <w:u w:val="single"/>
              </w:rPr>
              <w:t>1</w:t>
            </w:r>
            <w:r>
              <w:rPr>
                <w:spacing w:val="-3"/>
                <w:u w:val="single"/>
              </w:rPr>
              <w:t>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9" w:type="dxa"/>
            <w:vMerge w:val="continue"/>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5"/>
                <w:u w:val="single"/>
              </w:rPr>
            </w:pPr>
          </w:p>
        </w:tc>
        <w:tc>
          <w:tcPr>
            <w:tcW w:w="25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spacing w:val="8"/>
                <w:u w:val="single"/>
                <w:lang w:eastAsia="zh-CN"/>
              </w:rPr>
            </w:pPr>
            <w:r>
              <w:rPr>
                <w:rFonts w:hint="eastAsia"/>
                <w:spacing w:val="8"/>
                <w:u w:val="single"/>
                <w:lang w:eastAsia="zh-CN"/>
              </w:rPr>
              <w:t>雨水排放口</w:t>
            </w:r>
          </w:p>
        </w:tc>
        <w:tc>
          <w:tcPr>
            <w:tcW w:w="3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2"/>
                <w:u w:val="single"/>
              </w:rPr>
            </w:pPr>
            <w:r>
              <w:rPr>
                <w:rFonts w:ascii="Times New Roman" w:hAnsi="Times New Roman" w:eastAsia="Times New Roman" w:cs="Times New Roman"/>
                <w:spacing w:val="-2"/>
                <w:u w:val="single"/>
              </w:rPr>
              <w:t>COD</w:t>
            </w:r>
            <w:r>
              <w:rPr>
                <w:spacing w:val="-2"/>
                <w:u w:val="single"/>
              </w:rPr>
              <w:t>、氨</w:t>
            </w:r>
            <w:r>
              <w:rPr>
                <w:spacing w:val="9"/>
                <w:u w:val="single"/>
              </w:rPr>
              <w:t>氮、动植物油、</w:t>
            </w:r>
            <w:r>
              <w:rPr>
                <w:rFonts w:hint="eastAsia"/>
                <w:spacing w:val="9"/>
                <w:u w:val="single"/>
                <w:lang w:eastAsia="zh-CN"/>
              </w:rPr>
              <w:t>总</w:t>
            </w:r>
            <w:r>
              <w:rPr>
                <w:spacing w:val="9"/>
                <w:u w:val="single"/>
              </w:rPr>
              <w:t>大肠菌群</w:t>
            </w:r>
            <w:r>
              <w:rPr>
                <w:rFonts w:hint="eastAsia"/>
                <w:spacing w:val="9"/>
                <w:u w:val="single"/>
                <w:lang w:eastAsia="zh-CN"/>
              </w:rPr>
              <w:t>、细菌总</w:t>
            </w:r>
            <w:r>
              <w:rPr>
                <w:spacing w:val="9"/>
                <w:u w:val="single"/>
              </w:rPr>
              <w:t>数</w:t>
            </w:r>
          </w:p>
        </w:tc>
        <w:tc>
          <w:tcPr>
            <w:tcW w:w="23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5"/>
                <w:u w:val="single"/>
              </w:rPr>
            </w:pPr>
            <w:r>
              <w:rPr>
                <w:spacing w:val="1"/>
                <w:highlight w:val="none"/>
                <w:u w:val="single"/>
              </w:rPr>
              <w:t>每年监测</w:t>
            </w:r>
            <w:r>
              <w:rPr>
                <w:rFonts w:ascii="Times New Roman" w:hAnsi="Times New Roman" w:eastAsia="Times New Roman" w:cs="Times New Roman"/>
                <w:spacing w:val="1"/>
                <w:highlight w:val="none"/>
                <w:u w:val="single"/>
              </w:rPr>
              <w:t>1</w:t>
            </w:r>
            <w:r>
              <w:rPr>
                <w:spacing w:val="1"/>
                <w:highlight w:val="none"/>
                <w:u w:val="single"/>
              </w:rPr>
              <w:t>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spacing w:val="4"/>
                <w:highlight w:val="none"/>
                <w:u w:val="single"/>
              </w:rPr>
              <w:t>地下</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highlight w:val="none"/>
                <w:u w:val="single"/>
              </w:rPr>
              <w:t>水</w:t>
            </w:r>
          </w:p>
        </w:tc>
        <w:tc>
          <w:tcPr>
            <w:tcW w:w="25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spacing w:val="8"/>
                <w:highlight w:val="none"/>
                <w:u w:val="single"/>
              </w:rPr>
              <w:t>厂区及厂址下游地下水跟踪</w:t>
            </w:r>
          </w:p>
        </w:tc>
        <w:tc>
          <w:tcPr>
            <w:tcW w:w="3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rFonts w:ascii="Times New Roman" w:hAnsi="Times New Roman" w:eastAsia="Times New Roman" w:cs="Times New Roman"/>
                <w:highlight w:val="none"/>
                <w:u w:val="single"/>
              </w:rPr>
              <w:t>pH</w:t>
            </w:r>
            <w:r>
              <w:rPr>
                <w:rFonts w:ascii="Times New Roman" w:hAnsi="Times New Roman" w:eastAsia="Times New Roman" w:cs="Times New Roman"/>
                <w:spacing w:val="-27"/>
                <w:highlight w:val="none"/>
                <w:u w:val="single"/>
              </w:rPr>
              <w:t xml:space="preserve"> </w:t>
            </w:r>
            <w:r>
              <w:rPr>
                <w:spacing w:val="9"/>
                <w:highlight w:val="none"/>
                <w:u w:val="single"/>
              </w:rPr>
              <w:t>、总硬度、溶解性总固体、高</w:t>
            </w:r>
            <w:r>
              <w:rPr>
                <w:spacing w:val="3"/>
                <w:highlight w:val="none"/>
                <w:u w:val="single"/>
              </w:rPr>
              <w:t>锰酸盐指数、硝酸盐氮、亚硝酸盐</w:t>
            </w:r>
            <w:r>
              <w:rPr>
                <w:spacing w:val="13"/>
                <w:highlight w:val="none"/>
                <w:u w:val="single"/>
              </w:rPr>
              <w:t>氮、氨氮、硫酸盐、大肠菌群数</w:t>
            </w:r>
          </w:p>
        </w:tc>
        <w:tc>
          <w:tcPr>
            <w:tcW w:w="23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spacing w:val="1"/>
                <w:highlight w:val="none"/>
                <w:u w:val="single"/>
              </w:rPr>
              <w:t>每年监测</w:t>
            </w:r>
            <w:r>
              <w:rPr>
                <w:rFonts w:ascii="Times New Roman" w:hAnsi="Times New Roman" w:eastAsia="Times New Roman" w:cs="Times New Roman"/>
                <w:spacing w:val="1"/>
                <w:highlight w:val="none"/>
                <w:u w:val="single"/>
              </w:rPr>
              <w:t>1</w:t>
            </w:r>
            <w:r>
              <w:rPr>
                <w:spacing w:val="1"/>
                <w:highlight w:val="none"/>
                <w:u w:val="single"/>
              </w:rPr>
              <w:t>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spacing w:val="-1"/>
                <w:highlight w:val="none"/>
                <w:u w:val="single"/>
              </w:rPr>
              <w:t>噪声</w:t>
            </w:r>
          </w:p>
        </w:tc>
        <w:tc>
          <w:tcPr>
            <w:tcW w:w="255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spacing w:val="1"/>
                <w:highlight w:val="none"/>
                <w:u w:val="single"/>
              </w:rPr>
              <w:t>四周厂界外</w:t>
            </w:r>
            <w:r>
              <w:rPr>
                <w:rFonts w:ascii="Times New Roman" w:hAnsi="Times New Roman" w:eastAsia="Times New Roman" w:cs="Times New Roman"/>
                <w:spacing w:val="1"/>
                <w:highlight w:val="none"/>
                <w:u w:val="single"/>
              </w:rPr>
              <w:t>1m</w:t>
            </w:r>
            <w:r>
              <w:rPr>
                <w:spacing w:val="1"/>
                <w:highlight w:val="none"/>
                <w:u w:val="single"/>
              </w:rPr>
              <w:t>处</w:t>
            </w:r>
          </w:p>
        </w:tc>
        <w:tc>
          <w:tcPr>
            <w:tcW w:w="333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rFonts w:ascii="Times New Roman" w:hAnsi="Times New Roman" w:eastAsia="Times New Roman" w:cs="Times New Roman"/>
                <w:highlight w:val="none"/>
                <w:u w:val="single"/>
              </w:rPr>
              <w:t>Leq</w:t>
            </w:r>
            <w:r>
              <w:rPr>
                <w:spacing w:val="9"/>
                <w:highlight w:val="none"/>
                <w:u w:val="single"/>
              </w:rPr>
              <w:t>（</w:t>
            </w:r>
            <w:r>
              <w:rPr>
                <w:rFonts w:ascii="Times New Roman" w:hAnsi="Times New Roman" w:eastAsia="Times New Roman" w:cs="Times New Roman"/>
                <w:spacing w:val="9"/>
                <w:highlight w:val="none"/>
                <w:u w:val="single"/>
              </w:rPr>
              <w:t>A</w:t>
            </w:r>
            <w:r>
              <w:rPr>
                <w:spacing w:val="9"/>
                <w:highlight w:val="none"/>
                <w:u w:val="single"/>
              </w:rPr>
              <w:t>）</w:t>
            </w:r>
          </w:p>
        </w:tc>
        <w:tc>
          <w:tcPr>
            <w:tcW w:w="239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highlight w:val="none"/>
                <w:u w:val="single"/>
              </w:rPr>
            </w:pPr>
            <w:r>
              <w:rPr>
                <w:spacing w:val="-1"/>
                <w:highlight w:val="none"/>
                <w:u w:val="single"/>
              </w:rPr>
              <w:t>每季度</w:t>
            </w:r>
            <w:r>
              <w:rPr>
                <w:rFonts w:ascii="Times New Roman" w:hAnsi="Times New Roman" w:eastAsia="Times New Roman" w:cs="Times New Roman"/>
                <w:spacing w:val="-1"/>
                <w:highlight w:val="none"/>
                <w:u w:val="single"/>
              </w:rPr>
              <w:t>1</w:t>
            </w:r>
            <w:r>
              <w:rPr>
                <w:spacing w:val="-1"/>
                <w:highlight w:val="none"/>
                <w:u w:val="single"/>
              </w:rPr>
              <w:t>次</w:t>
            </w:r>
          </w:p>
        </w:tc>
      </w:tr>
    </w:tbl>
    <w:p>
      <w:pPr>
        <w:pStyle w:val="4"/>
        <w:keepNext/>
        <w:keepLines/>
        <w:pageBreakBefore w:val="0"/>
        <w:widowControl/>
        <w:kinsoku w:val="0"/>
        <w:wordWrap/>
        <w:overflowPunct/>
        <w:topLinePunct w:val="0"/>
        <w:autoSpaceDE w:val="0"/>
        <w:autoSpaceDN w:val="0"/>
        <w:bidi w:val="0"/>
        <w:adjustRightInd w:val="0"/>
        <w:snapToGrid w:val="0"/>
        <w:spacing w:after="20" w:line="360" w:lineRule="auto"/>
        <w:textAlignment w:val="baseline"/>
        <w:rPr>
          <w:rFonts w:ascii="黑体" w:hAnsi="黑体" w:eastAsia="黑体" w:cs="黑体"/>
          <w:sz w:val="32"/>
          <w:szCs w:val="32"/>
        </w:rPr>
      </w:pPr>
      <w:bookmarkStart w:id="480" w:name="bookmark134"/>
      <w:bookmarkEnd w:id="480"/>
      <w:bookmarkStart w:id="481" w:name="_Toc24662"/>
      <w:bookmarkStart w:id="482" w:name="_Toc25929"/>
      <w:r>
        <w:rPr>
          <w:rFonts w:ascii="Times New Roman" w:hAnsi="Times New Roman" w:eastAsia="Times New Roman" w:cs="Times New Roman"/>
          <w:spacing w:val="-2"/>
          <w:sz w:val="32"/>
          <w:szCs w:val="32"/>
        </w:rPr>
        <w:t>8.3</w:t>
      </w:r>
      <w:r>
        <w:rPr>
          <w:rFonts w:ascii="黑体" w:hAnsi="黑体" w:eastAsia="黑体" w:cs="黑体"/>
          <w:spacing w:val="-2"/>
          <w:sz w:val="32"/>
          <w:szCs w:val="32"/>
        </w:rPr>
        <w:t>排污口规范化管理</w:t>
      </w:r>
      <w:bookmarkEnd w:id="481"/>
      <w:bookmarkEnd w:id="482"/>
    </w:p>
    <w:p>
      <w:pPr>
        <w:keepNext w:val="0"/>
        <w:keepLines w:val="0"/>
        <w:pageBreakBefore w:val="0"/>
        <w:widowControl/>
        <w:kinsoku/>
        <w:wordWrap/>
        <w:overflowPunct/>
        <w:topLinePunct w:val="0"/>
        <w:autoSpaceDE w:val="0"/>
        <w:autoSpaceDN w:val="0"/>
        <w:bidi w:val="0"/>
        <w:adjustRightInd w:val="0"/>
        <w:snapToGrid w:val="0"/>
        <w:spacing w:before="53" w:line="360" w:lineRule="auto"/>
        <w:ind w:left="119" w:right="6" w:firstLine="476"/>
        <w:jc w:val="both"/>
        <w:textAlignment w:val="baseline"/>
        <w:rPr>
          <w:rFonts w:ascii="宋体" w:hAnsi="宋体" w:eastAsia="宋体" w:cs="宋体"/>
          <w:sz w:val="24"/>
          <w:szCs w:val="24"/>
        </w:rPr>
      </w:pPr>
      <w:r>
        <w:rPr>
          <w:rFonts w:ascii="宋体" w:hAnsi="宋体" w:eastAsia="宋体" w:cs="宋体"/>
          <w:spacing w:val="2"/>
          <w:sz w:val="24"/>
          <w:szCs w:val="24"/>
        </w:rPr>
        <w:t>废气、废水排放口应进行规范化设计，具备采样、监测条件，排放口附近树立</w:t>
      </w:r>
      <w:r>
        <w:rPr>
          <w:rFonts w:ascii="宋体" w:hAnsi="宋体" w:eastAsia="宋体" w:cs="宋体"/>
          <w:spacing w:val="1"/>
          <w:sz w:val="24"/>
          <w:szCs w:val="24"/>
        </w:rPr>
        <w:t>环保图形标志牌。排污口应符合“一明显、二合理、三便于”的要求，即环保标志</w:t>
      </w:r>
      <w:r>
        <w:rPr>
          <w:rFonts w:ascii="宋体" w:hAnsi="宋体" w:eastAsia="宋体" w:cs="宋体"/>
          <w:spacing w:val="2"/>
          <w:sz w:val="24"/>
          <w:szCs w:val="24"/>
        </w:rPr>
        <w:t>明显，排污口设置合理，排污去向合理，便于采集样品，便于监测计量，便于公众</w:t>
      </w:r>
      <w:r>
        <w:rPr>
          <w:rFonts w:ascii="宋体" w:hAnsi="宋体" w:eastAsia="宋体" w:cs="宋体"/>
          <w:spacing w:val="-2"/>
          <w:sz w:val="24"/>
          <w:szCs w:val="24"/>
        </w:rPr>
        <w:t>监督管理。按照国家环境保护部制定的《〈环境保护图形标志〉实施细则（试行）》</w:t>
      </w:r>
      <w:r>
        <w:rPr>
          <w:rFonts w:ascii="宋体" w:hAnsi="宋体" w:eastAsia="宋体" w:cs="宋体"/>
          <w:spacing w:val="-1"/>
          <w:sz w:val="24"/>
          <w:szCs w:val="24"/>
        </w:rPr>
        <w:t>（环监【</w:t>
      </w:r>
      <w:r>
        <w:rPr>
          <w:rFonts w:ascii="Times New Roman" w:hAnsi="Times New Roman" w:eastAsia="Times New Roman" w:cs="Times New Roman"/>
          <w:spacing w:val="-1"/>
          <w:sz w:val="24"/>
          <w:szCs w:val="24"/>
        </w:rPr>
        <w:t>1996</w:t>
      </w:r>
      <w:r>
        <w:rPr>
          <w:rFonts w:ascii="宋体" w:hAnsi="宋体" w:eastAsia="宋体" w:cs="宋体"/>
          <w:spacing w:val="-1"/>
          <w:sz w:val="24"/>
          <w:szCs w:val="24"/>
        </w:rPr>
        <w:t>】</w:t>
      </w:r>
      <w:r>
        <w:rPr>
          <w:rFonts w:ascii="Times New Roman" w:hAnsi="Times New Roman" w:eastAsia="Times New Roman" w:cs="Times New Roman"/>
          <w:spacing w:val="-1"/>
          <w:sz w:val="24"/>
          <w:szCs w:val="24"/>
        </w:rPr>
        <w:t>463</w:t>
      </w:r>
      <w:r>
        <w:rPr>
          <w:rFonts w:ascii="宋体" w:hAnsi="宋体" w:eastAsia="宋体" w:cs="宋体"/>
          <w:spacing w:val="-1"/>
          <w:sz w:val="24"/>
          <w:szCs w:val="24"/>
        </w:rPr>
        <w:t>号）的规定，在各排污口设立相应的环境保护图形标志牌。</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bookmarkStart w:id="483" w:name="bookmark135"/>
      <w:bookmarkEnd w:id="483"/>
      <w:r>
        <w:rPr>
          <w:rFonts w:ascii="Times New Roman" w:hAnsi="Times New Roman" w:eastAsia="Times New Roman" w:cs="Times New Roman"/>
          <w:spacing w:val="-5"/>
          <w:sz w:val="28"/>
          <w:szCs w:val="28"/>
        </w:rPr>
        <w:t>8.3.1</w:t>
      </w:r>
      <w:r>
        <w:rPr>
          <w:rFonts w:ascii="楷体" w:hAnsi="楷体" w:eastAsia="楷体" w:cs="楷体"/>
          <w:spacing w:val="-5"/>
          <w:sz w:val="28"/>
          <w:szCs w:val="28"/>
        </w:rPr>
        <w:t>基本原则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（1）向环境排放污染物的排污口必须规范化；</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（2）根据工程的特点，考虑列入总量控制指标的污染物，废气、废水排污口为管理的重点；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（3）排污口应便于采样与计量检测，便于日常现场监督检查。</w:t>
      </w:r>
    </w:p>
    <w:p>
      <w:pPr>
        <w:keepNext w:val="0"/>
        <w:keepLines w:val="0"/>
        <w:pageBreakBefore w:val="0"/>
        <w:widowControl/>
        <w:kinsoku w:val="0"/>
        <w:wordWrap/>
        <w:overflowPunct/>
        <w:topLinePunct w:val="0"/>
        <w:autoSpaceDE w:val="0"/>
        <w:autoSpaceDN w:val="0"/>
        <w:bidi w:val="0"/>
        <w:adjustRightInd w:val="0"/>
        <w:snapToGrid w:val="0"/>
        <w:spacing w:before="92" w:line="360" w:lineRule="auto"/>
        <w:textAlignment w:val="baseline"/>
        <w:outlineLvl w:val="3"/>
        <w:rPr>
          <w:rFonts w:ascii="楷体" w:hAnsi="楷体" w:eastAsia="楷体" w:cs="楷体"/>
          <w:sz w:val="28"/>
          <w:szCs w:val="28"/>
        </w:rPr>
      </w:pPr>
      <w:bookmarkStart w:id="484" w:name="bookmark136"/>
      <w:bookmarkEnd w:id="484"/>
      <w:r>
        <w:rPr>
          <w:rFonts w:ascii="Times New Roman" w:hAnsi="Times New Roman" w:eastAsia="Times New Roman" w:cs="Times New Roman"/>
          <w:spacing w:val="-2"/>
          <w:sz w:val="28"/>
          <w:szCs w:val="28"/>
        </w:rPr>
        <w:t xml:space="preserve">8.3.2  </w:t>
      </w:r>
      <w:r>
        <w:rPr>
          <w:rFonts w:ascii="楷体" w:hAnsi="楷体" w:eastAsia="楷体" w:cs="楷体"/>
          <w:spacing w:val="-2"/>
          <w:sz w:val="28"/>
          <w:szCs w:val="28"/>
        </w:rPr>
        <w:t>技术要求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（1）排污口的设置必须合理确定，按照环监（96）470 号文件要求，进行规范化管理。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（2）污水排放的采样点设置应按《污染源监测技术规范》要求，主要设置在企业总排口、污水处理设施的进水和出水口等处。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（3）设置规范的、便于测量流量、流速的测速段。</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（4）在废水排放口、生物除臭装置设置符合《污染源监测技术规范》要求的采样口。废气排气筒均应设置便于采样、监测的采样口和采样监测平台，在排气筒附近地面醒目处设置环保图形标志牌。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（5）设置废水自动在线监测设备。</w:t>
      </w:r>
    </w:p>
    <w:p>
      <w:pPr>
        <w:keepNext w:val="0"/>
        <w:keepLines w:val="0"/>
        <w:pageBreakBefore w:val="0"/>
        <w:widowControl/>
        <w:kinsoku w:val="0"/>
        <w:wordWrap/>
        <w:overflowPunct/>
        <w:topLinePunct w:val="0"/>
        <w:autoSpaceDE w:val="0"/>
        <w:autoSpaceDN w:val="0"/>
        <w:bidi w:val="0"/>
        <w:adjustRightInd w:val="0"/>
        <w:snapToGrid w:val="0"/>
        <w:spacing w:before="54" w:line="360" w:lineRule="auto"/>
        <w:textAlignment w:val="baseline"/>
        <w:outlineLvl w:val="3"/>
        <w:rPr>
          <w:rFonts w:ascii="楷体" w:hAnsi="楷体" w:eastAsia="楷体" w:cs="楷体"/>
          <w:sz w:val="28"/>
          <w:szCs w:val="28"/>
        </w:rPr>
      </w:pPr>
      <w:bookmarkStart w:id="485" w:name="bookmark137"/>
      <w:bookmarkEnd w:id="485"/>
      <w:r>
        <w:rPr>
          <w:rFonts w:ascii="Times New Roman" w:hAnsi="Times New Roman" w:eastAsia="Times New Roman" w:cs="Times New Roman"/>
          <w:spacing w:val="-2"/>
          <w:sz w:val="28"/>
          <w:szCs w:val="28"/>
        </w:rPr>
        <w:t>8.3.3</w:t>
      </w:r>
      <w:r>
        <w:rPr>
          <w:rFonts w:ascii="楷体" w:hAnsi="楷体" w:eastAsia="楷体" w:cs="楷体"/>
          <w:spacing w:val="-2"/>
          <w:sz w:val="28"/>
          <w:szCs w:val="28"/>
        </w:rPr>
        <w:t>排污口立标管理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（1）污染物排放口，应按国家《环境保护图形标志》（15562.1-1995）与GB15562.2- 1995 的规定，设置国家环保总局统一制作的环境保护图形标志牌；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（2）污染物排放口的环境保护图形标志牌应设置在靠近采样点的醒目处，标志牌设置高度为其上缘距地面约2m。</w:t>
      </w:r>
    </w:p>
    <w:p>
      <w:pPr>
        <w:keepNext w:val="0"/>
        <w:keepLines w:val="0"/>
        <w:pageBreakBefore w:val="0"/>
        <w:widowControl/>
        <w:kinsoku w:val="0"/>
        <w:wordWrap/>
        <w:overflowPunct/>
        <w:topLinePunct w:val="0"/>
        <w:autoSpaceDE w:val="0"/>
        <w:autoSpaceDN w:val="0"/>
        <w:bidi w:val="0"/>
        <w:adjustRightInd w:val="0"/>
        <w:snapToGrid w:val="0"/>
        <w:spacing w:before="53" w:line="360" w:lineRule="auto"/>
        <w:textAlignment w:val="baseline"/>
        <w:outlineLvl w:val="3"/>
        <w:rPr>
          <w:rFonts w:ascii="楷体" w:hAnsi="楷体" w:eastAsia="楷体" w:cs="楷体"/>
          <w:sz w:val="28"/>
          <w:szCs w:val="28"/>
        </w:rPr>
      </w:pPr>
      <w:bookmarkStart w:id="486" w:name="bookmark138"/>
      <w:bookmarkEnd w:id="486"/>
      <w:r>
        <w:rPr>
          <w:rFonts w:ascii="Times New Roman" w:hAnsi="Times New Roman" w:eastAsia="Times New Roman" w:cs="Times New Roman"/>
          <w:spacing w:val="-2"/>
          <w:sz w:val="28"/>
          <w:szCs w:val="28"/>
        </w:rPr>
        <w:t>8.3.4</w:t>
      </w:r>
      <w:r>
        <w:rPr>
          <w:rFonts w:ascii="楷体" w:hAnsi="楷体" w:eastAsia="楷体" w:cs="楷体"/>
          <w:spacing w:val="-2"/>
          <w:sz w:val="28"/>
          <w:szCs w:val="28"/>
        </w:rPr>
        <w:t>排污口建档管理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（1）要求使用国家环保部统一印制的《中华人民共和国规范化排污口标志牌登记证》，并按要求填写有关内容；</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（2）根据排污口管理档案内容要求，项目建成投产后，应将主要污染物种类、数量、浓度、排放去向、达标情况及设施运行情况记录于档案。</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废气排放口应进行规范化设计，具备采样、监测条件，排放口附近树立环保图形标志牌。按照国家环境保护总局制定的《〈环境保护图形标志〉实施细则（试行）》（环监[1996]463 号）的规定，在排污口设立相应的环境保护图形标志牌。排污口环境保护图形标志见表8-3。</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069"/>
        <w:textAlignment w:val="baseline"/>
      </w:pPr>
      <w:r>
        <w:rPr>
          <w:rFonts w:ascii="宋体" w:hAnsi="宋体" w:eastAsia="宋体" w:cs="宋体"/>
          <w:sz w:val="24"/>
          <w:szCs w:val="24"/>
          <w14:textOutline w14:w="4358" w14:cap="sq" w14:cmpd="sng">
            <w14:solidFill>
              <w14:srgbClr w14:val="000000"/>
            </w14:solidFill>
            <w14:prstDash w14:val="solid"/>
            <w14:bevel/>
          </w14:textOutline>
        </w:rPr>
        <w:t>表</w:t>
      </w:r>
      <w:r>
        <w:rPr>
          <w:rFonts w:ascii="宋体" w:hAnsi="宋体" w:eastAsia="宋体" w:cs="宋体"/>
          <w:spacing w:val="-52"/>
          <w:sz w:val="24"/>
          <w:szCs w:val="24"/>
        </w:rPr>
        <w:t xml:space="preserve"> </w:t>
      </w:r>
      <w:r>
        <w:rPr>
          <w:rFonts w:ascii="Times New Roman" w:hAnsi="Times New Roman" w:eastAsia="Times New Roman" w:cs="Times New Roman"/>
          <w:b/>
          <w:bCs/>
          <w:sz w:val="24"/>
          <w:szCs w:val="24"/>
        </w:rPr>
        <w:t xml:space="preserve">8-3                      </w:t>
      </w:r>
      <w:r>
        <w:rPr>
          <w:rFonts w:ascii="宋体" w:hAnsi="宋体" w:eastAsia="宋体" w:cs="宋体"/>
          <w:sz w:val="24"/>
          <w:szCs w:val="24"/>
          <w14:textOutline w14:w="4358" w14:cap="sq" w14:cmpd="sng">
            <w14:solidFill>
              <w14:srgbClr w14:val="000000"/>
            </w14:solidFill>
            <w14:prstDash w14:val="solid"/>
            <w14:bevel/>
          </w14:textOutline>
        </w:rPr>
        <w:t>排污</w:t>
      </w:r>
      <w:r>
        <w:rPr>
          <w:rFonts w:ascii="宋体" w:hAnsi="宋体" w:eastAsia="宋体" w:cs="宋体"/>
          <w:spacing w:val="-1"/>
          <w:sz w:val="24"/>
          <w:szCs w:val="24"/>
          <w14:textOutline w14:w="4358" w14:cap="sq" w14:cmpd="sng">
            <w14:solidFill>
              <w14:srgbClr w14:val="000000"/>
            </w14:solidFill>
            <w14:prstDash w14:val="solid"/>
            <w14:bevel/>
          </w14:textOutline>
        </w:rPr>
        <w:t>口环境保护图形标志</w:t>
      </w:r>
    </w:p>
    <w:tbl>
      <w:tblPr>
        <w:tblStyle w:val="24"/>
        <w:tblW w:w="8744" w:type="dxa"/>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024"/>
        <w:gridCol w:w="47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trPr>
        <w:tc>
          <w:tcPr>
            <w:tcW w:w="402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排放口名称</w:t>
            </w:r>
          </w:p>
        </w:tc>
        <w:tc>
          <w:tcPr>
            <w:tcW w:w="472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图形标志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30" w:hRule="atLeast"/>
        </w:trPr>
        <w:tc>
          <w:tcPr>
            <w:tcW w:w="402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排气筒</w:t>
            </w:r>
          </w:p>
        </w:tc>
        <w:tc>
          <w:tcPr>
            <w:tcW w:w="472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drawing>
                <wp:inline distT="0" distB="0" distL="0" distR="0">
                  <wp:extent cx="517525" cy="51752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117"/>
                          <a:stretch>
                            <a:fillRect/>
                          </a:stretch>
                        </pic:blipFill>
                        <pic:spPr>
                          <a:xfrm>
                            <a:off x="0" y="0"/>
                            <a:ext cx="518159" cy="518159"/>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30" w:hRule="atLeast"/>
        </w:trPr>
        <w:tc>
          <w:tcPr>
            <w:tcW w:w="402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噪声源</w:t>
            </w:r>
          </w:p>
        </w:tc>
        <w:tc>
          <w:tcPr>
            <w:tcW w:w="472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drawing>
                <wp:inline distT="0" distB="0" distL="0" distR="0">
                  <wp:extent cx="517525" cy="517525"/>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18"/>
                          <a:stretch>
                            <a:fillRect/>
                          </a:stretch>
                        </pic:blipFill>
                        <pic:spPr>
                          <a:xfrm>
                            <a:off x="0" y="0"/>
                            <a:ext cx="518159" cy="518159"/>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13" w:hRule="atLeast"/>
        </w:trPr>
        <w:tc>
          <w:tcPr>
            <w:tcW w:w="402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固废堆放场所</w:t>
            </w:r>
          </w:p>
        </w:tc>
        <w:tc>
          <w:tcPr>
            <w:tcW w:w="472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drawing>
                <wp:inline distT="0" distB="0" distL="0" distR="0">
                  <wp:extent cx="510540" cy="499745"/>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19"/>
                          <a:stretch>
                            <a:fillRect/>
                          </a:stretch>
                        </pic:blipFill>
                        <pic:spPr>
                          <a:xfrm>
                            <a:off x="0" y="0"/>
                            <a:ext cx="510540" cy="499871"/>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1595" w:hRule="atLeast"/>
        </w:trPr>
        <w:tc>
          <w:tcPr>
            <w:tcW w:w="402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危废暂存间</w:t>
            </w:r>
          </w:p>
        </w:tc>
        <w:tc>
          <w:tcPr>
            <w:tcW w:w="472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drawing>
                <wp:inline distT="0" distB="0" distL="0" distR="0">
                  <wp:extent cx="1418590" cy="88836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120"/>
                          <a:stretch>
                            <a:fillRect/>
                          </a:stretch>
                        </pic:blipFill>
                        <pic:spPr>
                          <a:xfrm>
                            <a:off x="0" y="0"/>
                            <a:ext cx="1418844" cy="888491"/>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17" w:hRule="atLeast"/>
        </w:trPr>
        <w:tc>
          <w:tcPr>
            <w:tcW w:w="402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污水排污口</w:t>
            </w:r>
          </w:p>
        </w:tc>
        <w:tc>
          <w:tcPr>
            <w:tcW w:w="4720"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drawing>
                <wp:inline distT="0" distB="0" distL="0" distR="0">
                  <wp:extent cx="586740" cy="57023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21"/>
                          <a:stretch>
                            <a:fillRect/>
                          </a:stretch>
                        </pic:blipFill>
                        <pic:spPr>
                          <a:xfrm>
                            <a:off x="0" y="0"/>
                            <a:ext cx="586740" cy="570864"/>
                          </a:xfrm>
                          <a:prstGeom prst="rect">
                            <a:avLst/>
                          </a:prstGeom>
                        </pic:spPr>
                      </pic:pic>
                    </a:graphicData>
                  </a:graphic>
                </wp:inline>
              </w:drawing>
            </w:r>
          </w:p>
        </w:tc>
      </w:tr>
    </w:tbl>
    <w:p>
      <w:pPr>
        <w:pStyle w:val="4"/>
        <w:keepNext/>
        <w:keepLines/>
        <w:pageBreakBefore w:val="0"/>
        <w:widowControl/>
        <w:kinsoku w:val="0"/>
        <w:wordWrap/>
        <w:overflowPunct/>
        <w:topLinePunct w:val="0"/>
        <w:autoSpaceDE w:val="0"/>
        <w:autoSpaceDN w:val="0"/>
        <w:bidi w:val="0"/>
        <w:adjustRightInd w:val="0"/>
        <w:snapToGrid w:val="0"/>
        <w:spacing w:after="20" w:line="360" w:lineRule="auto"/>
        <w:textAlignment w:val="baseline"/>
      </w:pPr>
      <w:bookmarkStart w:id="487" w:name="bookmark139"/>
      <w:bookmarkEnd w:id="487"/>
      <w:bookmarkStart w:id="488" w:name="_Toc3135"/>
      <w:bookmarkStart w:id="489" w:name="_Toc6421"/>
      <w:r>
        <w:t>8.4 污染物排放管理要求</w:t>
      </w:r>
      <w:bookmarkEnd w:id="488"/>
      <w:bookmarkEnd w:id="489"/>
    </w:p>
    <w:p>
      <w:pPr>
        <w:spacing w:before="293" w:line="384" w:lineRule="auto"/>
        <w:ind w:left="180" w:right="90" w:firstLine="478"/>
        <w:rPr>
          <w:rFonts w:ascii="宋体" w:hAnsi="宋体" w:eastAsia="宋体" w:cs="宋体"/>
          <w:sz w:val="24"/>
          <w:szCs w:val="24"/>
        </w:rPr>
      </w:pPr>
      <w:r>
        <w:rPr>
          <w:rFonts w:ascii="宋体" w:hAnsi="宋体" w:eastAsia="宋体" w:cs="宋体"/>
          <w:spacing w:val="2"/>
          <w:sz w:val="24"/>
          <w:szCs w:val="24"/>
        </w:rPr>
        <w:t>对本项目拟采取的环境保护措施及主要运行参数，排放污染物种类、排放浓度</w:t>
      </w:r>
      <w:r>
        <w:rPr>
          <w:rFonts w:ascii="宋体" w:hAnsi="宋体" w:eastAsia="宋体" w:cs="宋体"/>
          <w:spacing w:val="3"/>
          <w:sz w:val="24"/>
          <w:szCs w:val="24"/>
        </w:rPr>
        <w:t>和排放总量以及执行的环境标准等信息汇总，为后续的排污许可证制度奠定基础。</w:t>
      </w:r>
      <w:r>
        <w:rPr>
          <w:rFonts w:ascii="宋体" w:hAnsi="宋体" w:eastAsia="宋体" w:cs="宋体"/>
          <w:spacing w:val="-2"/>
          <w:sz w:val="24"/>
          <w:szCs w:val="24"/>
        </w:rPr>
        <w:t>建设单位在后续的运行中，应定期向社会公开日常污染物治理措</w:t>
      </w:r>
      <w:r>
        <w:rPr>
          <w:rFonts w:ascii="宋体" w:hAnsi="宋体" w:eastAsia="宋体" w:cs="宋体"/>
          <w:spacing w:val="-3"/>
          <w:sz w:val="24"/>
          <w:szCs w:val="24"/>
        </w:rPr>
        <w:t>施、污染物排放量、</w:t>
      </w:r>
      <w:r>
        <w:rPr>
          <w:rFonts w:ascii="宋体" w:hAnsi="宋体" w:eastAsia="宋体" w:cs="宋体"/>
          <w:spacing w:val="-1"/>
          <w:sz w:val="24"/>
          <w:szCs w:val="24"/>
        </w:rPr>
        <w:t>突发环境事故、采取的应急措施以及事故造成的影响等相关信息。</w:t>
      </w:r>
    </w:p>
    <w:p>
      <w:pPr>
        <w:spacing w:before="91" w:line="224" w:lineRule="auto"/>
        <w:outlineLvl w:val="3"/>
        <w:rPr>
          <w:rFonts w:ascii="楷体" w:hAnsi="楷体" w:eastAsia="楷体" w:cs="楷体"/>
          <w:sz w:val="28"/>
          <w:szCs w:val="28"/>
        </w:rPr>
      </w:pPr>
      <w:bookmarkStart w:id="490" w:name="bookmark140"/>
      <w:bookmarkEnd w:id="490"/>
      <w:r>
        <w:rPr>
          <w:rFonts w:ascii="Times New Roman" w:hAnsi="Times New Roman" w:eastAsia="Times New Roman" w:cs="Times New Roman"/>
          <w:spacing w:val="-7"/>
          <w:sz w:val="28"/>
          <w:szCs w:val="28"/>
        </w:rPr>
        <w:t>8.4.1</w:t>
      </w:r>
      <w:r>
        <w:rPr>
          <w:rFonts w:ascii="楷体" w:hAnsi="楷体" w:eastAsia="楷体" w:cs="楷体"/>
          <w:spacing w:val="-7"/>
          <w:sz w:val="28"/>
          <w:szCs w:val="28"/>
        </w:rPr>
        <w:t>污染物排放清单</w:t>
      </w:r>
    </w:p>
    <w:p>
      <w:pPr>
        <w:keepNext w:val="0"/>
        <w:keepLines w:val="0"/>
        <w:pageBreakBefore w:val="0"/>
        <w:widowControl/>
        <w:kinsoku w:val="0"/>
        <w:wordWrap/>
        <w:overflowPunct/>
        <w:topLinePunct w:val="0"/>
        <w:autoSpaceDE w:val="0"/>
        <w:autoSpaceDN w:val="0"/>
        <w:bidi w:val="0"/>
        <w:adjustRightInd w:val="0"/>
        <w:snapToGrid w:val="0"/>
        <w:spacing w:before="229" w:line="360" w:lineRule="auto"/>
        <w:ind w:left="658"/>
        <w:textAlignment w:val="baseline"/>
        <w:rPr>
          <w:rFonts w:ascii="宋体" w:hAnsi="宋体" w:eastAsia="宋体" w:cs="宋体"/>
          <w:sz w:val="24"/>
          <w:szCs w:val="24"/>
        </w:rPr>
      </w:pPr>
      <w:r>
        <w:rPr>
          <w:rFonts w:ascii="宋体" w:hAnsi="宋体" w:eastAsia="宋体" w:cs="宋体"/>
          <w:spacing w:val="-1"/>
          <w:sz w:val="24"/>
          <w:szCs w:val="24"/>
        </w:rPr>
        <w:t>根据工程分析及环境保护措施分析，项目污染物排放清单见表</w:t>
      </w:r>
      <w:r>
        <w:rPr>
          <w:rFonts w:ascii="Times New Roman" w:hAnsi="Times New Roman" w:eastAsia="Times New Roman" w:cs="Times New Roman"/>
          <w:spacing w:val="-1"/>
          <w:sz w:val="24"/>
          <w:szCs w:val="24"/>
        </w:rPr>
        <w:t>8-4</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727"/>
        <w:textAlignment w:val="baseline"/>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 xml:space="preserve">8-4        </w:t>
      </w:r>
      <w:r>
        <w:rPr>
          <w:rFonts w:ascii="Times New Roman" w:hAnsi="Times New Roman" w:eastAsia="Times New Roman" w:cs="Times New Roman"/>
          <w:b/>
          <w:bCs/>
          <w:spacing w:val="-1"/>
          <w:sz w:val="24"/>
          <w:szCs w:val="24"/>
          <w:highlight w:val="none"/>
        </w:rPr>
        <w:t xml:space="preserve">  </w:t>
      </w:r>
      <w:r>
        <w:rPr>
          <w:rFonts w:ascii="宋体" w:hAnsi="宋体" w:eastAsia="宋体" w:cs="宋体"/>
          <w:spacing w:val="-1"/>
          <w:sz w:val="24"/>
          <w:szCs w:val="24"/>
          <w:highlight w:val="none"/>
          <w14:textOutline w14:w="4358" w14:cap="sq" w14:cmpd="sng">
            <w14:solidFill>
              <w14:srgbClr w14:val="000000"/>
            </w14:solidFill>
            <w14:prstDash w14:val="solid"/>
            <w14:bevel/>
          </w14:textOutline>
        </w:rPr>
        <w:t>本项目污染源排放清单</w:t>
      </w:r>
    </w:p>
    <w:tbl>
      <w:tblPr>
        <w:tblStyle w:val="24"/>
        <w:tblW w:w="9064"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846"/>
        <w:gridCol w:w="756"/>
        <w:gridCol w:w="986"/>
        <w:gridCol w:w="1274"/>
        <w:gridCol w:w="1562"/>
        <w:gridCol w:w="1349"/>
        <w:gridCol w:w="161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PrEx>
        <w:trPr>
          <w:trHeight w:val="633" w:hRule="atLeast"/>
        </w:trPr>
        <w:tc>
          <w:tcPr>
            <w:tcW w:w="675"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类别</w:t>
            </w:r>
          </w:p>
        </w:tc>
        <w:tc>
          <w:tcPr>
            <w:tcW w:w="1602" w:type="dxa"/>
            <w:gridSpan w:val="2"/>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产生环节</w:t>
            </w: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污染物</w:t>
            </w:r>
          </w:p>
          <w:p>
            <w:pPr>
              <w:jc w:val="center"/>
              <w:rPr>
                <w:rFonts w:hint="default" w:ascii="Times New Roman" w:hAnsi="Times New Roman" w:cs="Times New Roman"/>
              </w:rPr>
            </w:pPr>
            <w:r>
              <w:rPr>
                <w:rFonts w:hint="default" w:ascii="Times New Roman" w:hAnsi="Times New Roman" w:cs="Times New Roman"/>
              </w:rPr>
              <w:t>因子</w:t>
            </w:r>
          </w:p>
        </w:tc>
        <w:tc>
          <w:tcPr>
            <w:tcW w:w="12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产生浓度</w:t>
            </w:r>
          </w:p>
        </w:tc>
        <w:tc>
          <w:tcPr>
            <w:tcW w:w="156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产生量</w:t>
            </w:r>
          </w:p>
        </w:tc>
        <w:tc>
          <w:tcPr>
            <w:tcW w:w="13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排放浓度</w:t>
            </w:r>
          </w:p>
        </w:tc>
        <w:tc>
          <w:tcPr>
            <w:tcW w:w="161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排放量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83" w:hRule="atLeast"/>
        </w:trPr>
        <w:tc>
          <w:tcPr>
            <w:tcW w:w="675"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废气</w:t>
            </w:r>
          </w:p>
        </w:tc>
        <w:tc>
          <w:tcPr>
            <w:tcW w:w="846"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待宰</w:t>
            </w:r>
          </w:p>
          <w:p>
            <w:pPr>
              <w:jc w:val="center"/>
              <w:rPr>
                <w:rFonts w:hint="default" w:ascii="Times New Roman" w:hAnsi="Times New Roman" w:cs="Times New Roman"/>
              </w:rPr>
            </w:pPr>
            <w:r>
              <w:rPr>
                <w:rFonts w:hint="default" w:ascii="Times New Roman" w:hAnsi="Times New Roman" w:cs="Times New Roman"/>
              </w:rPr>
              <w:t>区、屠</w:t>
            </w:r>
          </w:p>
          <w:p>
            <w:pPr>
              <w:jc w:val="center"/>
              <w:rPr>
                <w:rFonts w:hint="default" w:ascii="Times New Roman" w:hAnsi="Times New Roman" w:cs="Times New Roman"/>
              </w:rPr>
            </w:pPr>
            <w:r>
              <w:rPr>
                <w:rFonts w:hint="default" w:ascii="Times New Roman" w:hAnsi="Times New Roman" w:cs="Times New Roman"/>
              </w:rPr>
              <w:t>宰车</w:t>
            </w:r>
          </w:p>
          <w:p>
            <w:pPr>
              <w:jc w:val="center"/>
              <w:rPr>
                <w:rFonts w:hint="default" w:ascii="Times New Roman" w:hAnsi="Times New Roman" w:cs="Times New Roman"/>
              </w:rPr>
            </w:pPr>
            <w:r>
              <w:rPr>
                <w:rFonts w:hint="default" w:ascii="Times New Roman" w:hAnsi="Times New Roman" w:cs="Times New Roman"/>
              </w:rPr>
              <w:t>间、污</w:t>
            </w:r>
          </w:p>
          <w:p>
            <w:pPr>
              <w:jc w:val="center"/>
              <w:rPr>
                <w:rFonts w:hint="default" w:ascii="Times New Roman" w:hAnsi="Times New Roman" w:cs="Times New Roman"/>
              </w:rPr>
            </w:pPr>
            <w:r>
              <w:rPr>
                <w:rFonts w:hint="default" w:ascii="Times New Roman" w:hAnsi="Times New Roman" w:cs="Times New Roman"/>
              </w:rPr>
              <w:t>水处理</w:t>
            </w:r>
          </w:p>
          <w:p>
            <w:pPr>
              <w:jc w:val="center"/>
              <w:rPr>
                <w:rFonts w:hint="default" w:ascii="Times New Roman" w:hAnsi="Times New Roman" w:cs="Times New Roman"/>
              </w:rPr>
            </w:pPr>
            <w:r>
              <w:rPr>
                <w:rFonts w:hint="default" w:ascii="Times New Roman" w:hAnsi="Times New Roman" w:cs="Times New Roman"/>
              </w:rPr>
              <w:t>站</w:t>
            </w:r>
          </w:p>
        </w:tc>
        <w:tc>
          <w:tcPr>
            <w:tcW w:w="756"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有组</w:t>
            </w:r>
          </w:p>
          <w:p>
            <w:pPr>
              <w:jc w:val="center"/>
              <w:rPr>
                <w:rFonts w:hint="default" w:ascii="Times New Roman" w:hAnsi="Times New Roman" w:cs="Times New Roman"/>
              </w:rPr>
            </w:pPr>
            <w:r>
              <w:rPr>
                <w:rFonts w:hint="default" w:ascii="Times New Roman" w:hAnsi="Times New Roman" w:cs="Times New Roman"/>
              </w:rPr>
              <w:t>织</w:t>
            </w: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1274"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0.285</w:t>
            </w:r>
            <w:r>
              <w:rPr>
                <w:rFonts w:hint="default" w:ascii="Times New Roman" w:hAnsi="Times New Roman" w:cs="Times New Roman"/>
              </w:rPr>
              <w:t>t/a、</w:t>
            </w:r>
          </w:p>
          <w:p>
            <w:pPr>
              <w:jc w:val="center"/>
              <w:rPr>
                <w:rFonts w:hint="default" w:ascii="Times New Roman" w:hAnsi="Times New Roman" w:cs="Times New Roman"/>
              </w:rPr>
            </w:pPr>
            <w:r>
              <w:rPr>
                <w:rFonts w:hint="default" w:ascii="Times New Roman" w:hAnsi="Times New Roman" w:cs="Times New Roman"/>
              </w:rPr>
              <w:t>0.0</w:t>
            </w:r>
            <w:r>
              <w:rPr>
                <w:rFonts w:hint="eastAsia" w:ascii="Times New Roman" w:hAnsi="Times New Roman" w:eastAsia="宋体" w:cs="Times New Roman"/>
                <w:lang w:val="en-US" w:eastAsia="zh-CN"/>
              </w:rPr>
              <w:t>459</w:t>
            </w:r>
            <w:r>
              <w:rPr>
                <w:rFonts w:hint="default" w:ascii="Times New Roman" w:hAnsi="Times New Roman" w:cs="Times New Roman"/>
              </w:rPr>
              <w:t>kg/h</w:t>
            </w:r>
          </w:p>
        </w:tc>
        <w:tc>
          <w:tcPr>
            <w:tcW w:w="1349"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0.0285</w:t>
            </w:r>
            <w:r>
              <w:rPr>
                <w:rFonts w:hint="default" w:ascii="Times New Roman" w:hAnsi="Times New Roman" w:cs="Times New Roman"/>
              </w:rPr>
              <w:t>t/a、</w:t>
            </w:r>
          </w:p>
          <w:p>
            <w:pPr>
              <w:jc w:val="center"/>
              <w:rPr>
                <w:rFonts w:hint="default" w:ascii="Times New Roman" w:hAnsi="Times New Roman" w:cs="Times New Roman"/>
              </w:rPr>
            </w:pPr>
            <w:r>
              <w:rPr>
                <w:rFonts w:hint="default" w:ascii="Times New Roman" w:hAnsi="Times New Roman" w:cs="Times New Roman"/>
              </w:rPr>
              <w:t>0.004</w:t>
            </w:r>
            <w:r>
              <w:rPr>
                <w:rFonts w:hint="eastAsia" w:ascii="Times New Roman" w:hAnsi="Times New Roman" w:eastAsia="宋体" w:cs="Times New Roman"/>
                <w:lang w:val="en-US" w:eastAsia="zh-CN"/>
              </w:rPr>
              <w:t>6</w:t>
            </w:r>
            <w:r>
              <w:rPr>
                <w:rFonts w:hint="default" w:ascii="Times New Roman" w:hAnsi="Times New Roman" w:cs="Times New Roman"/>
              </w:rPr>
              <w:t>kg/h</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1033"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756" w:type="dxa"/>
            <w:vMerge w:val="continue"/>
            <w:tcBorders>
              <w:tl2br w:val="nil"/>
              <w:tr2bl w:val="nil"/>
            </w:tcBorders>
            <w:vAlign w:val="center"/>
          </w:tcPr>
          <w:p>
            <w:pPr>
              <w:jc w:val="center"/>
              <w:rPr>
                <w:rFonts w:hint="default" w:ascii="Times New Roman" w:hAnsi="Times New Roman" w:cs="Times New Roman"/>
              </w:rPr>
            </w:pP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1274"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0.0189</w:t>
            </w:r>
            <w:r>
              <w:rPr>
                <w:rFonts w:hint="default" w:ascii="Times New Roman" w:hAnsi="Times New Roman" w:cs="Times New Roman"/>
              </w:rPr>
              <w:t>t/a、</w:t>
            </w:r>
          </w:p>
          <w:p>
            <w:pPr>
              <w:jc w:val="center"/>
              <w:rPr>
                <w:rFonts w:hint="default" w:ascii="Times New Roman" w:hAnsi="Times New Roman" w:cs="Times New Roman"/>
              </w:rPr>
            </w:pPr>
            <w:r>
              <w:rPr>
                <w:rFonts w:hint="default" w:ascii="Times New Roman" w:hAnsi="Times New Roman" w:cs="Times New Roman"/>
              </w:rPr>
              <w:t>0.00</w:t>
            </w:r>
            <w:r>
              <w:rPr>
                <w:rFonts w:hint="eastAsia" w:ascii="Times New Roman" w:hAnsi="Times New Roman" w:eastAsia="宋体" w:cs="Times New Roman"/>
                <w:lang w:val="en-US" w:eastAsia="zh-CN"/>
              </w:rPr>
              <w:t>345</w:t>
            </w:r>
            <w:r>
              <w:rPr>
                <w:rFonts w:hint="default" w:ascii="Times New Roman" w:hAnsi="Times New Roman" w:cs="Times New Roman"/>
              </w:rPr>
              <w:t>kg/h</w:t>
            </w:r>
          </w:p>
        </w:tc>
        <w:tc>
          <w:tcPr>
            <w:tcW w:w="1349"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0.00189</w:t>
            </w:r>
            <w:r>
              <w:rPr>
                <w:rFonts w:hint="default" w:ascii="Times New Roman" w:hAnsi="Times New Roman" w:cs="Times New Roman"/>
              </w:rPr>
              <w:t>t/a、</w:t>
            </w:r>
          </w:p>
          <w:p>
            <w:pPr>
              <w:jc w:val="center"/>
              <w:rPr>
                <w:rFonts w:hint="default" w:ascii="Times New Roman" w:hAnsi="Times New Roman" w:cs="Times New Roman"/>
              </w:rPr>
            </w:pPr>
            <w:r>
              <w:rPr>
                <w:rFonts w:hint="eastAsia" w:ascii="Times New Roman" w:hAnsi="Times New Roman" w:eastAsia="宋体" w:cs="Times New Roman"/>
                <w:lang w:val="en-US" w:eastAsia="zh-CN"/>
              </w:rPr>
              <w:t>0.000345</w:t>
            </w:r>
            <w:r>
              <w:rPr>
                <w:rFonts w:hint="default" w:ascii="Times New Roman" w:hAnsi="Times New Roman" w:cs="Times New Roman"/>
              </w:rPr>
              <w:t>kg/h</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739"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756"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无组</w:t>
            </w:r>
          </w:p>
          <w:p>
            <w:pPr>
              <w:jc w:val="center"/>
              <w:rPr>
                <w:rFonts w:hint="default" w:ascii="Times New Roman" w:hAnsi="Times New Roman" w:cs="Times New Roman"/>
              </w:rPr>
            </w:pPr>
            <w:r>
              <w:rPr>
                <w:rFonts w:hint="default" w:ascii="Times New Roman" w:hAnsi="Times New Roman" w:cs="Times New Roman"/>
              </w:rPr>
              <w:t>织</w:t>
            </w: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12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0.27</w:t>
            </w:r>
            <w:r>
              <w:rPr>
                <w:rFonts w:hint="default" w:ascii="Times New Roman" w:hAnsi="Times New Roman" w:cs="Times New Roman"/>
              </w:rPr>
              <w:t>t/a、</w:t>
            </w:r>
          </w:p>
          <w:p>
            <w:pPr>
              <w:jc w:val="center"/>
              <w:rPr>
                <w:rFonts w:hint="default" w:ascii="Times New Roman" w:hAnsi="Times New Roman" w:cs="Times New Roman"/>
              </w:rPr>
            </w:pPr>
            <w:r>
              <w:rPr>
                <w:rFonts w:hint="default" w:ascii="Times New Roman" w:hAnsi="Times New Roman" w:cs="Times New Roman"/>
              </w:rPr>
              <w:t>0.0</w:t>
            </w:r>
            <w:r>
              <w:rPr>
                <w:rFonts w:hint="eastAsia" w:ascii="Times New Roman" w:hAnsi="Times New Roman" w:eastAsia="宋体" w:cs="Times New Roman"/>
                <w:lang w:val="en-US" w:eastAsia="zh-CN"/>
              </w:rPr>
              <w:t>352</w:t>
            </w:r>
            <w:r>
              <w:rPr>
                <w:rFonts w:hint="default" w:ascii="Times New Roman" w:hAnsi="Times New Roman" w:cs="Times New Roman"/>
              </w:rPr>
              <w:t>kg/h</w:t>
            </w:r>
          </w:p>
        </w:tc>
        <w:tc>
          <w:tcPr>
            <w:tcW w:w="13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0.108</w:t>
            </w:r>
            <w:r>
              <w:rPr>
                <w:rFonts w:hint="default" w:ascii="Times New Roman" w:hAnsi="Times New Roman" w:cs="Times New Roman"/>
              </w:rPr>
              <w:t>t/a、</w:t>
            </w:r>
          </w:p>
          <w:p>
            <w:pPr>
              <w:jc w:val="center"/>
              <w:rPr>
                <w:rFonts w:hint="default" w:ascii="Times New Roman" w:hAnsi="Times New Roman" w:cs="Times New Roman"/>
              </w:rPr>
            </w:pPr>
            <w:r>
              <w:rPr>
                <w:rFonts w:hint="default" w:ascii="Times New Roman" w:hAnsi="Times New Roman" w:cs="Times New Roman"/>
              </w:rPr>
              <w:t>0.0</w:t>
            </w:r>
            <w:r>
              <w:rPr>
                <w:rFonts w:hint="eastAsia" w:ascii="Times New Roman" w:hAnsi="Times New Roman" w:eastAsia="宋体" w:cs="Times New Roman"/>
                <w:lang w:val="en-US" w:eastAsia="zh-CN"/>
              </w:rPr>
              <w:t>14</w:t>
            </w:r>
            <w:r>
              <w:rPr>
                <w:rFonts w:hint="default" w:ascii="Times New Roman" w:hAnsi="Times New Roman" w:cs="Times New Roman"/>
              </w:rPr>
              <w:t>kg/h</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756" w:type="dxa"/>
            <w:vMerge w:val="continue"/>
            <w:tcBorders>
              <w:tl2br w:val="nil"/>
              <w:tr2bl w:val="nil"/>
            </w:tcBorders>
            <w:vAlign w:val="center"/>
          </w:tcPr>
          <w:p>
            <w:pPr>
              <w:jc w:val="center"/>
              <w:rPr>
                <w:rFonts w:hint="default" w:ascii="Times New Roman" w:hAnsi="Times New Roman" w:cs="Times New Roman"/>
              </w:rPr>
            </w:pP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12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0.0226</w:t>
            </w:r>
            <w:r>
              <w:rPr>
                <w:rFonts w:hint="default" w:ascii="Times New Roman" w:hAnsi="Times New Roman" w:cs="Times New Roman"/>
              </w:rPr>
              <w:t>t/a、</w:t>
            </w:r>
          </w:p>
          <w:p>
            <w:pPr>
              <w:jc w:val="center"/>
              <w:rPr>
                <w:rFonts w:hint="default" w:ascii="Times New Roman" w:hAnsi="Times New Roman" w:cs="Times New Roman"/>
              </w:rPr>
            </w:pPr>
            <w:r>
              <w:rPr>
                <w:rFonts w:hint="eastAsia" w:ascii="Times New Roman" w:hAnsi="Times New Roman" w:eastAsia="宋体" w:cs="Times New Roman"/>
                <w:lang w:val="en-US" w:eastAsia="zh-CN"/>
              </w:rPr>
              <w:t>0.00295</w:t>
            </w:r>
            <w:r>
              <w:rPr>
                <w:rFonts w:hint="default" w:ascii="Times New Roman" w:hAnsi="Times New Roman" w:cs="Times New Roman"/>
              </w:rPr>
              <w:t>kg/h</w:t>
            </w:r>
          </w:p>
        </w:tc>
        <w:tc>
          <w:tcPr>
            <w:tcW w:w="13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0.0091</w:t>
            </w:r>
            <w:r>
              <w:rPr>
                <w:rFonts w:hint="default" w:ascii="Times New Roman" w:hAnsi="Times New Roman" w:cs="Times New Roman"/>
              </w:rPr>
              <w:t>t/a、</w:t>
            </w:r>
          </w:p>
          <w:p>
            <w:pPr>
              <w:jc w:val="center"/>
              <w:rPr>
                <w:rFonts w:hint="default" w:ascii="Times New Roman" w:hAnsi="Times New Roman" w:cs="Times New Roman"/>
              </w:rPr>
            </w:pPr>
            <w:r>
              <w:rPr>
                <w:rFonts w:hint="eastAsia" w:ascii="Times New Roman" w:hAnsi="Times New Roman" w:eastAsia="宋体" w:cs="Times New Roman"/>
                <w:lang w:val="en-US" w:eastAsia="zh-CN"/>
              </w:rPr>
              <w:t>0.00118</w:t>
            </w:r>
            <w:r>
              <w:rPr>
                <w:rFonts w:hint="default" w:ascii="Times New Roman" w:hAnsi="Times New Roman" w:cs="Times New Roman"/>
              </w:rPr>
              <w:t>kg/h</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1602" w:type="dxa"/>
            <w:gridSpan w:val="2"/>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职工食堂</w:t>
            </w: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油烟</w:t>
            </w:r>
          </w:p>
        </w:tc>
        <w:tc>
          <w:tcPr>
            <w:tcW w:w="1274"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5.29</w:t>
            </w:r>
            <w:r>
              <w:rPr>
                <w:rFonts w:hint="default" w:ascii="Times New Roman" w:hAnsi="Times New Roman" w:cs="Times New Roman"/>
              </w:rPr>
              <w:t>mg/m</w:t>
            </w:r>
            <w:r>
              <w:rPr>
                <w:rFonts w:hint="default" w:ascii="Times New Roman" w:hAnsi="Times New Roman" w:cs="Times New Roman"/>
                <w:vertAlign w:val="superscript"/>
              </w:rPr>
              <w:t>3</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14.4kg</w:t>
            </w:r>
            <w:r>
              <w:rPr>
                <w:rFonts w:hint="default" w:ascii="Times New Roman" w:hAnsi="Times New Roman" w:cs="Times New Roman"/>
              </w:rPr>
              <w:t>/a</w:t>
            </w:r>
          </w:p>
        </w:tc>
        <w:tc>
          <w:tcPr>
            <w:tcW w:w="13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0.</w:t>
            </w:r>
            <w:r>
              <w:rPr>
                <w:rFonts w:hint="eastAsia" w:ascii="Times New Roman" w:hAnsi="Times New Roman" w:eastAsia="宋体" w:cs="Times New Roman"/>
                <w:lang w:val="en-US" w:eastAsia="zh-CN"/>
              </w:rPr>
              <w:t>5</w:t>
            </w:r>
            <w:r>
              <w:rPr>
                <w:rFonts w:hint="default" w:ascii="Times New Roman" w:hAnsi="Times New Roman" w:cs="Times New Roman"/>
              </w:rPr>
              <w:t>3mg/m3</w:t>
            </w:r>
          </w:p>
        </w:tc>
        <w:tc>
          <w:tcPr>
            <w:tcW w:w="1616"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1.44kg</w:t>
            </w:r>
            <w:r>
              <w:rPr>
                <w:rFonts w:hint="default" w:ascii="Times New Roman" w:hAnsi="Times New Roman" w:cs="Times New Roman"/>
              </w:rPr>
              <w: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74" w:hRule="atLeast"/>
        </w:trPr>
        <w:tc>
          <w:tcPr>
            <w:tcW w:w="675"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废水</w:t>
            </w:r>
          </w:p>
        </w:tc>
        <w:tc>
          <w:tcPr>
            <w:tcW w:w="1602" w:type="dxa"/>
            <w:gridSpan w:val="2"/>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污水站</w:t>
            </w:r>
          </w:p>
          <w:p>
            <w:pPr>
              <w:jc w:val="center"/>
              <w:rPr>
                <w:rFonts w:hint="default" w:ascii="Times New Roman" w:hAnsi="Times New Roman" w:cs="Times New Roman"/>
              </w:rPr>
            </w:pPr>
            <w:r>
              <w:rPr>
                <w:rFonts w:hint="default" w:ascii="Times New Roman" w:hAnsi="Times New Roman" w:cs="Times New Roman"/>
              </w:rPr>
              <w:t>1</w:t>
            </w:r>
            <w:r>
              <w:rPr>
                <w:rFonts w:hint="eastAsia" w:ascii="Times New Roman" w:hAnsi="Times New Roman" w:eastAsia="宋体" w:cs="Times New Roman"/>
                <w:lang w:val="en-US" w:eastAsia="zh-CN"/>
              </w:rPr>
              <w:t>32.73</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p>
          <w:p>
            <w:pPr>
              <w:jc w:val="center"/>
              <w:rPr>
                <w:rFonts w:hint="default" w:ascii="Times New Roman" w:hAnsi="Times New Roman" w:cs="Times New Roman"/>
              </w:rPr>
            </w:pPr>
            <w:r>
              <w:rPr>
                <w:rFonts w:hint="eastAsia" w:ascii="Times New Roman" w:hAnsi="Times New Roman" w:eastAsia="宋体" w:cs="Times New Roman"/>
                <w:lang w:val="en-US" w:eastAsia="zh-CN"/>
              </w:rPr>
              <w:t>42473.6</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w:t>
            </w: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COD</w:t>
            </w:r>
          </w:p>
        </w:tc>
        <w:tc>
          <w:tcPr>
            <w:tcW w:w="127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b w:val="0"/>
                <w:bCs w:val="0"/>
                <w:snapToGrid w:val="0"/>
                <w:color w:val="000000"/>
                <w:kern w:val="0"/>
                <w:sz w:val="20"/>
                <w:szCs w:val="20"/>
                <w:u w:val="none" w:color="auto"/>
                <w:lang w:val="en-US" w:eastAsia="en-US" w:bidi="ar-SA"/>
              </w:rPr>
            </w:pPr>
            <w:r>
              <w:rPr>
                <w:rFonts w:ascii="Times New Roman" w:hAnsi="Times New Roman" w:eastAsia="Times New Roman" w:cs="Times New Roman"/>
                <w:b w:val="0"/>
                <w:bCs w:val="0"/>
                <w:spacing w:val="4"/>
                <w:sz w:val="20"/>
                <w:szCs w:val="20"/>
                <w:u w:val="none" w:color="auto"/>
              </w:rPr>
              <w:t>19</w:t>
            </w:r>
            <w:r>
              <w:rPr>
                <w:rFonts w:hint="eastAsia" w:ascii="Times New Roman" w:hAnsi="Times New Roman" w:eastAsia="宋体" w:cs="Times New Roman"/>
                <w:b w:val="0"/>
                <w:bCs w:val="0"/>
                <w:spacing w:val="4"/>
                <w:sz w:val="20"/>
                <w:szCs w:val="20"/>
                <w:u w:val="none" w:color="auto"/>
                <w:lang w:val="en-US" w:eastAsia="zh-CN"/>
              </w:rPr>
              <w:t>16</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56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81.4</w:t>
            </w:r>
            <w:r>
              <w:rPr>
                <w:rFonts w:ascii="Times New Roman" w:hAnsi="Times New Roman" w:eastAsia="Times New Roman" w:cs="Times New Roman"/>
                <w:b w:val="0"/>
                <w:bCs w:val="0"/>
                <w:spacing w:val="2"/>
                <w:sz w:val="20"/>
                <w:szCs w:val="20"/>
                <w:u w:val="none" w:color="auto"/>
              </w:rPr>
              <w:t>t/a</w:t>
            </w:r>
          </w:p>
        </w:tc>
        <w:tc>
          <w:tcPr>
            <w:tcW w:w="1349"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222.</w:t>
            </w:r>
            <w:r>
              <w:rPr>
                <w:rFonts w:hint="eastAsia" w:ascii="Times New Roman" w:hAnsi="Times New Roman" w:eastAsia="宋体" w:cs="Times New Roman"/>
                <w:sz w:val="20"/>
                <w:szCs w:val="20"/>
                <w:lang w:val="en-US" w:eastAsia="zh-CN"/>
              </w:rPr>
              <w:t>2</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16"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9.4</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9"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1602" w:type="dxa"/>
            <w:gridSpan w:val="2"/>
            <w:vMerge w:val="continue"/>
            <w:tcBorders>
              <w:tl2br w:val="nil"/>
              <w:tr2bl w:val="nil"/>
            </w:tcBorders>
            <w:vAlign w:val="center"/>
          </w:tcPr>
          <w:p>
            <w:pPr>
              <w:jc w:val="center"/>
              <w:rPr>
                <w:rFonts w:hint="default" w:ascii="Times New Roman" w:hAnsi="Times New Roman" w:cs="Times New Roman"/>
              </w:rPr>
            </w:pP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127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b w:val="0"/>
                <w:bCs w:val="0"/>
                <w:snapToGrid w:val="0"/>
                <w:color w:val="000000"/>
                <w:kern w:val="0"/>
                <w:sz w:val="20"/>
                <w:szCs w:val="20"/>
                <w:u w:val="none" w:color="auto"/>
                <w:lang w:val="en-US" w:eastAsia="en-US" w:bidi="ar-SA"/>
              </w:rPr>
            </w:pPr>
            <w:r>
              <w:rPr>
                <w:rFonts w:ascii="Times New Roman" w:hAnsi="Times New Roman" w:eastAsia="Times New Roman" w:cs="Times New Roman"/>
                <w:b w:val="0"/>
                <w:bCs w:val="0"/>
                <w:spacing w:val="5"/>
                <w:sz w:val="20"/>
                <w:szCs w:val="20"/>
                <w:u w:val="none" w:color="auto"/>
              </w:rPr>
              <w:t>86</w:t>
            </w:r>
            <w:r>
              <w:rPr>
                <w:rFonts w:hint="eastAsia" w:ascii="Times New Roman" w:hAnsi="Times New Roman" w:eastAsia="宋体" w:cs="Times New Roman"/>
                <w:b w:val="0"/>
                <w:bCs w:val="0"/>
                <w:spacing w:val="5"/>
                <w:sz w:val="20"/>
                <w:szCs w:val="20"/>
                <w:u w:val="none" w:color="auto"/>
                <w:lang w:val="en-US" w:eastAsia="zh-CN"/>
              </w:rPr>
              <w:t>7</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5"/>
                <w:sz w:val="20"/>
                <w:szCs w:val="20"/>
                <w:u w:val="none" w:color="auto"/>
              </w:rPr>
              <w:t>/L</w:t>
            </w:r>
          </w:p>
        </w:tc>
        <w:tc>
          <w:tcPr>
            <w:tcW w:w="156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36.8</w:t>
            </w:r>
            <w:r>
              <w:rPr>
                <w:rFonts w:ascii="Times New Roman" w:hAnsi="Times New Roman" w:eastAsia="Times New Roman" w:cs="Times New Roman"/>
                <w:b w:val="0"/>
                <w:bCs w:val="0"/>
                <w:spacing w:val="2"/>
                <w:sz w:val="20"/>
                <w:szCs w:val="20"/>
                <w:u w:val="none" w:color="auto"/>
              </w:rPr>
              <w:t>t/a</w:t>
            </w:r>
          </w:p>
        </w:tc>
        <w:tc>
          <w:tcPr>
            <w:tcW w:w="1349"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10</w:t>
            </w:r>
            <w:r>
              <w:rPr>
                <w:rFonts w:hint="eastAsia" w:ascii="Times New Roman" w:hAnsi="Times New Roman" w:eastAsia="宋体" w:cs="Times New Roman"/>
                <w:sz w:val="20"/>
                <w:szCs w:val="20"/>
                <w:lang w:val="en-US" w:eastAsia="zh-CN"/>
              </w:rPr>
              <w:t>4</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16"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4.4</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58"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1602" w:type="dxa"/>
            <w:gridSpan w:val="2"/>
            <w:vMerge w:val="continue"/>
            <w:tcBorders>
              <w:tl2br w:val="nil"/>
              <w:tr2bl w:val="nil"/>
            </w:tcBorders>
            <w:vAlign w:val="center"/>
          </w:tcPr>
          <w:p>
            <w:pPr>
              <w:jc w:val="center"/>
              <w:rPr>
                <w:rFonts w:hint="default" w:ascii="Times New Roman" w:hAnsi="Times New Roman" w:cs="Times New Roman"/>
              </w:rPr>
            </w:pP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SS</w:t>
            </w:r>
          </w:p>
        </w:tc>
        <w:tc>
          <w:tcPr>
            <w:tcW w:w="127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b w:val="0"/>
                <w:bCs w:val="0"/>
                <w:snapToGrid w:val="0"/>
                <w:color w:val="000000"/>
                <w:kern w:val="0"/>
                <w:sz w:val="20"/>
                <w:szCs w:val="20"/>
                <w:u w:val="none" w:color="auto"/>
                <w:lang w:val="en-US" w:eastAsia="en-US" w:bidi="ar-SA"/>
              </w:rPr>
            </w:pPr>
            <w:r>
              <w:rPr>
                <w:rFonts w:ascii="Times New Roman" w:hAnsi="Times New Roman" w:eastAsia="Times New Roman" w:cs="Times New Roman"/>
                <w:b w:val="0"/>
                <w:bCs w:val="0"/>
                <w:spacing w:val="5"/>
                <w:sz w:val="20"/>
                <w:szCs w:val="20"/>
                <w:u w:val="none" w:color="auto"/>
              </w:rPr>
              <w:t>9</w:t>
            </w:r>
            <w:r>
              <w:rPr>
                <w:rFonts w:hint="eastAsia" w:ascii="Times New Roman" w:hAnsi="Times New Roman" w:eastAsia="宋体" w:cs="Times New Roman"/>
                <w:b w:val="0"/>
                <w:bCs w:val="0"/>
                <w:spacing w:val="5"/>
                <w:sz w:val="20"/>
                <w:szCs w:val="20"/>
                <w:u w:val="none" w:color="auto"/>
                <w:lang w:val="en-US" w:eastAsia="zh-CN"/>
              </w:rPr>
              <w:t>62</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5"/>
                <w:sz w:val="20"/>
                <w:szCs w:val="20"/>
                <w:u w:val="none" w:color="auto"/>
              </w:rPr>
              <w:t>/L</w:t>
            </w:r>
          </w:p>
        </w:tc>
        <w:tc>
          <w:tcPr>
            <w:tcW w:w="156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40.8</w:t>
            </w:r>
            <w:r>
              <w:rPr>
                <w:rFonts w:ascii="Times New Roman" w:hAnsi="Times New Roman" w:eastAsia="Times New Roman" w:cs="Times New Roman"/>
                <w:b w:val="0"/>
                <w:bCs w:val="0"/>
                <w:spacing w:val="2"/>
                <w:sz w:val="20"/>
                <w:szCs w:val="20"/>
                <w:u w:val="none" w:color="auto"/>
              </w:rPr>
              <w:t>t/a</w:t>
            </w:r>
          </w:p>
        </w:tc>
        <w:tc>
          <w:tcPr>
            <w:tcW w:w="1349"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92.4</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16"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3.9</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1602" w:type="dxa"/>
            <w:gridSpan w:val="2"/>
            <w:vMerge w:val="continue"/>
            <w:tcBorders>
              <w:tl2br w:val="nil"/>
              <w:tr2bl w:val="nil"/>
            </w:tcBorders>
            <w:vAlign w:val="center"/>
          </w:tcPr>
          <w:p>
            <w:pPr>
              <w:jc w:val="center"/>
              <w:rPr>
                <w:rFonts w:hint="default" w:ascii="Times New Roman" w:hAnsi="Times New Roman" w:cs="Times New Roman"/>
              </w:rPr>
            </w:pP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c>
          <w:tcPr>
            <w:tcW w:w="127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b w:val="0"/>
                <w:bCs w:val="0"/>
                <w:snapToGrid w:val="0"/>
                <w:color w:val="000000"/>
                <w:kern w:val="0"/>
                <w:sz w:val="20"/>
                <w:szCs w:val="20"/>
                <w:u w:val="none" w:color="auto"/>
                <w:lang w:val="en-US" w:eastAsia="en-US" w:bidi="ar-SA"/>
              </w:rPr>
            </w:pPr>
            <w:r>
              <w:rPr>
                <w:rFonts w:ascii="Times New Roman" w:hAnsi="Times New Roman" w:eastAsia="Times New Roman" w:cs="Times New Roman"/>
                <w:b w:val="0"/>
                <w:bCs w:val="0"/>
                <w:spacing w:val="6"/>
                <w:sz w:val="20"/>
                <w:szCs w:val="20"/>
                <w:u w:val="none" w:color="auto"/>
              </w:rPr>
              <w:t>9</w:t>
            </w:r>
            <w:r>
              <w:rPr>
                <w:rFonts w:hint="eastAsia" w:ascii="Times New Roman" w:hAnsi="Times New Roman" w:eastAsia="宋体" w:cs="Times New Roman"/>
                <w:b w:val="0"/>
                <w:bCs w:val="0"/>
                <w:spacing w:val="6"/>
                <w:sz w:val="20"/>
                <w:szCs w:val="20"/>
                <w:u w:val="none" w:color="auto"/>
                <w:lang w:val="en-US" w:eastAsia="zh-CN"/>
              </w:rPr>
              <w:t>6</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6"/>
                <w:sz w:val="20"/>
                <w:szCs w:val="20"/>
                <w:u w:val="none" w:color="auto"/>
              </w:rPr>
              <w:t>/L</w:t>
            </w:r>
          </w:p>
        </w:tc>
        <w:tc>
          <w:tcPr>
            <w:tcW w:w="156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4.</w:t>
            </w:r>
            <w:r>
              <w:rPr>
                <w:rFonts w:hint="eastAsia" w:ascii="Times New Roman" w:hAnsi="Times New Roman" w:eastAsia="宋体" w:cs="Times New Roman"/>
                <w:sz w:val="20"/>
                <w:szCs w:val="20"/>
                <w:lang w:val="en-US" w:eastAsia="zh-CN"/>
              </w:rPr>
              <w:t>1</w:t>
            </w:r>
            <w:r>
              <w:rPr>
                <w:rFonts w:ascii="Times New Roman" w:hAnsi="Times New Roman" w:eastAsia="Times New Roman" w:cs="Times New Roman"/>
                <w:b w:val="0"/>
                <w:bCs w:val="0"/>
                <w:spacing w:val="2"/>
                <w:sz w:val="20"/>
                <w:szCs w:val="20"/>
                <w:u w:val="none" w:color="auto"/>
              </w:rPr>
              <w:t>t/a</w:t>
            </w:r>
          </w:p>
        </w:tc>
        <w:tc>
          <w:tcPr>
            <w:tcW w:w="1349"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18.2</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16"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0.</w:t>
            </w:r>
            <w:r>
              <w:rPr>
                <w:rFonts w:hint="eastAsia" w:ascii="Times New Roman" w:hAnsi="Times New Roman" w:eastAsia="宋体" w:cs="Times New Roman"/>
                <w:sz w:val="20"/>
                <w:szCs w:val="20"/>
                <w:lang w:val="en-US" w:eastAsia="zh-CN"/>
              </w:rPr>
              <w:t>78</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1602" w:type="dxa"/>
            <w:gridSpan w:val="2"/>
            <w:vMerge w:val="continue"/>
            <w:tcBorders>
              <w:tl2br w:val="nil"/>
              <w:tr2bl w:val="nil"/>
            </w:tcBorders>
            <w:vAlign w:val="center"/>
          </w:tcPr>
          <w:p>
            <w:pPr>
              <w:jc w:val="center"/>
              <w:rPr>
                <w:rFonts w:hint="default" w:ascii="Times New Roman" w:hAnsi="Times New Roman" w:cs="Times New Roman"/>
              </w:rPr>
            </w:pP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总磷</w:t>
            </w:r>
          </w:p>
        </w:tc>
        <w:tc>
          <w:tcPr>
            <w:tcW w:w="127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b w:val="0"/>
                <w:bCs w:val="0"/>
                <w:snapToGrid w:val="0"/>
                <w:color w:val="000000"/>
                <w:kern w:val="0"/>
                <w:sz w:val="20"/>
                <w:szCs w:val="20"/>
                <w:u w:val="none" w:color="auto"/>
                <w:lang w:val="en-US" w:eastAsia="en-US" w:bidi="ar-SA"/>
              </w:rPr>
            </w:pPr>
            <w:r>
              <w:rPr>
                <w:rFonts w:ascii="Times New Roman" w:hAnsi="Times New Roman" w:eastAsia="Times New Roman" w:cs="Times New Roman"/>
                <w:b w:val="0"/>
                <w:bCs w:val="0"/>
                <w:spacing w:val="4"/>
                <w:sz w:val="20"/>
                <w:szCs w:val="20"/>
                <w:u w:val="none" w:color="auto"/>
              </w:rPr>
              <w:t>1</w:t>
            </w:r>
            <w:r>
              <w:rPr>
                <w:rFonts w:hint="eastAsia" w:ascii="Times New Roman" w:hAnsi="Times New Roman" w:eastAsia="宋体" w:cs="Times New Roman"/>
                <w:b w:val="0"/>
                <w:bCs w:val="0"/>
                <w:spacing w:val="4"/>
                <w:sz w:val="20"/>
                <w:szCs w:val="20"/>
                <w:u w:val="none" w:color="auto"/>
                <w:lang w:val="en-US" w:eastAsia="zh-CN"/>
              </w:rPr>
              <w:t>0</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56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0.</w:t>
            </w:r>
            <w:r>
              <w:rPr>
                <w:rFonts w:hint="eastAsia" w:ascii="Times New Roman" w:hAnsi="Times New Roman" w:eastAsia="宋体" w:cs="Times New Roman"/>
                <w:sz w:val="20"/>
                <w:szCs w:val="20"/>
                <w:lang w:val="en-US" w:eastAsia="zh-CN"/>
              </w:rPr>
              <w:t>42</w:t>
            </w:r>
            <w:r>
              <w:rPr>
                <w:rFonts w:ascii="Times New Roman" w:hAnsi="Times New Roman" w:eastAsia="Times New Roman" w:cs="Times New Roman"/>
                <w:b w:val="0"/>
                <w:bCs w:val="0"/>
                <w:spacing w:val="2"/>
                <w:sz w:val="20"/>
                <w:szCs w:val="20"/>
                <w:u w:val="none" w:color="auto"/>
              </w:rPr>
              <w:t>t/a</w:t>
            </w:r>
          </w:p>
        </w:tc>
        <w:tc>
          <w:tcPr>
            <w:tcW w:w="1349"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1.6</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16"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0.0</w:t>
            </w:r>
            <w:r>
              <w:rPr>
                <w:rFonts w:hint="eastAsia" w:ascii="Times New Roman" w:hAnsi="Times New Roman" w:eastAsia="宋体" w:cs="Times New Roman"/>
                <w:sz w:val="20"/>
                <w:szCs w:val="20"/>
                <w:lang w:val="en-US" w:eastAsia="zh-CN"/>
              </w:rPr>
              <w:t>7</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1602" w:type="dxa"/>
            <w:gridSpan w:val="2"/>
            <w:vMerge w:val="continue"/>
            <w:tcBorders>
              <w:tl2br w:val="nil"/>
              <w:tr2bl w:val="nil"/>
            </w:tcBorders>
            <w:vAlign w:val="center"/>
          </w:tcPr>
          <w:p>
            <w:pPr>
              <w:jc w:val="center"/>
              <w:rPr>
                <w:rFonts w:hint="default" w:ascii="Times New Roman" w:hAnsi="Times New Roman" w:cs="Times New Roman"/>
              </w:rPr>
            </w:pP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总氮</w:t>
            </w:r>
          </w:p>
        </w:tc>
        <w:tc>
          <w:tcPr>
            <w:tcW w:w="127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b w:val="0"/>
                <w:bCs w:val="0"/>
                <w:snapToGrid w:val="0"/>
                <w:color w:val="000000"/>
                <w:kern w:val="0"/>
                <w:sz w:val="20"/>
                <w:szCs w:val="20"/>
                <w:u w:val="none" w:color="auto"/>
                <w:lang w:val="en-US" w:eastAsia="en-US" w:bidi="ar-SA"/>
              </w:rPr>
            </w:pPr>
            <w:r>
              <w:rPr>
                <w:rFonts w:hint="eastAsia" w:ascii="Times New Roman" w:hAnsi="Times New Roman" w:eastAsia="宋体" w:cs="Times New Roman"/>
                <w:b w:val="0"/>
                <w:bCs w:val="0"/>
                <w:spacing w:val="4"/>
                <w:sz w:val="20"/>
                <w:szCs w:val="20"/>
                <w:u w:val="none" w:color="auto"/>
                <w:lang w:val="en-US" w:eastAsia="zh-CN"/>
              </w:rPr>
              <w:t>99</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56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4.2</w:t>
            </w:r>
            <w:r>
              <w:rPr>
                <w:rFonts w:ascii="Times New Roman" w:hAnsi="Times New Roman" w:eastAsia="Times New Roman" w:cs="Times New Roman"/>
                <w:b w:val="0"/>
                <w:bCs w:val="0"/>
                <w:spacing w:val="2"/>
                <w:sz w:val="20"/>
                <w:szCs w:val="20"/>
                <w:u w:val="none" w:color="auto"/>
              </w:rPr>
              <w:t>t/a</w:t>
            </w:r>
          </w:p>
        </w:tc>
        <w:tc>
          <w:tcPr>
            <w:tcW w:w="1349"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16.8</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16"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default" w:ascii="Times New Roman" w:hAnsi="Times New Roman" w:cs="Times New Roman"/>
                <w:sz w:val="20"/>
                <w:szCs w:val="20"/>
              </w:rPr>
              <w:t>0.</w:t>
            </w:r>
            <w:r>
              <w:rPr>
                <w:rFonts w:hint="eastAsia" w:ascii="Times New Roman" w:hAnsi="Times New Roman" w:eastAsia="宋体" w:cs="Times New Roman"/>
                <w:sz w:val="20"/>
                <w:szCs w:val="20"/>
                <w:lang w:val="en-US" w:eastAsia="zh-CN"/>
              </w:rPr>
              <w:t>71</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1602" w:type="dxa"/>
            <w:gridSpan w:val="2"/>
            <w:vMerge w:val="continue"/>
            <w:tcBorders>
              <w:tl2br w:val="nil"/>
              <w:tr2bl w:val="nil"/>
            </w:tcBorders>
            <w:vAlign w:val="center"/>
          </w:tcPr>
          <w:p>
            <w:pPr>
              <w:jc w:val="center"/>
              <w:rPr>
                <w:rFonts w:hint="default" w:ascii="Times New Roman" w:hAnsi="Times New Roman" w:cs="Times New Roman"/>
              </w:rPr>
            </w:pPr>
          </w:p>
        </w:tc>
        <w:tc>
          <w:tcPr>
            <w:tcW w:w="98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动植物油</w:t>
            </w:r>
          </w:p>
        </w:tc>
        <w:tc>
          <w:tcPr>
            <w:tcW w:w="127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Times New Roman" w:cs="Times New Roman"/>
                <w:b w:val="0"/>
                <w:bCs w:val="0"/>
                <w:snapToGrid w:val="0"/>
                <w:color w:val="000000"/>
                <w:kern w:val="0"/>
                <w:sz w:val="20"/>
                <w:szCs w:val="20"/>
                <w:u w:val="none" w:color="auto"/>
                <w:lang w:val="en-US" w:eastAsia="en-US" w:bidi="ar-SA"/>
              </w:rPr>
            </w:pPr>
            <w:r>
              <w:rPr>
                <w:rFonts w:ascii="Times New Roman" w:hAnsi="Times New Roman" w:eastAsia="Times New Roman" w:cs="Times New Roman"/>
                <w:b w:val="0"/>
                <w:bCs w:val="0"/>
                <w:spacing w:val="4"/>
                <w:sz w:val="20"/>
                <w:szCs w:val="20"/>
                <w:u w:val="none" w:color="auto"/>
              </w:rPr>
              <w:t>1</w:t>
            </w:r>
            <w:r>
              <w:rPr>
                <w:rFonts w:hint="eastAsia" w:ascii="Times New Roman" w:hAnsi="Times New Roman" w:eastAsia="宋体" w:cs="Times New Roman"/>
                <w:b w:val="0"/>
                <w:bCs w:val="0"/>
                <w:spacing w:val="4"/>
                <w:sz w:val="20"/>
                <w:szCs w:val="20"/>
                <w:u w:val="none" w:color="auto"/>
                <w:lang w:val="en-US" w:eastAsia="zh-CN"/>
              </w:rPr>
              <w:t>44</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562"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6.1</w:t>
            </w:r>
            <w:r>
              <w:rPr>
                <w:rFonts w:ascii="Times New Roman" w:hAnsi="Times New Roman" w:eastAsia="Times New Roman" w:cs="Times New Roman"/>
                <w:b w:val="0"/>
                <w:bCs w:val="0"/>
                <w:spacing w:val="2"/>
                <w:sz w:val="20"/>
                <w:szCs w:val="20"/>
                <w:u w:val="none" w:color="auto"/>
              </w:rPr>
              <w:t>t/a</w:t>
            </w:r>
          </w:p>
        </w:tc>
        <w:tc>
          <w:tcPr>
            <w:tcW w:w="1349"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27.2</w:t>
            </w:r>
            <w:r>
              <w:rPr>
                <w:rFonts w:ascii="Times New Roman" w:hAnsi="Times New Roman" w:eastAsia="Times New Roman" w:cs="Times New Roman"/>
                <w:b w:val="0"/>
                <w:bCs w:val="0"/>
                <w:sz w:val="20"/>
                <w:szCs w:val="20"/>
                <w:u w:val="none" w:color="auto"/>
              </w:rPr>
              <w:t>mg</w:t>
            </w:r>
            <w:r>
              <w:rPr>
                <w:rFonts w:ascii="Times New Roman" w:hAnsi="Times New Roman" w:eastAsia="Times New Roman" w:cs="Times New Roman"/>
                <w:b w:val="0"/>
                <w:bCs w:val="0"/>
                <w:spacing w:val="4"/>
                <w:sz w:val="20"/>
                <w:szCs w:val="20"/>
                <w:u w:val="none" w:color="auto"/>
              </w:rPr>
              <w:t>/L</w:t>
            </w:r>
          </w:p>
        </w:tc>
        <w:tc>
          <w:tcPr>
            <w:tcW w:w="1616" w:type="dxa"/>
            <w:tcBorders>
              <w:tl2br w:val="nil"/>
              <w:tr2bl w:val="nil"/>
            </w:tcBorders>
            <w:vAlign w:val="center"/>
          </w:tcPr>
          <w:p>
            <w:pPr>
              <w:jc w:val="center"/>
              <w:rPr>
                <w:rFonts w:hint="default" w:ascii="Times New Roman" w:hAnsi="Times New Roman" w:eastAsia="宋体" w:cs="Times New Roman"/>
                <w:snapToGrid w:val="0"/>
                <w:color w:val="000000"/>
                <w:kern w:val="0"/>
                <w:sz w:val="20"/>
                <w:szCs w:val="20"/>
                <w:lang w:val="en-US" w:eastAsia="zh-CN" w:bidi="ar-SA"/>
              </w:rPr>
            </w:pPr>
            <w:r>
              <w:rPr>
                <w:rFonts w:hint="eastAsia" w:ascii="Times New Roman" w:hAnsi="Times New Roman" w:eastAsia="宋体" w:cs="Times New Roman"/>
                <w:sz w:val="20"/>
                <w:szCs w:val="20"/>
                <w:lang w:val="en-US" w:eastAsia="zh-CN"/>
              </w:rPr>
              <w:t>1.15</w:t>
            </w:r>
            <w:r>
              <w:rPr>
                <w:rFonts w:ascii="Times New Roman" w:hAnsi="Times New Roman" w:eastAsia="Times New Roman" w:cs="Times New Roman"/>
                <w:b w:val="0"/>
                <w:bCs w:val="0"/>
                <w:spacing w:val="2"/>
                <w:sz w:val="20"/>
                <w:szCs w:val="20"/>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675"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固体 废物</w:t>
            </w:r>
          </w:p>
        </w:tc>
        <w:tc>
          <w:tcPr>
            <w:tcW w:w="846" w:type="dxa"/>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一</w:t>
            </w:r>
          </w:p>
          <w:p>
            <w:pPr>
              <w:jc w:val="center"/>
              <w:rPr>
                <w:rFonts w:hint="default" w:ascii="Times New Roman" w:hAnsi="Times New Roman" w:cs="Times New Roman"/>
              </w:rPr>
            </w:pPr>
            <w:r>
              <w:rPr>
                <w:rFonts w:hint="default" w:ascii="Times New Roman" w:hAnsi="Times New Roman" w:cs="Times New Roman"/>
              </w:rPr>
              <w:t>般</w:t>
            </w:r>
          </w:p>
          <w:p>
            <w:pPr>
              <w:jc w:val="center"/>
              <w:rPr>
                <w:rFonts w:hint="default" w:ascii="Times New Roman" w:hAnsi="Times New Roman" w:cs="Times New Roman"/>
              </w:rPr>
            </w:pPr>
            <w:r>
              <w:rPr>
                <w:rFonts w:hint="default" w:ascii="Times New Roman" w:hAnsi="Times New Roman" w:cs="Times New Roman"/>
              </w:rPr>
              <w:t>固</w:t>
            </w:r>
          </w:p>
          <w:p>
            <w:pPr>
              <w:jc w:val="center"/>
              <w:rPr>
                <w:rFonts w:hint="default" w:ascii="Times New Roman" w:hAnsi="Times New Roman" w:cs="Times New Roman"/>
              </w:rPr>
            </w:pPr>
            <w:r>
              <w:rPr>
                <w:rFonts w:hint="default" w:ascii="Times New Roman" w:hAnsi="Times New Roman" w:cs="Times New Roman"/>
              </w:rPr>
              <w:t>废</w:t>
            </w:r>
          </w:p>
        </w:tc>
        <w:tc>
          <w:tcPr>
            <w:tcW w:w="1742" w:type="dxa"/>
            <w:gridSpan w:val="2"/>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eastAsia="zh-CN"/>
              </w:rPr>
              <w:t>牛</w:t>
            </w:r>
            <w:r>
              <w:rPr>
                <w:rFonts w:hint="default" w:ascii="Times New Roman" w:hAnsi="Times New Roman" w:cs="Times New Roman"/>
              </w:rPr>
              <w:t>羊粪便</w:t>
            </w:r>
          </w:p>
        </w:tc>
        <w:tc>
          <w:tcPr>
            <w:tcW w:w="12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172.8</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1742" w:type="dxa"/>
            <w:gridSpan w:val="2"/>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肠胃内容物</w:t>
            </w:r>
          </w:p>
        </w:tc>
        <w:tc>
          <w:tcPr>
            <w:tcW w:w="12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325</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1742" w:type="dxa"/>
            <w:gridSpan w:val="2"/>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污水处理站污泥</w:t>
            </w:r>
          </w:p>
        </w:tc>
        <w:tc>
          <w:tcPr>
            <w:tcW w:w="12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125</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8"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1742" w:type="dxa"/>
            <w:gridSpan w:val="2"/>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栅渣</w:t>
            </w:r>
          </w:p>
        </w:tc>
        <w:tc>
          <w:tcPr>
            <w:tcW w:w="127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cs="Times New Roman"/>
              </w:rPr>
            </w:pPr>
            <w:r>
              <w:rPr>
                <w:rFonts w:hint="eastAsia" w:ascii="Times New Roman" w:hAnsi="Times New Roman" w:eastAsia="宋体" w:cs="Times New Roman"/>
                <w:lang w:val="en-US" w:eastAsia="zh-CN"/>
              </w:rPr>
              <w:t>4</w:t>
            </w:r>
            <w:r>
              <w:rPr>
                <w:rFonts w:hint="default" w:ascii="Times New Roman" w:hAnsi="Times New Roman" w:cs="Times New Roman"/>
              </w:rPr>
              <w:t>.</w:t>
            </w:r>
            <w:r>
              <w:rPr>
                <w:rFonts w:hint="eastAsia" w:ascii="Times New Roman" w:hAnsi="Times New Roman" w:eastAsia="宋体" w:cs="Times New Roman"/>
                <w:lang w:val="en-US" w:eastAsia="zh-CN"/>
              </w:rPr>
              <w:t>4</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1742" w:type="dxa"/>
            <w:gridSpan w:val="2"/>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病死</w:t>
            </w:r>
            <w:r>
              <w:rPr>
                <w:rFonts w:hint="eastAsia" w:ascii="Times New Roman" w:hAnsi="Times New Roman" w:eastAsia="宋体" w:cs="Times New Roman"/>
                <w:lang w:eastAsia="zh-CN"/>
              </w:rPr>
              <w:t>牛</w:t>
            </w:r>
            <w:r>
              <w:rPr>
                <w:rFonts w:hint="default" w:ascii="Times New Roman" w:hAnsi="Times New Roman" w:cs="Times New Roman"/>
              </w:rPr>
              <w:t>羊</w:t>
            </w:r>
          </w:p>
        </w:tc>
        <w:tc>
          <w:tcPr>
            <w:tcW w:w="1274"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eastAsia" w:ascii="Times New Roman" w:hAnsi="Times New Roman" w:eastAsia="宋体" w:cs="Times New Roman"/>
                <w:lang w:val="en-US" w:eastAsia="zh-CN"/>
              </w:rPr>
              <w:t>1.25</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1742" w:type="dxa"/>
            <w:gridSpan w:val="2"/>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不合格肉品</w:t>
            </w:r>
          </w:p>
        </w:tc>
        <w:tc>
          <w:tcPr>
            <w:tcW w:w="1274"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eastAsia" w:ascii="Times New Roman" w:hAnsi="Times New Roman" w:eastAsia="宋体" w:cs="Times New Roman"/>
                <w:lang w:val="en-US" w:eastAsia="zh-CN"/>
              </w:rPr>
              <w:t>25</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1742" w:type="dxa"/>
            <w:gridSpan w:val="2"/>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生活垃圾</w:t>
            </w:r>
          </w:p>
        </w:tc>
        <w:tc>
          <w:tcPr>
            <w:tcW w:w="1274"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eastAsia" w:ascii="Times New Roman" w:hAnsi="Times New Roman" w:eastAsia="宋体" w:cs="Times New Roman"/>
                <w:lang w:val="en-US" w:eastAsia="zh-CN"/>
              </w:rPr>
              <w:t>8</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restart"/>
            <w:tcBorders>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危险</w:t>
            </w:r>
          </w:p>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废物</w:t>
            </w:r>
          </w:p>
        </w:tc>
        <w:tc>
          <w:tcPr>
            <w:tcW w:w="1742" w:type="dxa"/>
            <w:gridSpan w:val="2"/>
            <w:tcBorders>
              <w:tl2br w:val="nil"/>
              <w:tr2bl w:val="nil"/>
            </w:tcBorders>
            <w:vAlign w:val="center"/>
          </w:tcPr>
          <w:p>
            <w:pPr>
              <w:jc w:val="center"/>
              <w:rPr>
                <w:rFonts w:hint="default" w:ascii="Times New Roman" w:hAnsi="Times New Roman" w:eastAsia="Arial" w:cs="Times New Roman"/>
                <w:snapToGrid w:val="0"/>
                <w:color w:val="000000"/>
                <w:kern w:val="0"/>
                <w:sz w:val="21"/>
                <w:szCs w:val="21"/>
                <w:highlight w:val="none"/>
                <w:lang w:val="en-US" w:eastAsia="en-US" w:bidi="ar-SA"/>
              </w:rPr>
            </w:pPr>
            <w:r>
              <w:rPr>
                <w:rFonts w:hint="default" w:ascii="Times New Roman" w:hAnsi="Times New Roman" w:cs="Times New Roman"/>
                <w:highlight w:val="none"/>
              </w:rPr>
              <w:t>废油脂</w:t>
            </w:r>
          </w:p>
        </w:tc>
        <w:tc>
          <w:tcPr>
            <w:tcW w:w="1274"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eastAsia" w:ascii="Times New Roman" w:hAnsi="Times New Roman" w:eastAsia="宋体" w:cs="Times New Roman"/>
                <w:lang w:val="en-US" w:eastAsia="zh-CN"/>
              </w:rPr>
              <w:t>8.8</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675" w:type="dxa"/>
            <w:vMerge w:val="continue"/>
            <w:tcBorders>
              <w:tl2br w:val="nil"/>
              <w:tr2bl w:val="nil"/>
            </w:tcBorders>
            <w:vAlign w:val="center"/>
          </w:tcPr>
          <w:p>
            <w:pPr>
              <w:jc w:val="center"/>
              <w:rPr>
                <w:rFonts w:hint="default" w:ascii="Times New Roman" w:hAnsi="Times New Roman" w:cs="Times New Roman"/>
              </w:rPr>
            </w:pPr>
          </w:p>
        </w:tc>
        <w:tc>
          <w:tcPr>
            <w:tcW w:w="846" w:type="dxa"/>
            <w:vMerge w:val="continue"/>
            <w:tcBorders>
              <w:tl2br w:val="nil"/>
              <w:tr2bl w:val="nil"/>
            </w:tcBorders>
            <w:vAlign w:val="center"/>
          </w:tcPr>
          <w:p>
            <w:pPr>
              <w:jc w:val="center"/>
              <w:rPr>
                <w:rFonts w:hint="default" w:ascii="Times New Roman" w:hAnsi="Times New Roman" w:cs="Times New Roman"/>
              </w:rPr>
            </w:pPr>
          </w:p>
        </w:tc>
        <w:tc>
          <w:tcPr>
            <w:tcW w:w="1742" w:type="dxa"/>
            <w:gridSpan w:val="2"/>
            <w:tcBorders>
              <w:tl2br w:val="nil"/>
              <w:tr2bl w:val="nil"/>
            </w:tcBorders>
            <w:vAlign w:val="center"/>
          </w:tcPr>
          <w:p>
            <w:pPr>
              <w:jc w:val="center"/>
              <w:rPr>
                <w:rFonts w:hint="default" w:ascii="Times New Roman" w:hAnsi="Times New Roman" w:eastAsia="Arial" w:cs="Times New Roman"/>
                <w:snapToGrid w:val="0"/>
                <w:color w:val="000000"/>
                <w:kern w:val="0"/>
                <w:sz w:val="21"/>
                <w:szCs w:val="21"/>
                <w:highlight w:val="none"/>
                <w:lang w:val="en-US" w:eastAsia="en-US" w:bidi="ar-SA"/>
              </w:rPr>
            </w:pPr>
            <w:r>
              <w:rPr>
                <w:rFonts w:hint="default" w:ascii="Times New Roman" w:hAnsi="Times New Roman" w:cs="Times New Roman"/>
                <w:highlight w:val="none"/>
              </w:rPr>
              <w:t>检疫废物</w:t>
            </w:r>
          </w:p>
        </w:tc>
        <w:tc>
          <w:tcPr>
            <w:tcW w:w="1274"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562"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0.1</w:t>
            </w:r>
            <w:r>
              <w:rPr>
                <w:rFonts w:hint="eastAsia" w:ascii="Times New Roman" w:hAnsi="Times New Roman" w:eastAsia="宋体" w:cs="Times New Roman"/>
                <w:lang w:val="en-US" w:eastAsia="zh-CN"/>
              </w:rPr>
              <w:t>6</w:t>
            </w:r>
            <w:r>
              <w:rPr>
                <w:rFonts w:hint="default" w:ascii="Times New Roman" w:hAnsi="Times New Roman" w:cs="Times New Roman"/>
              </w:rPr>
              <w:t>t/a</w:t>
            </w:r>
          </w:p>
        </w:tc>
        <w:tc>
          <w:tcPr>
            <w:tcW w:w="1349"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w:t>
            </w:r>
          </w:p>
        </w:tc>
        <w:tc>
          <w:tcPr>
            <w:tcW w:w="1616" w:type="dxa"/>
            <w:tcBorders>
              <w:tl2br w:val="nil"/>
              <w:tr2bl w:val="nil"/>
            </w:tcBorders>
            <w:vAlign w:val="center"/>
          </w:tcPr>
          <w:p>
            <w:pPr>
              <w:jc w:val="center"/>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675"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噪声</w:t>
            </w:r>
          </w:p>
        </w:tc>
        <w:tc>
          <w:tcPr>
            <w:tcW w:w="8389" w:type="dxa"/>
            <w:gridSpan w:val="7"/>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制冷系统、污水站内的泵房、风机、屠宰车间设备以及车间配套风机噪声，噪声级为70-95dB</w:t>
            </w:r>
          </w:p>
          <w:p>
            <w:pPr>
              <w:jc w:val="center"/>
              <w:rPr>
                <w:rFonts w:hint="default" w:ascii="Times New Roman" w:hAnsi="Times New Roman" w:cs="Times New Roman"/>
              </w:rPr>
            </w:pPr>
            <w:r>
              <w:rPr>
                <w:rFonts w:hint="default" w:ascii="Times New Roman" w:hAnsi="Times New Roman" w:cs="Times New Roman"/>
              </w:rPr>
              <w:t>（A）</w:t>
            </w:r>
          </w:p>
        </w:tc>
      </w:tr>
    </w:tbl>
    <w:p>
      <w:pPr>
        <w:keepNext w:val="0"/>
        <w:keepLines w:val="0"/>
        <w:pageBreakBefore w:val="0"/>
        <w:widowControl/>
        <w:kinsoku w:val="0"/>
        <w:wordWrap/>
        <w:overflowPunct/>
        <w:topLinePunct w:val="0"/>
        <w:autoSpaceDE w:val="0"/>
        <w:autoSpaceDN w:val="0"/>
        <w:bidi w:val="0"/>
        <w:adjustRightInd w:val="0"/>
        <w:snapToGrid w:val="0"/>
        <w:spacing w:before="130" w:line="360" w:lineRule="auto"/>
        <w:ind w:left="658"/>
        <w:textAlignment w:val="baseline"/>
        <w:rPr>
          <w:rFonts w:ascii="宋体" w:hAnsi="宋体" w:eastAsia="宋体" w:cs="宋体"/>
          <w:sz w:val="24"/>
          <w:szCs w:val="24"/>
        </w:rPr>
      </w:pPr>
      <w:r>
        <w:rPr>
          <w:rFonts w:ascii="宋体" w:hAnsi="宋体" w:eastAsia="宋体" w:cs="宋体"/>
          <w:spacing w:val="-2"/>
          <w:sz w:val="24"/>
          <w:szCs w:val="24"/>
        </w:rPr>
        <w:t>本项目大气污染物年排放量核算见表</w:t>
      </w:r>
      <w:r>
        <w:rPr>
          <w:rFonts w:ascii="Times New Roman" w:hAnsi="Times New Roman" w:eastAsia="Times New Roman" w:cs="Times New Roman"/>
          <w:spacing w:val="-2"/>
          <w:sz w:val="24"/>
          <w:szCs w:val="24"/>
        </w:rPr>
        <w:t>8-5</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94"/>
        <w:textAlignment w:val="baseline"/>
        <w:rPr>
          <w:rFonts w:ascii="宋体" w:hAnsi="宋体" w:eastAsia="宋体" w:cs="宋体"/>
          <w:sz w:val="24"/>
          <w:szCs w:val="24"/>
        </w:rPr>
      </w:pPr>
      <w:bookmarkStart w:id="491" w:name="bookmark141"/>
      <w:bookmarkEnd w:id="491"/>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 xml:space="preserve">8-5        </w:t>
      </w:r>
      <w:r>
        <w:rPr>
          <w:rFonts w:ascii="宋体" w:hAnsi="宋体" w:eastAsia="宋体" w:cs="宋体"/>
          <w:sz w:val="24"/>
          <w:szCs w:val="24"/>
          <w14:textOutline w14:w="4358" w14:cap="sq" w14:cmpd="sng">
            <w14:solidFill>
              <w14:srgbClr w14:val="000000"/>
            </w14:solidFill>
            <w14:prstDash w14:val="solid"/>
            <w14:bevel/>
          </w14:textOutline>
        </w:rPr>
        <w:t>大气污</w:t>
      </w:r>
      <w:r>
        <w:rPr>
          <w:rFonts w:ascii="宋体" w:hAnsi="宋体" w:eastAsia="宋体" w:cs="宋体"/>
          <w:spacing w:val="-1"/>
          <w:sz w:val="24"/>
          <w:szCs w:val="24"/>
          <w14:textOutline w14:w="4358" w14:cap="sq" w14:cmpd="sng">
            <w14:solidFill>
              <w14:srgbClr w14:val="000000"/>
            </w14:solidFill>
            <w14:prstDash w14:val="solid"/>
            <w14:bevel/>
          </w14:textOutline>
        </w:rPr>
        <w:t>染物年排放量核算表</w:t>
      </w:r>
    </w:p>
    <w:tbl>
      <w:tblPr>
        <w:tblStyle w:val="24"/>
        <w:tblW w:w="8719"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908"/>
        <w:gridCol w:w="2903"/>
        <w:gridCol w:w="290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908" w:type="dxa"/>
            <w:tcBorders>
              <w:tl2br w:val="nil"/>
              <w:tr2bl w:val="nil"/>
            </w:tcBorders>
            <w:vAlign w:val="top"/>
          </w:tcPr>
          <w:p>
            <w:pPr>
              <w:pStyle w:val="25"/>
              <w:spacing w:before="57" w:line="229" w:lineRule="auto"/>
              <w:ind w:left="1248"/>
            </w:pPr>
            <w:r>
              <w:rPr>
                <w:spacing w:val="5"/>
              </w:rPr>
              <w:t>序号</w:t>
            </w:r>
          </w:p>
        </w:tc>
        <w:tc>
          <w:tcPr>
            <w:tcW w:w="2903" w:type="dxa"/>
            <w:tcBorders>
              <w:tl2br w:val="nil"/>
              <w:tr2bl w:val="nil"/>
            </w:tcBorders>
            <w:vAlign w:val="top"/>
          </w:tcPr>
          <w:p>
            <w:pPr>
              <w:pStyle w:val="25"/>
              <w:spacing w:before="57" w:line="228" w:lineRule="auto"/>
              <w:ind w:left="1143"/>
            </w:pPr>
            <w:r>
              <w:rPr>
                <w:spacing w:val="6"/>
              </w:rPr>
              <w:t>污染物</w:t>
            </w:r>
          </w:p>
        </w:tc>
        <w:tc>
          <w:tcPr>
            <w:tcW w:w="2908" w:type="dxa"/>
            <w:tcBorders>
              <w:tl2br w:val="nil"/>
              <w:tr2bl w:val="nil"/>
            </w:tcBorders>
            <w:vAlign w:val="top"/>
          </w:tcPr>
          <w:p>
            <w:pPr>
              <w:pStyle w:val="25"/>
              <w:spacing w:before="56" w:line="228" w:lineRule="auto"/>
              <w:ind w:left="695"/>
            </w:pPr>
            <w:r>
              <w:rPr>
                <w:spacing w:val="5"/>
              </w:rPr>
              <w:t>年排放量</w:t>
            </w:r>
            <w:r>
              <w:rPr>
                <w:rFonts w:ascii="Times New Roman" w:hAnsi="Times New Roman" w:eastAsia="Times New Roman" w:cs="Times New Roman"/>
                <w:spacing w:val="5"/>
              </w:rPr>
              <w:t>/</w:t>
            </w:r>
            <w:r>
              <w:rPr>
                <w:spacing w:val="5"/>
              </w:rPr>
              <w:t>（</w:t>
            </w:r>
            <w:r>
              <w:rPr>
                <w:rFonts w:ascii="Times New Roman" w:hAnsi="Times New Roman" w:eastAsia="Times New Roman" w:cs="Times New Roman"/>
                <w:spacing w:val="5"/>
              </w:rPr>
              <w:t>t/a</w:t>
            </w:r>
            <w:r>
              <w:rPr>
                <w:spacing w:val="5"/>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908" w:type="dxa"/>
            <w:tcBorders>
              <w:tl2br w:val="nil"/>
              <w:tr2bl w:val="nil"/>
            </w:tcBorders>
            <w:vAlign w:val="top"/>
          </w:tcPr>
          <w:p>
            <w:pPr>
              <w:spacing w:before="89" w:line="195" w:lineRule="auto"/>
              <w:ind w:left="14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03" w:type="dxa"/>
            <w:tcBorders>
              <w:tl2br w:val="nil"/>
              <w:tr2bl w:val="nil"/>
            </w:tcBorders>
            <w:vAlign w:val="top"/>
          </w:tcPr>
          <w:p>
            <w:pPr>
              <w:spacing w:before="92" w:line="199" w:lineRule="auto"/>
              <w:ind w:left="1261"/>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2908" w:type="dxa"/>
            <w:tcBorders>
              <w:tl2br w:val="nil"/>
              <w:tr2bl w:val="nil"/>
            </w:tcBorders>
            <w:vAlign w:val="top"/>
          </w:tcPr>
          <w:p>
            <w:pPr>
              <w:spacing w:before="89" w:line="195" w:lineRule="auto"/>
              <w:ind w:left="1168"/>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0.</w:t>
            </w:r>
            <w:r>
              <w:rPr>
                <w:rFonts w:hint="eastAsia" w:ascii="Times New Roman" w:hAnsi="Times New Roman" w:eastAsia="宋体" w:cs="Times New Roman"/>
                <w:spacing w:val="3"/>
                <w:sz w:val="20"/>
                <w:szCs w:val="20"/>
                <w:lang w:val="en-US" w:eastAsia="zh-CN"/>
              </w:rPr>
              <w:t>0673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908" w:type="dxa"/>
            <w:tcBorders>
              <w:tl2br w:val="nil"/>
              <w:tr2bl w:val="nil"/>
            </w:tcBorders>
            <w:vAlign w:val="top"/>
          </w:tcPr>
          <w:p>
            <w:pPr>
              <w:spacing w:before="91" w:line="195" w:lineRule="auto"/>
              <w:ind w:left="14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03" w:type="dxa"/>
            <w:tcBorders>
              <w:tl2br w:val="nil"/>
              <w:tr2bl w:val="nil"/>
            </w:tcBorders>
            <w:vAlign w:val="top"/>
          </w:tcPr>
          <w:p>
            <w:pPr>
              <w:spacing w:before="91" w:line="202" w:lineRule="auto"/>
              <w:ind w:left="1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2908" w:type="dxa"/>
            <w:tcBorders>
              <w:tl2br w:val="nil"/>
              <w:tr2bl w:val="nil"/>
            </w:tcBorders>
            <w:vAlign w:val="top"/>
          </w:tcPr>
          <w:p>
            <w:pPr>
              <w:spacing w:before="91" w:line="195" w:lineRule="auto"/>
              <w:ind w:left="1116"/>
              <w:rPr>
                <w:rFonts w:ascii="Times New Roman" w:hAnsi="Times New Roman" w:eastAsia="Times New Roman" w:cs="Times New Roman"/>
                <w:sz w:val="20"/>
                <w:szCs w:val="20"/>
              </w:rPr>
            </w:pPr>
            <w:r>
              <w:rPr>
                <w:rFonts w:hint="eastAsia" w:ascii="Times New Roman" w:hAnsi="Times New Roman" w:eastAsia="宋体" w:cs="Times New Roman"/>
                <w:spacing w:val="3"/>
                <w:sz w:val="20"/>
                <w:szCs w:val="20"/>
                <w:lang w:val="en-US" w:eastAsia="zh-CN"/>
              </w:rPr>
              <w:t>0.00484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908" w:type="dxa"/>
            <w:tcBorders>
              <w:tl2br w:val="nil"/>
              <w:tr2bl w:val="nil"/>
            </w:tcBorders>
            <w:vAlign w:val="top"/>
          </w:tcPr>
          <w:p>
            <w:pPr>
              <w:spacing w:before="91" w:line="195" w:lineRule="auto"/>
              <w:ind w:left="1403"/>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w:t>
            </w:r>
          </w:p>
        </w:tc>
        <w:tc>
          <w:tcPr>
            <w:tcW w:w="2903" w:type="dxa"/>
            <w:tcBorders>
              <w:tl2br w:val="nil"/>
              <w:tr2bl w:val="nil"/>
            </w:tcBorders>
            <w:vAlign w:val="top"/>
          </w:tcPr>
          <w:p>
            <w:pPr>
              <w:spacing w:before="91" w:line="202" w:lineRule="auto"/>
              <w:ind w:left="1283"/>
              <w:rPr>
                <w:rFonts w:hint="eastAsia" w:ascii="Times New Roman" w:hAnsi="Times New Roman" w:eastAsia="宋体" w:cs="Times New Roman"/>
                <w:spacing w:val="3"/>
                <w:sz w:val="20"/>
                <w:szCs w:val="20"/>
                <w:lang w:eastAsia="zh-CN"/>
              </w:rPr>
            </w:pPr>
            <w:r>
              <w:rPr>
                <w:rFonts w:hint="eastAsia" w:ascii="Times New Roman" w:hAnsi="Times New Roman" w:eastAsia="宋体" w:cs="Times New Roman"/>
                <w:spacing w:val="3"/>
                <w:sz w:val="20"/>
                <w:szCs w:val="20"/>
                <w:lang w:eastAsia="zh-CN"/>
              </w:rPr>
              <w:t>油烟</w:t>
            </w:r>
          </w:p>
        </w:tc>
        <w:tc>
          <w:tcPr>
            <w:tcW w:w="2908" w:type="dxa"/>
            <w:tcBorders>
              <w:tl2br w:val="nil"/>
              <w:tr2bl w:val="nil"/>
            </w:tcBorders>
            <w:vAlign w:val="top"/>
          </w:tcPr>
          <w:p>
            <w:pPr>
              <w:spacing w:before="91" w:line="195" w:lineRule="auto"/>
              <w:ind w:left="1116"/>
              <w:rPr>
                <w:rFonts w:hint="default" w:ascii="Times New Roman" w:hAnsi="Times New Roman" w:eastAsia="宋体" w:cs="Times New Roman"/>
                <w:spacing w:val="3"/>
                <w:sz w:val="20"/>
                <w:szCs w:val="20"/>
                <w:lang w:val="en-US" w:eastAsia="zh-CN"/>
              </w:rPr>
            </w:pPr>
            <w:r>
              <w:rPr>
                <w:rFonts w:hint="eastAsia" w:ascii="Times New Roman" w:hAnsi="Times New Roman" w:eastAsia="宋体" w:cs="Times New Roman"/>
                <w:spacing w:val="3"/>
                <w:sz w:val="20"/>
                <w:szCs w:val="20"/>
                <w:lang w:val="en-US" w:eastAsia="zh-CN"/>
              </w:rPr>
              <w:t>0.00144</w:t>
            </w:r>
          </w:p>
        </w:tc>
      </w:tr>
    </w:tbl>
    <w:p>
      <w:pPr>
        <w:spacing w:before="269" w:line="226" w:lineRule="auto"/>
        <w:outlineLvl w:val="3"/>
        <w:rPr>
          <w:rFonts w:ascii="楷体" w:hAnsi="楷体" w:eastAsia="楷体" w:cs="楷体"/>
          <w:sz w:val="28"/>
          <w:szCs w:val="28"/>
        </w:rPr>
      </w:pPr>
      <w:r>
        <w:rPr>
          <w:rFonts w:ascii="Times New Roman" w:hAnsi="Times New Roman" w:eastAsia="Times New Roman" w:cs="Times New Roman"/>
          <w:spacing w:val="-2"/>
          <w:sz w:val="28"/>
          <w:szCs w:val="28"/>
        </w:rPr>
        <w:t>8.4.2</w:t>
      </w:r>
      <w:r>
        <w:rPr>
          <w:rFonts w:ascii="楷体" w:hAnsi="楷体" w:eastAsia="楷体" w:cs="楷体"/>
          <w:spacing w:val="-2"/>
          <w:sz w:val="28"/>
          <w:szCs w:val="28"/>
        </w:rPr>
        <w:t>公开信息内容</w:t>
      </w:r>
    </w:p>
    <w:p>
      <w:pPr>
        <w:spacing w:before="306" w:line="400" w:lineRule="auto"/>
        <w:ind w:left="183" w:right="170" w:firstLine="479"/>
        <w:jc w:val="both"/>
        <w:rPr>
          <w:rFonts w:ascii="宋体" w:hAnsi="宋体" w:eastAsia="宋体" w:cs="宋体"/>
          <w:sz w:val="24"/>
          <w:szCs w:val="24"/>
        </w:rPr>
      </w:pPr>
      <w:r>
        <w:rPr>
          <w:rFonts w:ascii="宋体" w:hAnsi="宋体" w:eastAsia="宋体" w:cs="宋体"/>
          <w:spacing w:val="2"/>
          <w:sz w:val="24"/>
          <w:szCs w:val="24"/>
        </w:rPr>
        <w:t>为了更好的监督项目污染物排放情况，企业应定期向周围社会公众公开项目污染物排放情况，公开信息内容主要有：项目环境保护设施运行状况；废水、废气及</w:t>
      </w:r>
      <w:r>
        <w:rPr>
          <w:rFonts w:ascii="宋体" w:hAnsi="宋体" w:eastAsia="宋体" w:cs="宋体"/>
          <w:spacing w:val="-1"/>
          <w:sz w:val="24"/>
          <w:szCs w:val="24"/>
        </w:rPr>
        <w:t>噪声的排放情况及达标情况，固废处置情况等。</w:t>
      </w:r>
    </w:p>
    <w:p>
      <w:pPr>
        <w:spacing w:line="219" w:lineRule="auto"/>
        <w:rPr>
          <w:rFonts w:ascii="宋体" w:hAnsi="宋体" w:eastAsia="宋体" w:cs="宋体"/>
          <w:sz w:val="24"/>
          <w:szCs w:val="24"/>
        </w:rPr>
        <w:sectPr>
          <w:footerReference r:id="rId20" w:type="default"/>
          <w:pgSz w:w="11906" w:h="16839"/>
          <w:pgMar w:top="1431" w:right="1418" w:bottom="1278" w:left="1418" w:header="0" w:footer="1116" w:gutter="0"/>
          <w:pgBorders>
            <w:top w:val="none" w:sz="0" w:space="0"/>
            <w:left w:val="none" w:sz="0" w:space="0"/>
            <w:bottom w:val="none" w:sz="0" w:space="0"/>
            <w:right w:val="none" w:sz="0" w:space="0"/>
          </w:pgBorders>
          <w:pgNumType w:fmt="numberInDash"/>
          <w:cols w:space="720" w:num="1"/>
        </w:sectPr>
      </w:pPr>
    </w:p>
    <w:p>
      <w:pPr>
        <w:pStyle w:val="3"/>
        <w:bidi w:val="0"/>
        <w:rPr>
          <w:rFonts w:ascii="黑体" w:hAnsi="黑体" w:eastAsia="黑体" w:cs="黑体"/>
          <w:sz w:val="44"/>
          <w:szCs w:val="44"/>
        </w:rPr>
      </w:pPr>
      <w:bookmarkStart w:id="492" w:name="bookmark143"/>
      <w:bookmarkEnd w:id="492"/>
      <w:bookmarkStart w:id="493" w:name="bookmark142"/>
      <w:bookmarkEnd w:id="493"/>
      <w:bookmarkStart w:id="494" w:name="_Toc19036"/>
      <w:bookmarkStart w:id="495" w:name="_Toc20691"/>
      <w:r>
        <w:rPr>
          <w:rFonts w:ascii="Times New Roman" w:hAnsi="Times New Roman" w:eastAsia="Times New Roman" w:cs="Times New Roman"/>
          <w:spacing w:val="7"/>
          <w:sz w:val="44"/>
          <w:szCs w:val="44"/>
        </w:rPr>
        <w:t>9</w:t>
      </w:r>
      <w:r>
        <w:rPr>
          <w:rFonts w:ascii="黑体" w:hAnsi="黑体" w:eastAsia="黑体" w:cs="黑体"/>
          <w:spacing w:val="7"/>
          <w:sz w:val="44"/>
          <w:szCs w:val="44"/>
        </w:rPr>
        <w:t xml:space="preserve"> </w:t>
      </w:r>
      <w:r>
        <w:rPr>
          <w:rFonts w:hint="eastAsia" w:ascii="黑体" w:hAnsi="黑体" w:eastAsia="黑体" w:cs="黑体"/>
          <w:spacing w:val="7"/>
          <w:sz w:val="44"/>
          <w:szCs w:val="44"/>
          <w:lang w:val="en-US" w:eastAsia="zh-CN"/>
        </w:rPr>
        <w:t xml:space="preserve"> </w:t>
      </w:r>
      <w:r>
        <w:rPr>
          <w:rFonts w:ascii="黑体" w:hAnsi="黑体" w:eastAsia="黑体" w:cs="黑体"/>
          <w:spacing w:val="7"/>
          <w:sz w:val="44"/>
          <w:szCs w:val="44"/>
        </w:rPr>
        <w:t>项目选址可行性及平面布置合理性</w:t>
      </w:r>
      <w:bookmarkEnd w:id="494"/>
      <w:bookmarkEnd w:id="495"/>
    </w:p>
    <w:p>
      <w:pPr>
        <w:pStyle w:val="4"/>
        <w:bidi w:val="0"/>
      </w:pPr>
      <w:bookmarkStart w:id="496" w:name="_Toc154"/>
      <w:bookmarkStart w:id="497" w:name="_Toc20411"/>
      <w:r>
        <w:t>9.1项目选址可行性分析</w:t>
      </w:r>
      <w:bookmarkEnd w:id="496"/>
      <w:bookmarkEnd w:id="497"/>
    </w:p>
    <w:p>
      <w:pPr>
        <w:spacing w:before="293" w:line="499" w:lineRule="exact"/>
        <w:ind w:left="603"/>
        <w:rPr>
          <w:rFonts w:ascii="宋体" w:hAnsi="宋体" w:eastAsia="宋体" w:cs="宋体"/>
          <w:sz w:val="24"/>
          <w:szCs w:val="24"/>
        </w:rPr>
      </w:pPr>
      <w:r>
        <w:rPr>
          <w:rFonts w:ascii="宋体" w:hAnsi="宋体" w:eastAsia="宋体" w:cs="宋体"/>
          <w:spacing w:val="2"/>
          <w:position w:val="19"/>
          <w:sz w:val="24"/>
          <w:szCs w:val="24"/>
        </w:rPr>
        <w:t>本次评价从工程建设的基础设施条件、周围环境现状情况及项目建成后对周围</w:t>
      </w:r>
    </w:p>
    <w:p>
      <w:pPr>
        <w:spacing w:line="219" w:lineRule="auto"/>
        <w:ind w:left="122"/>
        <w:rPr>
          <w:rFonts w:ascii="宋体" w:hAnsi="宋体" w:eastAsia="宋体" w:cs="宋体"/>
          <w:sz w:val="24"/>
          <w:szCs w:val="24"/>
        </w:rPr>
      </w:pPr>
      <w:r>
        <w:rPr>
          <w:rFonts w:ascii="宋体" w:hAnsi="宋体" w:eastAsia="宋体" w:cs="宋体"/>
          <w:spacing w:val="-1"/>
          <w:sz w:val="24"/>
          <w:szCs w:val="24"/>
        </w:rPr>
        <w:t>环境的影响，综合分析厂址选择的合理性。厂址环境</w:t>
      </w:r>
      <w:r>
        <w:rPr>
          <w:rFonts w:ascii="宋体" w:hAnsi="宋体" w:eastAsia="宋体" w:cs="宋体"/>
          <w:spacing w:val="-2"/>
          <w:sz w:val="24"/>
          <w:szCs w:val="24"/>
        </w:rPr>
        <w:t>可行性分析结果见表</w:t>
      </w:r>
      <w:r>
        <w:rPr>
          <w:rFonts w:ascii="Times New Roman" w:hAnsi="Times New Roman" w:eastAsia="Times New Roman" w:cs="Times New Roman"/>
          <w:spacing w:val="-2"/>
          <w:sz w:val="24"/>
          <w:szCs w:val="24"/>
        </w:rPr>
        <w:t>9-1</w:t>
      </w:r>
      <w:r>
        <w:rPr>
          <w:rFonts w:ascii="宋体" w:hAnsi="宋体" w:eastAsia="宋体" w:cs="宋体"/>
          <w:spacing w:val="-2"/>
          <w:sz w:val="24"/>
          <w:szCs w:val="24"/>
        </w:rPr>
        <w:t>。</w:t>
      </w:r>
    </w:p>
    <w:p>
      <w:pPr>
        <w:spacing w:before="214" w:line="220" w:lineRule="auto"/>
        <w:jc w:val="center"/>
        <w:rPr>
          <w:rFonts w:hint="eastAsia" w:eastAsia="宋体"/>
          <w:highlight w:val="none"/>
          <w:lang w:eastAsia="zh-CN"/>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
          <w:sz w:val="24"/>
          <w:szCs w:val="24"/>
        </w:rPr>
        <w:t xml:space="preserve">9-1       </w:t>
      </w:r>
      <w:r>
        <w:rPr>
          <w:rFonts w:ascii="Times New Roman" w:hAnsi="Times New Roman" w:eastAsia="Times New Roman" w:cs="Times New Roman"/>
          <w:b/>
          <w:bCs/>
          <w:spacing w:val="-1"/>
          <w:sz w:val="24"/>
          <w:szCs w:val="24"/>
          <w:highlight w:val="none"/>
        </w:rPr>
        <w:t xml:space="preserve"> </w:t>
      </w:r>
      <w:r>
        <w:rPr>
          <w:rFonts w:ascii="宋体" w:hAnsi="宋体" w:eastAsia="宋体" w:cs="宋体"/>
          <w:spacing w:val="-1"/>
          <w:sz w:val="24"/>
          <w:szCs w:val="24"/>
          <w:highlight w:val="none"/>
          <w14:textOutline w14:w="4358" w14:cap="sq" w14:cmpd="sng">
            <w14:solidFill>
              <w14:srgbClr w14:val="000000"/>
            </w14:solidFill>
            <w14:prstDash w14:val="solid"/>
            <w14:bevel/>
          </w14:textOutline>
        </w:rPr>
        <w:t>项目选址可行性分析</w:t>
      </w:r>
    </w:p>
    <w:tbl>
      <w:tblPr>
        <w:tblStyle w:val="24"/>
        <w:tblW w:w="9004"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605"/>
        <w:gridCol w:w="675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675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内容</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与</w:t>
            </w:r>
            <w:r>
              <w:rPr>
                <w:rFonts w:hint="eastAsia" w:ascii="Times New Roman" w:hAnsi="Times New Roman" w:eastAsia="宋体" w:cs="Times New Roman"/>
                <w:sz w:val="21"/>
                <w:szCs w:val="21"/>
                <w:lang w:eastAsia="zh-CN"/>
              </w:rPr>
              <w:t>叶县</w:t>
            </w:r>
            <w:r>
              <w:rPr>
                <w:rFonts w:hint="default" w:ascii="Times New Roman" w:hAnsi="Times New Roman" w:cs="Times New Roman"/>
                <w:sz w:val="21"/>
                <w:szCs w:val="21"/>
              </w:rPr>
              <w:t>城乡总体规划的相符性分析</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本项目位于叶县马庄乡张庄村，根据叶县自然资源局出具的证明，本项目位于叶县城镇开发边界外，与《叶县国土空间总体规划（2021-2035）》城市规划区范围对比，项目不在城市规划区范围内，项目的建设符合叶县国土空间总体规划的要求</w:t>
            </w:r>
            <w:r>
              <w:rPr>
                <w:rFonts w:hint="default" w:ascii="Times New Roman" w:hAnsi="Times New Roman"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厂址位置及环境保护目标的分布</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rPr>
              <w:t>本项目位于</w:t>
            </w:r>
            <w:r>
              <w:rPr>
                <w:rFonts w:hint="default" w:ascii="Times New Roman" w:hAnsi="Times New Roman" w:cs="Times New Roman"/>
                <w:sz w:val="21"/>
                <w:szCs w:val="21"/>
                <w:lang w:eastAsia="zh-CN"/>
              </w:rPr>
              <w:t>叶县马庄乡张庄村</w:t>
            </w:r>
            <w:r>
              <w:rPr>
                <w:rFonts w:hint="default" w:ascii="Times New Roman" w:hAnsi="Times New Roman" w:cs="Times New Roman"/>
                <w:sz w:val="21"/>
                <w:szCs w:val="21"/>
              </w:rPr>
              <w:t>，</w:t>
            </w:r>
            <w:r>
              <w:rPr>
                <w:rFonts w:hint="default" w:ascii="Times New Roman" w:hAnsi="Times New Roman" w:cs="Times New Roman"/>
                <w:sz w:val="21"/>
                <w:szCs w:val="21"/>
                <w:highlight w:val="none"/>
                <w:lang w:eastAsia="zh-CN"/>
              </w:rPr>
              <w:t>本项目</w:t>
            </w:r>
            <w:r>
              <w:rPr>
                <w:rFonts w:hint="default" w:ascii="Times New Roman" w:hAnsi="Times New Roman" w:cs="Times New Roman"/>
                <w:sz w:val="21"/>
                <w:szCs w:val="21"/>
                <w:highlight w:val="none"/>
                <w:lang w:val="en-US" w:eastAsia="zh-CN"/>
              </w:rPr>
              <w:t>场界外</w:t>
            </w:r>
            <w:r>
              <w:rPr>
                <w:rFonts w:hint="default" w:ascii="Times New Roman" w:hAnsi="Times New Roman" w:cs="Times New Roman"/>
                <w:sz w:val="21"/>
                <w:szCs w:val="21"/>
                <w:highlight w:val="none"/>
                <w:lang w:eastAsia="zh-CN"/>
              </w:rPr>
              <w:t>北侧</w:t>
            </w:r>
            <w:r>
              <w:rPr>
                <w:rFonts w:hint="default" w:ascii="Times New Roman" w:hAnsi="Times New Roman" w:cs="Times New Roman"/>
                <w:sz w:val="21"/>
                <w:szCs w:val="21"/>
                <w:highlight w:val="none"/>
                <w:lang w:val="en-US" w:eastAsia="zh-CN"/>
              </w:rPr>
              <w:t>为</w:t>
            </w:r>
            <w:r>
              <w:rPr>
                <w:rFonts w:hint="default" w:ascii="Times New Roman" w:hAnsi="Times New Roman" w:cs="Times New Roman"/>
                <w:sz w:val="21"/>
                <w:szCs w:val="21"/>
                <w:highlight w:val="none"/>
                <w:lang w:eastAsia="zh-CN"/>
              </w:rPr>
              <w:t>河南省平顶山市迪可集团食品有限公司，东侧为农田，南侧为中豫酒仓临街商铺，东侧为省道</w:t>
            </w:r>
            <w:r>
              <w:rPr>
                <w:rFonts w:hint="default" w:ascii="Times New Roman" w:hAnsi="Times New Roman" w:cs="Times New Roman"/>
                <w:sz w:val="21"/>
                <w:szCs w:val="21"/>
                <w:highlight w:val="none"/>
                <w:lang w:val="en-US" w:eastAsia="zh-CN"/>
              </w:rPr>
              <w:t>S330</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当地称为昆阳大道</w:t>
            </w:r>
            <w:r>
              <w:rPr>
                <w:rFonts w:hint="eastAsia" w:ascii="Times New Roman" w:hAnsi="Times New Roman" w:cs="Times New Roman"/>
                <w:sz w:val="21"/>
                <w:szCs w:val="21"/>
                <w:highlight w:val="none"/>
                <w:lang w:val="en-US" w:eastAsia="zh-CN"/>
              </w:rPr>
              <w:t>或</w:t>
            </w:r>
            <w:r>
              <w:rPr>
                <w:rFonts w:hint="default" w:ascii="Times New Roman" w:hAnsi="Times New Roman" w:cs="Times New Roman"/>
                <w:sz w:val="21"/>
                <w:szCs w:val="21"/>
                <w:highlight w:val="none"/>
                <w:lang w:val="en-US" w:eastAsia="zh-CN"/>
              </w:rPr>
              <w:t>许南公路</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eastAsia="zh-CN"/>
              </w:rPr>
              <w:t>距离本项目最近的环境保护目标为：东南侧</w:t>
            </w:r>
            <w:r>
              <w:rPr>
                <w:rFonts w:hint="default" w:ascii="Times New Roman" w:hAnsi="Times New Roman" w:cs="Times New Roman"/>
                <w:sz w:val="21"/>
                <w:szCs w:val="21"/>
                <w:highlight w:val="none"/>
                <w:lang w:val="en-US" w:eastAsia="zh-CN"/>
              </w:rPr>
              <w:t>1</w:t>
            </w:r>
            <w:r>
              <w:rPr>
                <w:rFonts w:hint="eastAsia" w:ascii="Times New Roman" w:hAnsi="Times New Roman" w:cs="Times New Roman"/>
                <w:sz w:val="21"/>
                <w:szCs w:val="21"/>
                <w:highlight w:val="none"/>
                <w:lang w:val="en-US" w:eastAsia="zh-CN"/>
              </w:rPr>
              <w:t>21</w:t>
            </w:r>
            <w:r>
              <w:rPr>
                <w:rFonts w:hint="default" w:ascii="Times New Roman" w:hAnsi="Times New Roman" w:cs="Times New Roman"/>
                <w:sz w:val="21"/>
                <w:szCs w:val="21"/>
                <w:highlight w:val="none"/>
                <w:lang w:val="en-US" w:eastAsia="zh-CN"/>
              </w:rPr>
              <w:t>m的马庄村</w:t>
            </w:r>
            <w:r>
              <w:rPr>
                <w:rFonts w:hint="eastAsia" w:ascii="Times New Roman" w:hAnsi="Times New Roman" w:cs="Times New Roman"/>
                <w:sz w:val="21"/>
                <w:szCs w:val="21"/>
                <w:highlight w:val="none"/>
                <w:lang w:val="en-US" w:eastAsia="zh-CN"/>
              </w:rPr>
              <w:t>散</w:t>
            </w:r>
            <w:r>
              <w:rPr>
                <w:rFonts w:hint="default" w:ascii="Times New Roman" w:hAnsi="Times New Roman" w:cs="Times New Roman"/>
                <w:sz w:val="21"/>
                <w:szCs w:val="21"/>
                <w:highlight w:val="none"/>
                <w:lang w:val="en-US" w:eastAsia="zh-CN"/>
              </w:rPr>
              <w:t>户和西北侧1</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8m的官庄村住户（大气环境为二级，声环境</w:t>
            </w:r>
            <w:r>
              <w:rPr>
                <w:rFonts w:hint="eastAsia" w:ascii="Times New Roman" w:hAnsi="Times New Roman" w:cs="Times New Roman"/>
                <w:sz w:val="21"/>
                <w:szCs w:val="21"/>
                <w:highlight w:val="none"/>
                <w:lang w:val="en-US" w:eastAsia="zh-CN"/>
              </w:rPr>
              <w:t>2</w:t>
            </w:r>
            <w:r>
              <w:rPr>
                <w:rFonts w:hint="default" w:ascii="Times New Roman" w:hAnsi="Times New Roman" w:cs="Times New Roman"/>
                <w:sz w:val="21"/>
                <w:szCs w:val="21"/>
                <w:highlight w:val="none"/>
                <w:lang w:val="en-US" w:eastAsia="zh-CN"/>
              </w:rPr>
              <w:t>类），北侧的520m灰河（地表水环境为Ⅳ类）</w:t>
            </w:r>
            <w:r>
              <w:rPr>
                <w:rFonts w:hint="default" w:ascii="Times New Roman" w:hAnsi="Times New Roman" w:cs="Times New Roman"/>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交通条件</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rPr>
              <w:t>本项目位于</w:t>
            </w:r>
            <w:r>
              <w:rPr>
                <w:rFonts w:hint="default" w:ascii="Times New Roman" w:hAnsi="Times New Roman" w:cs="Times New Roman"/>
                <w:sz w:val="21"/>
                <w:szCs w:val="21"/>
                <w:lang w:eastAsia="zh-CN"/>
              </w:rPr>
              <w:t>叶县马庄乡张庄村</w:t>
            </w:r>
            <w:r>
              <w:rPr>
                <w:rFonts w:hint="default" w:ascii="Times New Roman" w:hAnsi="Times New Roman" w:cs="Times New Roman"/>
                <w:sz w:val="21"/>
                <w:szCs w:val="21"/>
              </w:rPr>
              <w:t>，</w:t>
            </w:r>
            <w:r>
              <w:rPr>
                <w:rFonts w:hint="default" w:ascii="Times New Roman" w:hAnsi="Times New Roman" w:cs="Times New Roman"/>
                <w:sz w:val="21"/>
                <w:szCs w:val="21"/>
                <w:lang w:eastAsia="zh-CN"/>
              </w:rPr>
              <w:t>东侧为省道</w:t>
            </w:r>
            <w:r>
              <w:rPr>
                <w:rFonts w:hint="default" w:ascii="Times New Roman" w:hAnsi="Times New Roman" w:cs="Times New Roman"/>
                <w:sz w:val="21"/>
                <w:szCs w:val="21"/>
                <w:lang w:val="en-US" w:eastAsia="zh-CN"/>
              </w:rPr>
              <w:t>S330</w:t>
            </w:r>
            <w:r>
              <w:rPr>
                <w:rFonts w:hint="default" w:ascii="Times New Roman" w:hAnsi="Times New Roman" w:cs="Times New Roman"/>
                <w:sz w:val="21"/>
                <w:szCs w:val="21"/>
              </w:rPr>
              <w:t>，交通较为便利。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集中式饮用水水源保护区划</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highlight w:val="none"/>
              </w:rPr>
              <w:t>本项目位于</w:t>
            </w:r>
            <w:r>
              <w:rPr>
                <w:rFonts w:hint="default" w:ascii="Times New Roman" w:hAnsi="Times New Roman" w:cs="Times New Roman"/>
                <w:sz w:val="21"/>
                <w:szCs w:val="21"/>
                <w:highlight w:val="none"/>
                <w:lang w:eastAsia="zh-CN"/>
              </w:rPr>
              <w:t>叶县马庄乡张庄村</w:t>
            </w:r>
            <w:r>
              <w:rPr>
                <w:rFonts w:hint="default" w:ascii="Times New Roman" w:hAnsi="Times New Roman" w:cs="Times New Roman"/>
                <w:sz w:val="21"/>
                <w:szCs w:val="21"/>
                <w:highlight w:val="none"/>
              </w:rPr>
              <w:t>南，</w:t>
            </w:r>
            <w:r>
              <w:rPr>
                <w:rFonts w:hint="default" w:ascii="Times New Roman" w:hAnsi="Times New Roman" w:cs="Times New Roman"/>
                <w:sz w:val="21"/>
                <w:szCs w:val="21"/>
                <w:highlight w:val="none"/>
                <w:lang w:val="en-US" w:eastAsia="zh-CN"/>
              </w:rPr>
              <w:t>南侧紧邻叶县县城，其他方向与田庄乡接壤，与其他乡镇的距离远大于到叶县县城的距离。项目场址与叶县集中式饮用水水源保护区距离最近的是叶县自由路(南关)地下水井群，最近距离为2200m，符合叶县集中式饮用水水源保护区划的要求</w:t>
            </w:r>
            <w:r>
              <w:rPr>
                <w:rFonts w:hint="default" w:ascii="Times New Roman" w:hAnsi="Times New Roman" w:cs="Times New Roman"/>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与《河南省屠宰建设项目环境影响评价文件审查审批原则》</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rPr>
              <w:t>项目位于</w:t>
            </w:r>
            <w:r>
              <w:rPr>
                <w:rFonts w:hint="eastAsia" w:ascii="Times New Roman" w:hAnsi="Times New Roman" w:eastAsia="宋体" w:cs="Times New Roman"/>
                <w:sz w:val="21"/>
                <w:szCs w:val="21"/>
                <w:lang w:eastAsia="zh-CN"/>
              </w:rPr>
              <w:t>马庄乡张庄</w:t>
            </w:r>
            <w:r>
              <w:rPr>
                <w:rFonts w:hint="default" w:ascii="Times New Roman" w:hAnsi="Times New Roman" w:cs="Times New Roman"/>
                <w:sz w:val="21"/>
                <w:szCs w:val="21"/>
              </w:rPr>
              <w:t>村，项目选用先进的全自动流水生产线，清洁生产达到国内同行业先进水平；待宰区及时清扫，污水处理站产生的恶臭气体封闭收集处理后达标排放。</w:t>
            </w:r>
            <w:r>
              <w:rPr>
                <w:rFonts w:hint="default" w:ascii="Times New Roman" w:hAnsi="Times New Roman" w:cs="Times New Roman"/>
                <w:sz w:val="21"/>
                <w:szCs w:val="21"/>
                <w:highlight w:val="none"/>
              </w:rPr>
              <w:t>肠胃内容物由压缩空气通过风送管道输送</w:t>
            </w:r>
            <w:r>
              <w:rPr>
                <w:rFonts w:hint="default" w:ascii="Times New Roman" w:hAnsi="Times New Roman" w:cs="Times New Roman"/>
                <w:sz w:val="21"/>
                <w:szCs w:val="21"/>
              </w:rPr>
              <w:t>；项目废水经厂区污水处理站处理后达标后排入</w:t>
            </w:r>
            <w:r>
              <w:rPr>
                <w:rFonts w:hint="eastAsia" w:ascii="Times New Roman" w:hAnsi="Times New Roman" w:eastAsia="宋体" w:cs="Times New Roman"/>
                <w:sz w:val="21"/>
                <w:szCs w:val="21"/>
                <w:lang w:eastAsia="zh-CN"/>
              </w:rPr>
              <w:t>县城</w:t>
            </w:r>
            <w:r>
              <w:rPr>
                <w:rFonts w:hint="default" w:ascii="Times New Roman" w:hAnsi="Times New Roman" w:cs="Times New Roman"/>
                <w:sz w:val="21"/>
                <w:szCs w:val="21"/>
              </w:rPr>
              <w:t>污水处理厂，固体废物得到合理的处置，项目建设符合该审查审批原则。</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水环境影响分析</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rPr>
              <w:t>本项目废水经厂内处理站处理后，通过</w:t>
            </w:r>
            <w:r>
              <w:rPr>
                <w:rFonts w:hint="eastAsia" w:ascii="Times New Roman" w:hAnsi="Times New Roman" w:eastAsia="宋体" w:cs="Times New Roman"/>
                <w:sz w:val="21"/>
                <w:szCs w:val="21"/>
                <w:lang w:eastAsia="zh-CN"/>
              </w:rPr>
              <w:t>市政管网</w:t>
            </w:r>
            <w:r>
              <w:rPr>
                <w:rFonts w:hint="default" w:ascii="Times New Roman" w:hAnsi="Times New Roman" w:cs="Times New Roman"/>
                <w:sz w:val="21"/>
                <w:szCs w:val="21"/>
              </w:rPr>
              <w:t>排入</w:t>
            </w:r>
            <w:r>
              <w:rPr>
                <w:rFonts w:hint="eastAsia" w:ascii="Times New Roman" w:hAnsi="Times New Roman" w:eastAsia="宋体" w:cs="Times New Roman"/>
                <w:sz w:val="21"/>
                <w:szCs w:val="21"/>
                <w:lang w:eastAsia="zh-CN"/>
              </w:rPr>
              <w:t>叶县县城</w:t>
            </w:r>
            <w:r>
              <w:rPr>
                <w:rFonts w:hint="default" w:ascii="Times New Roman" w:hAnsi="Times New Roman" w:cs="Times New Roman"/>
                <w:sz w:val="21"/>
                <w:szCs w:val="21"/>
              </w:rPr>
              <w:t>污水处理厂，</w:t>
            </w:r>
            <w:r>
              <w:rPr>
                <w:rFonts w:hint="eastAsia" w:ascii="Times New Roman" w:hAnsi="Times New Roman" w:eastAsia="宋体" w:cs="Times New Roman"/>
                <w:sz w:val="21"/>
                <w:szCs w:val="21"/>
                <w:lang w:eastAsia="zh-CN"/>
              </w:rPr>
              <w:t>经</w:t>
            </w:r>
            <w:r>
              <w:rPr>
                <w:rFonts w:hint="default" w:ascii="Times New Roman" w:hAnsi="Times New Roman" w:cs="Times New Roman"/>
                <w:sz w:val="21"/>
                <w:szCs w:val="21"/>
              </w:rPr>
              <w:t>进一步处理后</w:t>
            </w:r>
            <w:r>
              <w:rPr>
                <w:rFonts w:hint="eastAsia" w:ascii="Times New Roman" w:hAnsi="Times New Roman" w:eastAsia="宋体" w:cs="Times New Roman"/>
                <w:sz w:val="21"/>
                <w:szCs w:val="21"/>
                <w:lang w:eastAsia="zh-CN"/>
              </w:rPr>
              <w:t>排入灰河</w:t>
            </w:r>
            <w:r>
              <w:rPr>
                <w:rFonts w:hint="default" w:ascii="Times New Roman" w:hAnsi="Times New Roman" w:cs="Times New Roman"/>
                <w:sz w:val="21"/>
                <w:szCs w:val="21"/>
              </w:rPr>
              <w:t>，外排废水对区域地表水环境造成的影响较小。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环境空气影响分析</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rPr>
              <w:t>根据预测结果，本项目废气经处理后，对区域环境空气质量造成的影响较小。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声影响分析</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rPr>
              <w:t>根据预测结果，本项目厂界噪声贡献值均能满足GB12347-2008《工业企业厂界环境噪声排放标准》中的2类</w:t>
            </w:r>
            <w:r>
              <w:rPr>
                <w:rFonts w:hint="eastAsia" w:ascii="Times New Roman" w:hAnsi="Times New Roman" w:eastAsia="宋体" w:cs="Times New Roman"/>
                <w:sz w:val="21"/>
                <w:szCs w:val="21"/>
                <w:lang w:eastAsia="zh-CN"/>
              </w:rPr>
              <w:t>和</w:t>
            </w:r>
            <w:r>
              <w:rPr>
                <w:rFonts w:hint="eastAsia" w:ascii="Times New Roman" w:hAnsi="Times New Roman" w:eastAsia="宋体" w:cs="Times New Roman"/>
                <w:sz w:val="21"/>
                <w:szCs w:val="21"/>
                <w:lang w:val="en-US" w:eastAsia="zh-CN"/>
              </w:rPr>
              <w:t>4类的</w:t>
            </w:r>
            <w:r>
              <w:rPr>
                <w:rFonts w:hint="default" w:ascii="Times New Roman" w:hAnsi="Times New Roman" w:cs="Times New Roman"/>
                <w:sz w:val="21"/>
                <w:szCs w:val="21"/>
              </w:rPr>
              <w:t>要求。</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总量控制分析</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rPr>
              <w:t>经本项目污水处理站排放至污水处理厂水污染物控制指标为COD：</w:t>
            </w:r>
            <w:r>
              <w:rPr>
                <w:rFonts w:hint="eastAsia" w:ascii="Times New Roman" w:hAnsi="Times New Roman" w:eastAsia="宋体" w:cs="Times New Roman"/>
                <w:sz w:val="21"/>
                <w:szCs w:val="21"/>
                <w:lang w:val="en-US" w:eastAsia="zh-CN"/>
              </w:rPr>
              <w:t>9.4</w:t>
            </w:r>
            <w:r>
              <w:rPr>
                <w:rFonts w:hint="default" w:ascii="Times New Roman" w:hAnsi="Times New Roman" w:cs="Times New Roman"/>
                <w:sz w:val="21"/>
                <w:szCs w:val="21"/>
              </w:rPr>
              <w:t>t/a ，NH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r>
              <w:rPr>
                <w:rFonts w:hint="eastAsia" w:ascii="Times New Roman" w:hAnsi="Times New Roman" w:eastAsia="宋体" w:cs="Times New Roman"/>
                <w:sz w:val="21"/>
                <w:szCs w:val="21"/>
                <w:lang w:val="en-US" w:eastAsia="zh-CN"/>
              </w:rPr>
              <w:t>0.78</w:t>
            </w:r>
            <w:r>
              <w:rPr>
                <w:rFonts w:hint="default" w:ascii="Times New Roman" w:hAnsi="Times New Roman" w:cs="Times New Roman"/>
                <w:sz w:val="21"/>
                <w:szCs w:val="21"/>
              </w:rPr>
              <w:t>t/a；经污水处理厂进一步处理后排放至水环境水污染物控制指标为 COD：2.</w:t>
            </w:r>
            <w:r>
              <w:rPr>
                <w:rFonts w:hint="eastAsia" w:ascii="Times New Roman" w:hAnsi="Times New Roman" w:eastAsia="宋体" w:cs="Times New Roman"/>
                <w:sz w:val="21"/>
                <w:szCs w:val="21"/>
                <w:lang w:val="en-US" w:eastAsia="zh-CN"/>
              </w:rPr>
              <w:t>12</w:t>
            </w:r>
            <w:r>
              <w:rPr>
                <w:rFonts w:hint="default" w:ascii="Times New Roman" w:hAnsi="Times New Roman" w:cs="Times New Roman"/>
                <w:sz w:val="21"/>
                <w:szCs w:val="21"/>
              </w:rPr>
              <w:t>t/a，NH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-N：0.21t/a。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公众参与意见</w:t>
            </w:r>
          </w:p>
        </w:tc>
        <w:tc>
          <w:tcPr>
            <w:tcW w:w="6758"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Times New Roman" w:hAnsi="Times New Roman" w:cs="Times New Roman"/>
                <w:sz w:val="21"/>
                <w:szCs w:val="21"/>
              </w:rPr>
            </w:pPr>
            <w:r>
              <w:rPr>
                <w:rFonts w:hint="default" w:ascii="Times New Roman" w:hAnsi="Times New Roman" w:cs="Times New Roman"/>
                <w:sz w:val="21"/>
                <w:szCs w:val="21"/>
              </w:rPr>
              <w:t>本项目的建设会促进当地经济发展，根据公众参与调查结果，无反对意见。</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jc w:val="center"/>
        </w:trPr>
        <w:tc>
          <w:tcPr>
            <w:tcW w:w="64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16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分析结果</w:t>
            </w:r>
          </w:p>
        </w:tc>
        <w:tc>
          <w:tcPr>
            <w:tcW w:w="6758" w:type="dxa"/>
            <w:tcBorders>
              <w:tl2br w:val="nil"/>
              <w:tr2bl w:val="nil"/>
            </w:tcBorders>
            <w:vAlign w:val="center"/>
          </w:tcPr>
          <w:p>
            <w:pPr>
              <w:jc w:val="both"/>
              <w:rPr>
                <w:rFonts w:hint="default" w:ascii="Times New Roman" w:hAnsi="Times New Roman" w:cs="Times New Roman"/>
                <w:sz w:val="21"/>
                <w:szCs w:val="21"/>
              </w:rPr>
            </w:pPr>
            <w:r>
              <w:rPr>
                <w:rFonts w:hint="default" w:ascii="Times New Roman" w:hAnsi="Times New Roman" w:cs="Times New Roman"/>
                <w:sz w:val="21"/>
                <w:szCs w:val="21"/>
              </w:rPr>
              <w:t>从环境保护角度综合分析，本次工程厂址选择可行。</w:t>
            </w:r>
          </w:p>
        </w:tc>
      </w:tr>
    </w:tbl>
    <w:p>
      <w:pPr>
        <w:spacing w:before="211" w:line="400" w:lineRule="auto"/>
        <w:ind w:left="122" w:right="167" w:firstLine="482"/>
        <w:jc w:val="both"/>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综上所述，本项目位于</w:t>
      </w:r>
      <w:r>
        <w:rPr>
          <w:rFonts w:hint="default" w:ascii="Times New Roman" w:hAnsi="Times New Roman" w:eastAsia="宋体" w:cs="Times New Roman"/>
          <w:spacing w:val="2"/>
          <w:sz w:val="24"/>
          <w:szCs w:val="24"/>
          <w:lang w:eastAsia="zh-CN"/>
        </w:rPr>
        <w:t>叶县马庄乡张庄村</w:t>
      </w:r>
      <w:r>
        <w:rPr>
          <w:rFonts w:hint="default" w:ascii="Times New Roman" w:hAnsi="Times New Roman" w:eastAsia="宋体" w:cs="Times New Roman"/>
          <w:spacing w:val="2"/>
          <w:sz w:val="24"/>
          <w:szCs w:val="24"/>
          <w:lang w:val="en-US" w:eastAsia="zh-CN"/>
        </w:rPr>
        <w:t>（河南省平顶山市迪可集团食品有限公司厂区院内）</w:t>
      </w:r>
      <w:r>
        <w:rPr>
          <w:rFonts w:hint="default" w:ascii="Times New Roman" w:hAnsi="Times New Roman" w:eastAsia="宋体" w:cs="Times New Roman"/>
          <w:spacing w:val="1"/>
          <w:sz w:val="24"/>
          <w:szCs w:val="24"/>
        </w:rPr>
        <w:t>，项目为</w:t>
      </w:r>
      <w:r>
        <w:rPr>
          <w:rFonts w:hint="default" w:ascii="Times New Roman" w:hAnsi="Times New Roman" w:eastAsia="宋体" w:cs="Times New Roman"/>
          <w:spacing w:val="1"/>
          <w:sz w:val="24"/>
          <w:szCs w:val="24"/>
          <w:lang w:eastAsia="zh-CN"/>
        </w:rPr>
        <w:t>畜产品精细加工物流园</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1"/>
          <w:sz w:val="24"/>
          <w:szCs w:val="24"/>
          <w:lang w:val="en-US" w:eastAsia="zh-CN"/>
        </w:rPr>
        <w:t>该项目建设符合马庄乡建设发展规划，由马庄乡人民政府主办，由叶县迪可清真食品有限公司承办，并负责组织具体实施。</w:t>
      </w:r>
      <w:r>
        <w:rPr>
          <w:rFonts w:hint="default" w:ascii="Times New Roman" w:hAnsi="Times New Roman" w:eastAsia="宋体" w:cs="Times New Roman"/>
          <w:spacing w:val="2"/>
          <w:sz w:val="24"/>
          <w:szCs w:val="24"/>
        </w:rPr>
        <w:t>根据</w:t>
      </w:r>
      <w:r>
        <w:rPr>
          <w:rFonts w:hint="default" w:ascii="Times New Roman" w:hAnsi="Times New Roman" w:eastAsia="宋体" w:cs="Times New Roman"/>
          <w:spacing w:val="2"/>
          <w:sz w:val="24"/>
          <w:szCs w:val="24"/>
          <w:lang w:eastAsia="zh-CN"/>
        </w:rPr>
        <w:t>叶县</w:t>
      </w:r>
      <w:r>
        <w:rPr>
          <w:rFonts w:hint="default" w:ascii="Times New Roman" w:hAnsi="Times New Roman" w:eastAsia="宋体" w:cs="Times New Roman"/>
          <w:spacing w:val="2"/>
          <w:sz w:val="24"/>
          <w:szCs w:val="24"/>
        </w:rPr>
        <w:t>自然资源局出具的证明，</w:t>
      </w:r>
      <w:r>
        <w:rPr>
          <w:rFonts w:hint="default" w:ascii="Times New Roman" w:hAnsi="Times New Roman" w:eastAsia="宋体" w:cs="Times New Roman"/>
          <w:spacing w:val="2"/>
          <w:sz w:val="24"/>
          <w:szCs w:val="24"/>
          <w:highlight w:val="none"/>
          <w:lang w:val="en-US" w:eastAsia="zh-CN"/>
        </w:rPr>
        <w:t>本项目位于叶县城镇开发开发边界外</w:t>
      </w:r>
      <w:r>
        <w:rPr>
          <w:rFonts w:hint="default"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lang w:val="en-US" w:eastAsia="zh-CN"/>
        </w:rPr>
        <w:t>与《叶县国土空间总体规划（2021-2035）》（报批版）城市规划区范围对比，项目不在城市规划区范围内，项目的建设符合叶县国土空间总体规划的要求</w:t>
      </w:r>
      <w:r>
        <w:rPr>
          <w:rFonts w:hint="default" w:ascii="Times New Roman" w:hAnsi="Times New Roman" w:eastAsia="宋体" w:cs="Times New Roman"/>
          <w:spacing w:val="-1"/>
          <w:sz w:val="24"/>
          <w:szCs w:val="24"/>
        </w:rPr>
        <w:t>。</w:t>
      </w:r>
    </w:p>
    <w:p>
      <w:pPr>
        <w:pStyle w:val="4"/>
        <w:bidi w:val="0"/>
      </w:pPr>
      <w:bookmarkStart w:id="498" w:name="bookmark144"/>
      <w:bookmarkEnd w:id="498"/>
      <w:bookmarkStart w:id="499" w:name="_Toc13683"/>
      <w:bookmarkStart w:id="500" w:name="_Toc13935"/>
      <w:r>
        <w:t>9.2项目平面布置合理性分析</w:t>
      </w:r>
      <w:bookmarkEnd w:id="499"/>
      <w:bookmarkEnd w:id="500"/>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sz w:val="28"/>
          <w:szCs w:val="28"/>
        </w:rPr>
      </w:pPr>
      <w:bookmarkStart w:id="501" w:name="bookmark145"/>
      <w:bookmarkEnd w:id="501"/>
      <w:r>
        <w:rPr>
          <w:rFonts w:ascii="Times New Roman" w:hAnsi="Times New Roman" w:eastAsia="Times New Roman" w:cs="Times New Roman"/>
          <w:spacing w:val="-6"/>
          <w:sz w:val="28"/>
          <w:szCs w:val="28"/>
        </w:rPr>
        <w:t>9.2.1</w:t>
      </w:r>
      <w:r>
        <w:rPr>
          <w:rFonts w:ascii="楷体" w:hAnsi="楷体" w:eastAsia="楷体" w:cs="楷体"/>
          <w:spacing w:val="-6"/>
          <w:sz w:val="28"/>
          <w:szCs w:val="28"/>
        </w:rPr>
        <w:t>总平面布置原则</w:t>
      </w:r>
    </w:p>
    <w:p>
      <w:pPr>
        <w:keepNext w:val="0"/>
        <w:keepLines w:val="0"/>
        <w:pageBreakBefore w:val="0"/>
        <w:widowControl/>
        <w:kinsoku/>
        <w:wordWrap/>
        <w:overflowPunct/>
        <w:topLinePunct w:val="0"/>
        <w:autoSpaceDE w:val="0"/>
        <w:autoSpaceDN w:val="0"/>
        <w:bidi w:val="0"/>
        <w:adjustRightInd w:val="0"/>
        <w:snapToGrid w:val="0"/>
        <w:spacing w:before="68" w:line="360" w:lineRule="auto"/>
        <w:ind w:left="125" w:right="164" w:firstLine="482"/>
        <w:jc w:val="both"/>
        <w:textAlignment w:val="baseline"/>
        <w:rPr>
          <w:rFonts w:ascii="宋体" w:hAnsi="宋体" w:eastAsia="宋体" w:cs="宋体"/>
          <w:sz w:val="24"/>
          <w:szCs w:val="24"/>
        </w:rPr>
      </w:pPr>
      <w:r>
        <w:rPr>
          <w:rFonts w:ascii="宋体" w:hAnsi="宋体" w:eastAsia="宋体" w:cs="宋体"/>
          <w:spacing w:val="2"/>
          <w:sz w:val="24"/>
          <w:szCs w:val="24"/>
        </w:rPr>
        <w:t>项目充分利用厂地的自然条件，因地制宜，在满足工艺前提下，紧凑布置，力求节约厂区面积。厂区按功能要求划分，力求明确合理，流向顺畅，符合防洪、卫</w:t>
      </w:r>
      <w:r>
        <w:rPr>
          <w:rFonts w:ascii="宋体" w:hAnsi="宋体" w:eastAsia="宋体" w:cs="宋体"/>
          <w:spacing w:val="-1"/>
          <w:sz w:val="24"/>
          <w:szCs w:val="24"/>
        </w:rPr>
        <w:t>生、消防要求、防火安全间距满足防火规范的要求。</w:t>
      </w:r>
    </w:p>
    <w:p>
      <w:pPr>
        <w:keepNext w:val="0"/>
        <w:keepLines w:val="0"/>
        <w:pageBreakBefore w:val="0"/>
        <w:widowControl/>
        <w:kinsoku w:val="0"/>
        <w:wordWrap/>
        <w:overflowPunct/>
        <w:topLinePunct w:val="0"/>
        <w:autoSpaceDE w:val="0"/>
        <w:autoSpaceDN w:val="0"/>
        <w:bidi w:val="0"/>
        <w:adjustRightInd w:val="0"/>
        <w:snapToGrid w:val="0"/>
        <w:spacing w:before="54" w:line="360" w:lineRule="auto"/>
        <w:textAlignment w:val="baseline"/>
        <w:outlineLvl w:val="3"/>
        <w:rPr>
          <w:rFonts w:ascii="楷体" w:hAnsi="楷体" w:eastAsia="楷体" w:cs="楷体"/>
          <w:sz w:val="28"/>
          <w:szCs w:val="28"/>
        </w:rPr>
      </w:pPr>
      <w:bookmarkStart w:id="502" w:name="bookmark146"/>
      <w:bookmarkEnd w:id="502"/>
      <w:r>
        <w:rPr>
          <w:rFonts w:ascii="Times New Roman" w:hAnsi="Times New Roman" w:eastAsia="Times New Roman" w:cs="Times New Roman"/>
          <w:spacing w:val="-4"/>
          <w:sz w:val="28"/>
          <w:szCs w:val="28"/>
        </w:rPr>
        <w:t>9.3.2</w:t>
      </w:r>
      <w:r>
        <w:rPr>
          <w:rFonts w:ascii="楷体" w:hAnsi="楷体" w:eastAsia="楷体" w:cs="楷体"/>
          <w:spacing w:val="-4"/>
          <w:sz w:val="28"/>
          <w:szCs w:val="28"/>
        </w:rPr>
        <w:t>总平面布置方案</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b w:val="0"/>
          <w:bCs w:val="0"/>
          <w:sz w:val="24"/>
          <w:lang w:val="en-US" w:eastAsia="zh-CN"/>
        </w:rPr>
      </w:pPr>
      <w:r>
        <w:rPr>
          <w:rFonts w:hint="eastAsia" w:cs="Times New Roman"/>
          <w:b w:val="0"/>
          <w:bCs w:val="0"/>
          <w:sz w:val="24"/>
          <w:lang w:val="en-US" w:eastAsia="zh-CN"/>
        </w:rPr>
        <w:t>本项目建设由待宰区、吊宰区、精细加工区、冷库、生鲜牛羊肉批发市场以及办公楼、观光通道等组成。项目整体布局着力强化“生态”、“创新”的概念，强调公共空间的共享原则，通过科学设置的出入口和衔接路径，区域与节点等空间设计，打造厂区综合多层次的开放空间体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cs="Times New Roman"/>
          <w:b w:val="0"/>
          <w:bCs w:val="0"/>
          <w:sz w:val="24"/>
          <w:lang w:val="en-US" w:eastAsia="zh-CN"/>
        </w:rPr>
        <w:t>在入口设置方面基于车流、人流、原料及产品物出入方面考虑，厂区共有两个出入口，主次分明，相互联通园内做到人车货分流，道路系统采用混凝土道路的标准：厂区内主干道宽度不小于</w:t>
      </w:r>
      <w:r>
        <w:rPr>
          <w:rFonts w:hint="default" w:ascii="Times New Roman" w:hAnsi="Times New Roman" w:cs="Times New Roman"/>
          <w:b w:val="0"/>
          <w:bCs w:val="0"/>
          <w:sz w:val="24"/>
          <w:lang w:val="en-US" w:eastAsia="zh-CN"/>
        </w:rPr>
        <w:t>6米</w:t>
      </w:r>
      <w:r>
        <w:rPr>
          <w:rFonts w:hint="eastAsia" w:cs="Times New Roman"/>
          <w:b w:val="0"/>
          <w:bCs w:val="0"/>
          <w:sz w:val="24"/>
          <w:lang w:val="en-US" w:eastAsia="zh-CN"/>
        </w:rPr>
        <w:t>，各级道路自成系统，又相互衔接</w:t>
      </w:r>
      <w:r>
        <w:rPr>
          <w:rFonts w:hint="default" w:ascii="Times New Roman" w:hAnsi="Times New Roman" w:cs="Times New Roman"/>
          <w:sz w:val="24"/>
          <w:szCs w:val="24"/>
        </w:rPr>
        <w:t>。总体分析，本工程厂区总平面布置合理可行。</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评价建议企业在建设过程中，对场区空闲土地和场界进行绿化，如在屠宰车间周边及污水处理区加强绿化，减轻工程恶臭污染物排放对区域环境的影响，并逐步完善和优化场区平面布置。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p>
    <w:p>
      <w:pPr>
        <w:spacing w:line="219" w:lineRule="auto"/>
        <w:rPr>
          <w:rFonts w:ascii="宋体" w:hAnsi="宋体" w:eastAsia="宋体" w:cs="宋体"/>
          <w:sz w:val="24"/>
          <w:szCs w:val="24"/>
        </w:rPr>
        <w:sectPr>
          <w:footerReference r:id="rId21" w:type="default"/>
          <w:pgSz w:w="11906" w:h="16839"/>
          <w:pgMar w:top="1431" w:right="1526" w:bottom="1278" w:left="1592" w:header="0" w:footer="1116" w:gutter="0"/>
          <w:pgBorders>
            <w:top w:val="none" w:sz="0" w:space="0"/>
            <w:left w:val="none" w:sz="0" w:space="0"/>
            <w:bottom w:val="none" w:sz="0" w:space="0"/>
            <w:right w:val="none" w:sz="0" w:space="0"/>
          </w:pgBorders>
          <w:pgNumType w:fmt="numberInDash"/>
          <w:cols w:space="720" w:num="1"/>
        </w:sectPr>
      </w:pPr>
    </w:p>
    <w:p>
      <w:pPr>
        <w:pStyle w:val="3"/>
        <w:bidi w:val="0"/>
        <w:rPr>
          <w:rFonts w:ascii="黑体" w:hAnsi="黑体" w:eastAsia="黑体" w:cs="黑体"/>
          <w:sz w:val="44"/>
          <w:szCs w:val="44"/>
          <w:highlight w:val="none"/>
        </w:rPr>
      </w:pPr>
      <w:bookmarkStart w:id="503" w:name="bookmark147"/>
      <w:bookmarkEnd w:id="503"/>
      <w:bookmarkStart w:id="504" w:name="_Toc11981"/>
      <w:bookmarkStart w:id="505" w:name="_Toc15372"/>
      <w:r>
        <w:rPr>
          <w:rFonts w:ascii="Times New Roman" w:hAnsi="Times New Roman" w:eastAsia="Times New Roman" w:cs="Times New Roman"/>
          <w:spacing w:val="3"/>
          <w:sz w:val="44"/>
          <w:szCs w:val="44"/>
          <w:highlight w:val="none"/>
        </w:rPr>
        <w:t>10</w:t>
      </w:r>
      <w:r>
        <w:rPr>
          <w:rFonts w:ascii="黑体" w:hAnsi="黑体" w:eastAsia="黑体" w:cs="黑体"/>
          <w:spacing w:val="11"/>
          <w:sz w:val="44"/>
          <w:szCs w:val="44"/>
          <w:highlight w:val="none"/>
        </w:rPr>
        <w:t xml:space="preserve">  </w:t>
      </w:r>
      <w:r>
        <w:rPr>
          <w:rFonts w:ascii="黑体" w:hAnsi="黑体" w:eastAsia="黑体" w:cs="黑体"/>
          <w:spacing w:val="3"/>
          <w:sz w:val="44"/>
          <w:szCs w:val="44"/>
          <w:highlight w:val="none"/>
        </w:rPr>
        <w:t>评价结论与建议</w:t>
      </w:r>
      <w:bookmarkEnd w:id="504"/>
      <w:bookmarkEnd w:id="505"/>
    </w:p>
    <w:p>
      <w:pPr>
        <w:spacing w:before="187" w:line="383" w:lineRule="auto"/>
        <w:ind w:left="3" w:firstLine="478"/>
        <w:jc w:val="both"/>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lang w:eastAsia="zh-CN"/>
        </w:rPr>
        <w:t>叶县迪可清真食品有限公司叶县2022年马庄乡张庄村畜产品精细加工物流园建设项目</w:t>
      </w:r>
      <w:r>
        <w:rPr>
          <w:rFonts w:hint="default" w:ascii="Times New Roman" w:hAnsi="Times New Roman" w:eastAsia="宋体" w:cs="Times New Roman"/>
          <w:spacing w:val="0"/>
          <w:sz w:val="24"/>
          <w:szCs w:val="24"/>
        </w:rPr>
        <w:t>位于</w:t>
      </w:r>
      <w:r>
        <w:rPr>
          <w:rFonts w:hint="default" w:ascii="Times New Roman" w:hAnsi="Times New Roman" w:eastAsia="宋体" w:cs="Times New Roman"/>
          <w:spacing w:val="0"/>
          <w:sz w:val="24"/>
          <w:szCs w:val="24"/>
          <w:lang w:eastAsia="zh-CN"/>
        </w:rPr>
        <w:t>叶县马庄乡张庄村</w:t>
      </w:r>
      <w:r>
        <w:rPr>
          <w:rFonts w:hint="default" w:ascii="Times New Roman" w:hAnsi="Times New Roman" w:eastAsia="宋体" w:cs="Times New Roman"/>
          <w:spacing w:val="0"/>
          <w:sz w:val="24"/>
          <w:szCs w:val="24"/>
        </w:rPr>
        <w:t>。项目为新建项目，总投资</w:t>
      </w:r>
      <w:r>
        <w:rPr>
          <w:rFonts w:hint="default" w:ascii="Times New Roman" w:hAnsi="Times New Roman" w:eastAsia="宋体" w:cs="Times New Roman"/>
          <w:spacing w:val="0"/>
          <w:sz w:val="24"/>
          <w:szCs w:val="24"/>
          <w:lang w:val="en-US" w:eastAsia="zh-CN"/>
        </w:rPr>
        <w:t>2074.53</w:t>
      </w:r>
      <w:r>
        <w:rPr>
          <w:rFonts w:hint="default" w:ascii="Times New Roman" w:hAnsi="Times New Roman" w:eastAsia="宋体" w:cs="Times New Roman"/>
          <w:spacing w:val="0"/>
          <w:sz w:val="24"/>
          <w:szCs w:val="24"/>
        </w:rPr>
        <w:t>万元，厂区占地面积</w:t>
      </w:r>
      <w:r>
        <w:rPr>
          <w:rFonts w:hint="default" w:ascii="Times New Roman" w:hAnsi="Times New Roman" w:eastAsia="宋体" w:cs="Times New Roman"/>
          <w:spacing w:val="0"/>
          <w:sz w:val="24"/>
          <w:szCs w:val="24"/>
          <w:lang w:val="en-US" w:eastAsia="zh-CN"/>
        </w:rPr>
        <w:t>6824.86</w:t>
      </w:r>
      <w:r>
        <w:rPr>
          <w:rFonts w:hint="default" w:ascii="Times New Roman" w:hAnsi="Times New Roman" w:eastAsia="宋体" w:cs="Times New Roman"/>
          <w:spacing w:val="0"/>
          <w:sz w:val="24"/>
          <w:szCs w:val="24"/>
        </w:rPr>
        <w:t>平方米，劳动定员为</w:t>
      </w:r>
      <w:r>
        <w:rPr>
          <w:rFonts w:hint="default" w:ascii="Times New Roman" w:hAnsi="Times New Roman" w:eastAsia="宋体" w:cs="Times New Roman"/>
          <w:spacing w:val="0"/>
          <w:sz w:val="24"/>
          <w:szCs w:val="24"/>
          <w:lang w:val="en-US" w:eastAsia="zh-CN"/>
        </w:rPr>
        <w:t>50</w:t>
      </w:r>
      <w:r>
        <w:rPr>
          <w:rFonts w:hint="default" w:ascii="Times New Roman" w:hAnsi="Times New Roman" w:eastAsia="宋体" w:cs="Times New Roman"/>
          <w:spacing w:val="0"/>
          <w:sz w:val="24"/>
          <w:szCs w:val="24"/>
        </w:rPr>
        <w:t>人，年工作日为</w:t>
      </w:r>
      <w:r>
        <w:rPr>
          <w:rFonts w:hint="default" w:ascii="Times New Roman" w:hAnsi="Times New Roman" w:eastAsia="Times New Roman" w:cs="Times New Roman"/>
          <w:spacing w:val="0"/>
          <w:sz w:val="24"/>
          <w:szCs w:val="24"/>
        </w:rPr>
        <w:t>3</w:t>
      </w:r>
      <w:r>
        <w:rPr>
          <w:rFonts w:hint="default" w:ascii="Times New Roman" w:hAnsi="Times New Roman" w:eastAsia="宋体" w:cs="Times New Roman"/>
          <w:spacing w:val="0"/>
          <w:sz w:val="24"/>
          <w:szCs w:val="24"/>
          <w:lang w:val="en-US" w:eastAsia="zh-CN"/>
        </w:rPr>
        <w:t>2</w:t>
      </w:r>
      <w:r>
        <w:rPr>
          <w:rFonts w:hint="default" w:ascii="Times New Roman" w:hAnsi="Times New Roman" w:eastAsia="Times New Roman" w:cs="Times New Roman"/>
          <w:spacing w:val="0"/>
          <w:sz w:val="24"/>
          <w:szCs w:val="24"/>
        </w:rPr>
        <w:t>0</w:t>
      </w:r>
      <w:r>
        <w:rPr>
          <w:rFonts w:hint="default" w:ascii="Times New Roman" w:hAnsi="Times New Roman" w:eastAsia="宋体" w:cs="Times New Roman"/>
          <w:spacing w:val="0"/>
          <w:sz w:val="24"/>
          <w:szCs w:val="24"/>
        </w:rPr>
        <w:t>天。项目主要建设内容为屠宰加工车间、</w:t>
      </w:r>
      <w:r>
        <w:rPr>
          <w:rFonts w:hint="default" w:ascii="Times New Roman" w:hAnsi="Times New Roman" w:eastAsia="宋体" w:cs="Times New Roman"/>
          <w:spacing w:val="0"/>
          <w:sz w:val="24"/>
          <w:szCs w:val="24"/>
          <w:lang w:eastAsia="zh-CN"/>
        </w:rPr>
        <w:t>牛羊</w:t>
      </w:r>
      <w:r>
        <w:rPr>
          <w:rFonts w:hint="default" w:ascii="Times New Roman" w:hAnsi="Times New Roman" w:eastAsia="宋体" w:cs="Times New Roman"/>
          <w:spacing w:val="0"/>
          <w:sz w:val="24"/>
          <w:szCs w:val="24"/>
        </w:rPr>
        <w:t>待宰区、冷库、综合办公楼及污水处理</w:t>
      </w:r>
      <w:r>
        <w:rPr>
          <w:rFonts w:hint="eastAsia" w:ascii="Times New Roman" w:hAnsi="Times New Roman" w:eastAsia="宋体" w:cs="Times New Roman"/>
          <w:spacing w:val="0"/>
          <w:sz w:val="24"/>
          <w:szCs w:val="24"/>
          <w:lang w:eastAsia="zh-CN"/>
        </w:rPr>
        <w:t>站</w:t>
      </w:r>
      <w:r>
        <w:rPr>
          <w:rFonts w:hint="default" w:ascii="Times New Roman" w:hAnsi="Times New Roman" w:eastAsia="宋体" w:cs="Times New Roman"/>
          <w:spacing w:val="0"/>
          <w:sz w:val="24"/>
          <w:szCs w:val="24"/>
        </w:rPr>
        <w:t>等。</w:t>
      </w:r>
    </w:p>
    <w:p>
      <w:pPr>
        <w:pStyle w:val="4"/>
        <w:bidi w:val="0"/>
      </w:pPr>
      <w:bookmarkStart w:id="506" w:name="bookmark149"/>
      <w:bookmarkEnd w:id="506"/>
      <w:bookmarkStart w:id="507" w:name="bookmark148"/>
      <w:bookmarkEnd w:id="507"/>
      <w:bookmarkStart w:id="508" w:name="_Toc3520"/>
      <w:bookmarkStart w:id="509" w:name="_Toc25462"/>
      <w:r>
        <w:t>10.1评价结论</w:t>
      </w:r>
      <w:bookmarkEnd w:id="508"/>
      <w:bookmarkEnd w:id="509"/>
    </w:p>
    <w:p>
      <w:pPr>
        <w:keepNext w:val="0"/>
        <w:keepLines w:val="0"/>
        <w:pageBreakBefore w:val="0"/>
        <w:widowControl/>
        <w:kinsoku w:val="0"/>
        <w:wordWrap/>
        <w:overflowPunct/>
        <w:topLinePunct w:val="0"/>
        <w:autoSpaceDE w:val="0"/>
        <w:autoSpaceDN w:val="0"/>
        <w:bidi w:val="0"/>
        <w:adjustRightInd w:val="0"/>
        <w:snapToGrid w:val="0"/>
        <w:spacing w:before="91" w:line="360" w:lineRule="auto"/>
        <w:textAlignment w:val="baseline"/>
        <w:outlineLvl w:val="3"/>
        <w:rPr>
          <w:rFonts w:ascii="楷体" w:hAnsi="楷体" w:eastAsia="楷体" w:cs="楷体"/>
          <w:b/>
          <w:bCs/>
          <w:sz w:val="28"/>
          <w:szCs w:val="28"/>
        </w:rPr>
      </w:pPr>
      <w:r>
        <w:rPr>
          <w:rFonts w:ascii="Times New Roman" w:hAnsi="Times New Roman" w:eastAsia="Times New Roman" w:cs="Times New Roman"/>
          <w:b/>
          <w:bCs/>
          <w:spacing w:val="-4"/>
          <w:sz w:val="28"/>
          <w:szCs w:val="28"/>
        </w:rPr>
        <w:t>10.1.1</w:t>
      </w:r>
      <w:r>
        <w:rPr>
          <w:rFonts w:ascii="楷体" w:hAnsi="楷体" w:eastAsia="楷体" w:cs="楷体"/>
          <w:b/>
          <w:bCs/>
          <w:spacing w:val="-4"/>
          <w:sz w:val="28"/>
          <w:szCs w:val="28"/>
        </w:rPr>
        <w:t>本项目符合国家产业政策</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val="en-US" w:eastAsia="zh-CN"/>
        </w:rPr>
      </w:pPr>
      <w:r>
        <w:rPr>
          <w:rFonts w:hint="eastAsia" w:ascii="Times New Roman" w:hAnsi="Times New Roman" w:eastAsia="宋体" w:cs="Times New Roman"/>
          <w:snapToGrid/>
          <w:kern w:val="2"/>
          <w:sz w:val="24"/>
          <w:szCs w:val="24"/>
          <w:u w:val="none"/>
          <w:lang w:val="en-US" w:eastAsia="zh-CN"/>
        </w:rPr>
        <w:t>根据《产业结构调整指导目录（2019年本）》（2021年修改），叶县2022年马庄乡张庄村畜产品精细加工物流园建设项目包括牛羊的屠宰和肉制品的加工、保鲜、储运以及市场销售，属“鼓励类”第一项“农林类”第26条“农林牧渔产品储运、保鲜、加工及综合利用”。</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val="en-US" w:eastAsia="zh-CN"/>
        </w:rPr>
      </w:pPr>
      <w:r>
        <w:rPr>
          <w:rFonts w:hint="eastAsia" w:ascii="Times New Roman" w:hAnsi="Times New Roman" w:eastAsia="宋体" w:cs="Times New Roman"/>
          <w:snapToGrid/>
          <w:kern w:val="2"/>
          <w:sz w:val="24"/>
          <w:szCs w:val="24"/>
          <w:u w:val="none"/>
          <w:lang w:val="en-US" w:eastAsia="zh-CN"/>
        </w:rPr>
        <w:t>根据《产业结构调整指导目录（2019年本）》（2021年修改），“限制类”中第十二项“轻工”第24条“年屠宰生猪15万头及以下、肉牛1万头及以下、肉羊15万只及以下、活禽1000万只及以下的屠宰建设项目（少数民族地区除外）”。本项目年屠宰肉牛1万头和肉羊15万只，按照肉牛和肉羊1:15的换算比例（GB18596），折算后本项目屠宰规模为年屠宰肉牛2万头（或肉羊30万只），超过了规定的屠宰规模，不属于“限制类”项目。</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u w:val="none"/>
          <w:lang w:eastAsia="zh-CN"/>
        </w:rPr>
      </w:pPr>
      <w:r>
        <w:rPr>
          <w:rFonts w:hint="eastAsia" w:ascii="Times New Roman" w:hAnsi="Times New Roman" w:eastAsia="宋体" w:cs="Times New Roman"/>
          <w:snapToGrid/>
          <w:kern w:val="2"/>
          <w:sz w:val="24"/>
          <w:szCs w:val="24"/>
          <w:u w:val="none"/>
          <w:lang w:val="en-US" w:eastAsia="zh-CN"/>
        </w:rPr>
        <w:t>此外，本项目所在地的马庄回族乡是河南省12个民族乡之一，属少数民族地区。综上，本项目符合当前国家产业政策</w:t>
      </w:r>
      <w:r>
        <w:rPr>
          <w:rFonts w:hint="eastAsia" w:ascii="Times New Roman" w:hAnsi="Times New Roman" w:eastAsia="宋体" w:cs="Times New Roman"/>
          <w:snapToGrid/>
          <w:kern w:val="2"/>
          <w:sz w:val="24"/>
          <w:szCs w:val="24"/>
          <w:u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20" w:line="384" w:lineRule="auto"/>
        <w:ind w:right="79" w:firstLine="482"/>
        <w:textAlignment w:val="baseline"/>
        <w:rPr>
          <w:rFonts w:hint="default" w:ascii="Times New Roman" w:hAnsi="Times New Roman" w:eastAsia="宋体" w:cs="Times New Roman"/>
          <w:sz w:val="24"/>
          <w:szCs w:val="24"/>
        </w:rPr>
      </w:pPr>
      <w:r>
        <w:rPr>
          <w:rFonts w:hint="eastAsia" w:ascii="Times New Roman" w:hAnsi="Times New Roman" w:eastAsia="宋体" w:cs="Times New Roman"/>
          <w:snapToGrid/>
          <w:kern w:val="2"/>
          <w:sz w:val="24"/>
          <w:szCs w:val="24"/>
          <w:u w:val="none"/>
          <w:lang w:val="en-US" w:eastAsia="zh-CN"/>
        </w:rPr>
        <w:t>叶县2022年马庄乡张庄村畜产品精细加工物流园建设项目，已由叶县发展和改革委员会出具了文件，项目代码为：2205-410422-04-01-710458（见附件2）</w:t>
      </w:r>
      <w:r>
        <w:rPr>
          <w:rFonts w:hint="default" w:ascii="Times New Roman" w:hAnsi="Times New Roman" w:eastAsia="宋体" w:cs="Times New Roman"/>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b/>
          <w:bCs/>
          <w:sz w:val="28"/>
          <w:szCs w:val="28"/>
        </w:rPr>
      </w:pPr>
      <w:bookmarkStart w:id="510" w:name="bookmark150"/>
      <w:bookmarkEnd w:id="510"/>
      <w:r>
        <w:rPr>
          <w:rFonts w:ascii="Times New Roman" w:hAnsi="Times New Roman" w:eastAsia="Times New Roman" w:cs="Times New Roman"/>
          <w:b/>
          <w:bCs/>
          <w:spacing w:val="-3"/>
          <w:sz w:val="28"/>
          <w:szCs w:val="28"/>
        </w:rPr>
        <w:t>10.1.2</w:t>
      </w:r>
      <w:r>
        <w:rPr>
          <w:rFonts w:ascii="楷体" w:hAnsi="楷体" w:eastAsia="楷体" w:cs="楷体"/>
          <w:b/>
          <w:bCs/>
          <w:spacing w:val="-3"/>
          <w:sz w:val="28"/>
          <w:szCs w:val="28"/>
        </w:rPr>
        <w:t>项目场址选择可行</w:t>
      </w:r>
    </w:p>
    <w:p>
      <w:pPr>
        <w:keepNext w:val="0"/>
        <w:keepLines w:val="0"/>
        <w:pageBreakBefore w:val="0"/>
        <w:widowControl/>
        <w:kinsoku/>
        <w:wordWrap/>
        <w:overflowPunct/>
        <w:topLinePunct w:val="0"/>
        <w:autoSpaceDE w:val="0"/>
        <w:autoSpaceDN w:val="0"/>
        <w:bidi w:val="0"/>
        <w:adjustRightInd w:val="0"/>
        <w:snapToGrid w:val="0"/>
        <w:spacing w:before="1" w:line="360" w:lineRule="auto"/>
        <w:ind w:firstLine="47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lang w:val="en-US" w:eastAsia="zh-CN"/>
        </w:rPr>
        <w:t>本项目位于叶县马庄乡张庄村</w:t>
      </w:r>
      <w:r>
        <w:rPr>
          <w:rFonts w:hint="eastAsia" w:ascii="Times New Roman" w:hAnsi="Times New Roman" w:eastAsia="宋体" w:cs="Times New Roman"/>
          <w:spacing w:val="-2"/>
          <w:sz w:val="24"/>
          <w:szCs w:val="24"/>
          <w:lang w:val="en-US" w:eastAsia="zh-CN"/>
        </w:rPr>
        <w:t>（河南省平顶山市迪可集团食品有限公司厂区院内）</w:t>
      </w:r>
      <w:r>
        <w:rPr>
          <w:rFonts w:hint="default" w:ascii="Times New Roman" w:hAnsi="Times New Roman" w:eastAsia="宋体" w:cs="Times New Roman"/>
          <w:spacing w:val="-2"/>
          <w:sz w:val="24"/>
          <w:szCs w:val="24"/>
          <w:lang w:val="en-US" w:eastAsia="zh-CN"/>
        </w:rPr>
        <w:t>，根据叶县自然资源局出具的证明，本项目位于叶县城镇开发开发边界外，与《叶县国土空间总体规划（2021-2035）》（报批版）城市规划区范围对比，项目不在城市规划区范围内，项目的建设符合叶县国土空间总体规划的要求</w:t>
      </w:r>
      <w:r>
        <w:rPr>
          <w:rFonts w:hint="default" w:ascii="Times New Roman" w:hAnsi="Times New Roman" w:eastAsia="宋体" w:cs="Times New Roman"/>
          <w:spacing w:val="-2"/>
          <w:sz w:val="24"/>
          <w:szCs w:val="24"/>
        </w:rPr>
        <w:t>。</w:t>
      </w:r>
    </w:p>
    <w:p>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textAlignment w:val="baseline"/>
        <w:rPr>
          <w:rFonts w:hint="default" w:ascii="Times New Roman" w:hAnsi="Times New Roman" w:eastAsia="宋体" w:cs="Times New Roman"/>
          <w:sz w:val="24"/>
          <w:szCs w:val="24"/>
        </w:rPr>
      </w:pPr>
      <w:r>
        <w:rPr>
          <w:rFonts w:hint="default" w:ascii="Times New Roman" w:hAnsi="Times New Roman" w:cs="Times New Roman"/>
          <w:kern w:val="0"/>
          <w:sz w:val="24"/>
          <w:szCs w:val="24"/>
          <w:lang w:val="en-US" w:eastAsia="zh-CN"/>
        </w:rPr>
        <w:t>根据叶县马庄乡人民政府出具的《规划证明》（</w:t>
      </w:r>
      <w:r>
        <w:rPr>
          <w:rFonts w:hint="default" w:ascii="Times New Roman" w:hAnsi="Times New Roman" w:cs="Times New Roman"/>
          <w:kern w:val="0"/>
          <w:sz w:val="24"/>
          <w:szCs w:val="24"/>
          <w:highlight w:val="none"/>
          <w:lang w:val="en-US" w:eastAsia="zh-CN"/>
        </w:rPr>
        <w:t>见附件</w:t>
      </w:r>
      <w:r>
        <w:rPr>
          <w:rFonts w:hint="eastAsia" w:ascii="Times New Roman" w:hAnsi="Times New Roman" w:cs="Times New Roman"/>
          <w:kern w:val="0"/>
          <w:sz w:val="24"/>
          <w:szCs w:val="24"/>
          <w:highlight w:val="none"/>
          <w:lang w:val="en-US" w:eastAsia="zh-CN"/>
        </w:rPr>
        <w:t>3</w:t>
      </w:r>
      <w:r>
        <w:rPr>
          <w:rFonts w:hint="default" w:ascii="Times New Roman" w:hAnsi="Times New Roman" w:cs="Times New Roman"/>
          <w:kern w:val="0"/>
          <w:sz w:val="24"/>
          <w:szCs w:val="24"/>
          <w:lang w:val="en-US" w:eastAsia="zh-CN"/>
        </w:rPr>
        <w:t>），</w:t>
      </w:r>
      <w:r>
        <w:rPr>
          <w:rFonts w:hint="eastAsia" w:ascii="Times New Roman" w:hAnsi="Times New Roman" w:cs="Times New Roman"/>
          <w:kern w:val="0"/>
          <w:sz w:val="24"/>
          <w:szCs w:val="24"/>
          <w:lang w:val="en-US" w:eastAsia="zh-CN"/>
        </w:rPr>
        <w:t>本</w:t>
      </w:r>
      <w:r>
        <w:rPr>
          <w:rFonts w:hint="default" w:ascii="Times New Roman" w:hAnsi="Times New Roman" w:cs="Times New Roman"/>
          <w:kern w:val="0"/>
          <w:sz w:val="24"/>
          <w:szCs w:val="24"/>
          <w:lang w:val="en-US" w:eastAsia="zh-CN"/>
        </w:rPr>
        <w:t>项目建设符合马庄乡建设发展规划，由马庄乡人民政府主办，由叶县迪可清真食品有限公司承办，并负责组织具体实施</w:t>
      </w:r>
      <w:r>
        <w:rPr>
          <w:rFonts w:hint="default" w:ascii="Times New Roman" w:hAnsi="Times New Roman" w:eastAsia="宋体" w:cs="Times New Roman"/>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b/>
          <w:bCs/>
          <w:sz w:val="28"/>
          <w:szCs w:val="28"/>
        </w:rPr>
      </w:pPr>
      <w:bookmarkStart w:id="511" w:name="bookmark151"/>
      <w:bookmarkEnd w:id="511"/>
      <w:r>
        <w:rPr>
          <w:rFonts w:ascii="Times New Roman" w:hAnsi="Times New Roman" w:eastAsia="Times New Roman" w:cs="Times New Roman"/>
          <w:b/>
          <w:bCs/>
          <w:spacing w:val="-2"/>
          <w:sz w:val="28"/>
          <w:szCs w:val="28"/>
        </w:rPr>
        <w:t>10.1.3</w:t>
      </w:r>
      <w:r>
        <w:rPr>
          <w:rFonts w:ascii="楷体" w:hAnsi="楷体" w:eastAsia="楷体" w:cs="楷体"/>
          <w:b/>
          <w:bCs/>
          <w:spacing w:val="-2"/>
          <w:sz w:val="28"/>
          <w:szCs w:val="28"/>
        </w:rPr>
        <w:t>评价区环境质量现状较好</w:t>
      </w:r>
    </w:p>
    <w:p>
      <w:pPr>
        <w:keepNext w:val="0"/>
        <w:keepLines w:val="0"/>
        <w:pageBreakBefore w:val="0"/>
        <w:widowControl/>
        <w:kinsoku w:val="0"/>
        <w:wordWrap/>
        <w:overflowPunct/>
        <w:topLinePunct w:val="0"/>
        <w:autoSpaceDE w:val="0"/>
        <w:autoSpaceDN w:val="0"/>
        <w:bidi w:val="0"/>
        <w:adjustRightInd w:val="0"/>
        <w:snapToGrid w:val="0"/>
        <w:spacing w:before="30" w:line="360" w:lineRule="auto"/>
        <w:ind w:left="567"/>
        <w:textAlignment w:val="baseline"/>
        <w:rPr>
          <w:rFonts w:ascii="宋体" w:hAnsi="宋体" w:eastAsia="宋体" w:cs="宋体"/>
          <w:sz w:val="24"/>
          <w:szCs w:val="24"/>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w:t>
      </w:r>
      <w:r>
        <w:rPr>
          <w:rFonts w:ascii="宋体" w:hAnsi="宋体" w:eastAsia="宋体" w:cs="宋体"/>
          <w:spacing w:val="-3"/>
          <w:sz w:val="24"/>
          <w:szCs w:val="24"/>
        </w:rPr>
        <w:t>环境空气</w:t>
      </w:r>
    </w:p>
    <w:p>
      <w:pPr>
        <w:keepNext w:val="0"/>
        <w:keepLines w:val="0"/>
        <w:pageBreakBefore w:val="0"/>
        <w:widowControl/>
        <w:kinsoku w:val="0"/>
        <w:wordWrap/>
        <w:overflowPunct/>
        <w:topLinePunct w:val="0"/>
        <w:autoSpaceDE w:val="0"/>
        <w:autoSpaceDN w:val="0"/>
        <w:bidi w:val="0"/>
        <w:adjustRightInd w:val="0"/>
        <w:snapToGrid w:val="0"/>
        <w:spacing w:before="69" w:line="360" w:lineRule="auto"/>
        <w:ind w:left="0" w:firstLine="468" w:firstLineChars="200"/>
        <w:textAlignment w:val="baseline"/>
        <w:rPr>
          <w:rFonts w:ascii="宋体" w:hAnsi="宋体" w:eastAsia="宋体" w:cs="宋体"/>
          <w:sz w:val="24"/>
          <w:szCs w:val="24"/>
        </w:rPr>
      </w:pPr>
      <w:r>
        <w:rPr>
          <w:rFonts w:ascii="宋体" w:hAnsi="宋体" w:eastAsia="宋体" w:cs="宋体"/>
          <w:spacing w:val="-3"/>
          <w:sz w:val="24"/>
          <w:szCs w:val="24"/>
        </w:rPr>
        <w:t>根据</w:t>
      </w:r>
      <w:r>
        <w:rPr>
          <w:rFonts w:hint="eastAsia" w:ascii="宋体" w:hAnsi="宋体" w:eastAsia="宋体" w:cs="宋体"/>
          <w:spacing w:val="-3"/>
          <w:sz w:val="24"/>
          <w:szCs w:val="24"/>
          <w:lang w:eastAsia="zh-CN"/>
        </w:rPr>
        <w:t>叶县</w:t>
      </w:r>
      <w:r>
        <w:rPr>
          <w:rFonts w:ascii="宋体" w:hAnsi="宋体" w:eastAsia="宋体" w:cs="宋体"/>
          <w:spacing w:val="-3"/>
          <w:sz w:val="24"/>
          <w:szCs w:val="24"/>
        </w:rPr>
        <w:t>常规监测数据可知，项目所在区域的</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宋体" w:hAnsi="宋体" w:eastAsia="宋体" w:cs="宋体"/>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5"/>
          <w:w w:val="101"/>
          <w:position w:val="-1"/>
          <w:sz w:val="15"/>
          <w:szCs w:val="15"/>
        </w:rPr>
        <w:t xml:space="preserve"> </w:t>
      </w:r>
      <w:r>
        <w:rPr>
          <w:rFonts w:ascii="宋体" w:hAnsi="宋体" w:eastAsia="宋体" w:cs="宋体"/>
          <w:spacing w:val="-3"/>
          <w:sz w:val="24"/>
          <w:szCs w:val="24"/>
        </w:rPr>
        <w:t>不达标，项目所在评价区域环境空气质量不达标；由监测结果可知，各监测点位</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S</w:t>
      </w:r>
      <w:r>
        <w:rPr>
          <w:rFonts w:ascii="宋体" w:hAnsi="宋体" w:eastAsia="宋体" w:cs="宋体"/>
          <w:spacing w:val="-4"/>
          <w:sz w:val="24"/>
          <w:szCs w:val="24"/>
        </w:rPr>
        <w:t>均符合</w:t>
      </w:r>
      <w:r>
        <w:rPr>
          <w:rFonts w:ascii="宋体" w:hAnsi="宋体" w:eastAsia="宋体" w:cs="宋体"/>
          <w:spacing w:val="-1"/>
          <w:sz w:val="24"/>
          <w:szCs w:val="24"/>
        </w:rPr>
        <w:t>《环境影响评价技术导则 大气环境》（</w:t>
      </w:r>
      <w:r>
        <w:rPr>
          <w:rFonts w:ascii="Times New Roman" w:hAnsi="Times New Roman" w:eastAsia="Times New Roman" w:cs="Times New Roman"/>
          <w:spacing w:val="-1"/>
          <w:sz w:val="24"/>
          <w:szCs w:val="24"/>
        </w:rPr>
        <w:t>HJ2.2-20</w:t>
      </w:r>
      <w:r>
        <w:rPr>
          <w:rFonts w:ascii="Times New Roman" w:hAnsi="Times New Roman" w:eastAsia="Times New Roman" w:cs="Times New Roman"/>
          <w:spacing w:val="-2"/>
          <w:sz w:val="24"/>
          <w:szCs w:val="24"/>
        </w:rPr>
        <w:t>18</w:t>
      </w:r>
      <w:r>
        <w:rPr>
          <w:rFonts w:ascii="宋体" w:hAnsi="宋体" w:eastAsia="宋体" w:cs="宋体"/>
          <w:spacing w:val="-2"/>
          <w:sz w:val="24"/>
          <w:szCs w:val="24"/>
        </w:rPr>
        <w:t>）附录</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中“其他污染物空气质</w:t>
      </w:r>
      <w:r>
        <w:rPr>
          <w:rFonts w:ascii="宋体" w:hAnsi="宋体" w:eastAsia="宋体" w:cs="宋体"/>
          <w:sz w:val="24"/>
          <w:szCs w:val="24"/>
        </w:rPr>
        <w:t>量浓度参考限值”；臭气浓度可满足《工业企业设计卫生标准》（</w:t>
      </w:r>
      <w:r>
        <w:rPr>
          <w:rFonts w:ascii="Times New Roman" w:hAnsi="Times New Roman" w:eastAsia="Times New Roman" w:cs="Times New Roman"/>
          <w:sz w:val="24"/>
          <w:szCs w:val="24"/>
        </w:rPr>
        <w:t>TJ36-79</w:t>
      </w:r>
      <w:r>
        <w:rPr>
          <w:rFonts w:ascii="宋体" w:hAnsi="宋体" w:eastAsia="宋体" w:cs="宋体"/>
          <w:sz w:val="24"/>
          <w:szCs w:val="24"/>
        </w:rPr>
        <w:t>）居</w:t>
      </w:r>
      <w:r>
        <w:rPr>
          <w:rFonts w:ascii="宋体" w:hAnsi="宋体" w:eastAsia="宋体" w:cs="宋体"/>
          <w:spacing w:val="-1"/>
          <w:sz w:val="24"/>
          <w:szCs w:val="24"/>
        </w:rPr>
        <w:t>住区一次最高容许浓度</w:t>
      </w:r>
      <w:r>
        <w:rPr>
          <w:rFonts w:ascii="Times New Roman" w:hAnsi="Times New Roman" w:eastAsia="Times New Roman" w:cs="Times New Roman"/>
          <w:spacing w:val="-1"/>
          <w:sz w:val="24"/>
          <w:szCs w:val="24"/>
        </w:rPr>
        <w:t>/</w:t>
      </w:r>
      <w:r>
        <w:rPr>
          <w:rFonts w:ascii="宋体" w:hAnsi="宋体" w:eastAsia="宋体" w:cs="宋体"/>
          <w:spacing w:val="-1"/>
          <w:sz w:val="24"/>
          <w:szCs w:val="24"/>
        </w:rPr>
        <w:t>无量纲限值要求。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）地表水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r>
        <w:rPr>
          <w:rFonts w:hint="default" w:ascii="Times New Roman" w:hAnsi="Times New Roman" w:eastAsia="宋体" w:cs="Times New Roman"/>
          <w:snapToGrid/>
          <w:kern w:val="2"/>
          <w:sz w:val="24"/>
          <w:szCs w:val="24"/>
          <w:lang w:eastAsia="zh-CN"/>
        </w:rPr>
        <w:t>由2021年平顶山</w:t>
      </w:r>
      <w:r>
        <w:rPr>
          <w:rFonts w:hint="eastAsia" w:ascii="Times New Roman" w:hAnsi="Times New Roman" w:eastAsia="宋体" w:cs="Times New Roman"/>
          <w:snapToGrid/>
          <w:kern w:val="2"/>
          <w:sz w:val="24"/>
          <w:szCs w:val="24"/>
          <w:lang w:eastAsia="zh-CN"/>
        </w:rPr>
        <w:t>市</w:t>
      </w:r>
      <w:r>
        <w:rPr>
          <w:rFonts w:hint="default" w:ascii="Times New Roman" w:hAnsi="Times New Roman" w:eastAsia="宋体" w:cs="Times New Roman"/>
          <w:snapToGrid/>
          <w:kern w:val="2"/>
          <w:sz w:val="24"/>
          <w:szCs w:val="24"/>
          <w:lang w:eastAsia="zh-CN"/>
        </w:rPr>
        <w:t>生态</w:t>
      </w:r>
      <w:r>
        <w:rPr>
          <w:rFonts w:hint="eastAsia" w:ascii="Times New Roman" w:hAnsi="Times New Roman" w:eastAsia="宋体" w:cs="Times New Roman"/>
          <w:snapToGrid/>
          <w:kern w:val="2"/>
          <w:sz w:val="24"/>
          <w:szCs w:val="24"/>
          <w:lang w:eastAsia="zh-CN"/>
        </w:rPr>
        <w:t>环境</w:t>
      </w:r>
      <w:r>
        <w:rPr>
          <w:rFonts w:hint="default" w:ascii="Times New Roman" w:hAnsi="Times New Roman" w:eastAsia="宋体" w:cs="Times New Roman"/>
          <w:snapToGrid/>
          <w:kern w:val="2"/>
          <w:sz w:val="24"/>
          <w:szCs w:val="24"/>
          <w:lang w:eastAsia="zh-CN"/>
        </w:rPr>
        <w:t>部门发布叶县灰河水寨屈庄断面</w:t>
      </w:r>
      <w:r>
        <w:rPr>
          <w:rFonts w:hint="eastAsia" w:ascii="Times New Roman" w:hAnsi="Times New Roman" w:eastAsia="宋体" w:cs="Times New Roman"/>
          <w:snapToGrid/>
          <w:kern w:val="2"/>
          <w:sz w:val="24"/>
          <w:szCs w:val="24"/>
          <w:lang w:eastAsia="zh-CN"/>
        </w:rPr>
        <w:t>监测数据</w:t>
      </w:r>
      <w:r>
        <w:rPr>
          <w:rFonts w:hint="default" w:ascii="Times New Roman" w:hAnsi="Times New Roman" w:eastAsia="宋体" w:cs="Times New Roman"/>
          <w:snapToGrid/>
          <w:kern w:val="2"/>
          <w:sz w:val="24"/>
          <w:szCs w:val="24"/>
          <w:lang w:eastAsia="zh-CN"/>
        </w:rPr>
        <w:t>可知，</w:t>
      </w:r>
      <w:r>
        <w:rPr>
          <w:rFonts w:hint="eastAsia" w:ascii="Times New Roman" w:hAnsi="Times New Roman" w:eastAsia="宋体" w:cs="Times New Roman"/>
          <w:snapToGrid/>
          <w:kern w:val="2"/>
          <w:sz w:val="24"/>
          <w:szCs w:val="24"/>
          <w:lang w:eastAsia="zh-CN"/>
        </w:rPr>
        <w:t>202</w:t>
      </w:r>
      <w:r>
        <w:rPr>
          <w:rFonts w:hint="default" w:ascii="Times New Roman" w:hAnsi="Times New Roman" w:eastAsia="宋体" w:cs="Times New Roman"/>
          <w:snapToGrid/>
          <w:kern w:val="2"/>
          <w:sz w:val="24"/>
          <w:szCs w:val="24"/>
          <w:lang w:eastAsia="zh-CN"/>
        </w:rPr>
        <w:t>1</w:t>
      </w:r>
      <w:r>
        <w:rPr>
          <w:rFonts w:hint="eastAsia" w:ascii="Times New Roman" w:hAnsi="Times New Roman" w:eastAsia="宋体" w:cs="Times New Roman"/>
          <w:snapToGrid/>
          <w:kern w:val="2"/>
          <w:sz w:val="24"/>
          <w:szCs w:val="24"/>
          <w:lang w:eastAsia="zh-CN"/>
        </w:rPr>
        <w:t>年度</w:t>
      </w:r>
      <w:r>
        <w:rPr>
          <w:rFonts w:hint="default" w:ascii="Times New Roman" w:hAnsi="Times New Roman" w:eastAsia="宋体" w:cs="Times New Roman"/>
          <w:snapToGrid/>
          <w:kern w:val="2"/>
          <w:sz w:val="24"/>
          <w:szCs w:val="24"/>
          <w:lang w:eastAsia="zh-CN"/>
        </w:rPr>
        <w:t>灰河叶县水寨屈庄断面各监测因子均满足《地表水环境质量标准》（GB38382002）</w:t>
      </w:r>
      <w:r>
        <w:rPr>
          <w:rFonts w:hint="eastAsia" w:ascii="Times New Roman" w:hAnsi="Times New Roman" w:eastAsia="宋体" w:cs="Times New Roman"/>
          <w:snapToGrid/>
          <w:kern w:val="2"/>
          <w:sz w:val="24"/>
          <w:szCs w:val="24"/>
          <w:lang w:eastAsia="zh-CN"/>
        </w:rPr>
        <w:t>IV</w:t>
      </w:r>
      <w:r>
        <w:rPr>
          <w:rFonts w:hint="default" w:ascii="Times New Roman" w:hAnsi="Times New Roman" w:eastAsia="宋体" w:cs="Times New Roman"/>
          <w:snapToGrid/>
          <w:kern w:val="2"/>
          <w:sz w:val="24"/>
          <w:szCs w:val="24"/>
          <w:lang w:eastAsia="zh-CN"/>
        </w:rPr>
        <w:t>类标准</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）地下水</w:t>
      </w:r>
    </w:p>
    <w:p>
      <w:pPr>
        <w:keepNext w:val="0"/>
        <w:keepLines w:val="0"/>
        <w:pageBreakBefore w:val="0"/>
        <w:widowControl/>
        <w:kinsoku/>
        <w:wordWrap/>
        <w:overflowPunct/>
        <w:topLinePunct w:val="0"/>
        <w:autoSpaceDE w:val="0"/>
        <w:autoSpaceDN w:val="0"/>
        <w:bidi w:val="0"/>
        <w:adjustRightInd w:val="0"/>
        <w:snapToGrid w:val="0"/>
        <w:spacing w:line="360" w:lineRule="auto"/>
        <w:ind w:left="0" w:right="79" w:firstLine="482"/>
        <w:textAlignment w:val="baseline"/>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监测期间共布设的</w:t>
      </w:r>
      <w:r>
        <w:rPr>
          <w:rFonts w:hint="default" w:ascii="Times New Roman" w:hAnsi="Times New Roman" w:eastAsia="宋体" w:cs="Times New Roman"/>
          <w:spacing w:val="0"/>
          <w:sz w:val="24"/>
          <w:szCs w:val="24"/>
          <w:lang w:val="en-US" w:eastAsia="zh-CN"/>
        </w:rPr>
        <w:t>7</w:t>
      </w:r>
      <w:r>
        <w:rPr>
          <w:rFonts w:hint="default" w:ascii="Times New Roman" w:hAnsi="Times New Roman" w:eastAsia="宋体" w:cs="Times New Roman"/>
          <w:spacing w:val="0"/>
          <w:sz w:val="24"/>
          <w:szCs w:val="24"/>
        </w:rPr>
        <w:t>个地下水水质监测点（项目场址</w:t>
      </w:r>
      <w:r>
        <w:rPr>
          <w:rFonts w:hint="eastAsia"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rPr>
        <w:t>张申庄村</w:t>
      </w:r>
      <w:r>
        <w:rPr>
          <w:rFonts w:hint="eastAsia"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rPr>
        <w:t>贺庄</w:t>
      </w:r>
      <w:r>
        <w:rPr>
          <w:rFonts w:hint="eastAsia"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rPr>
        <w:t>鲁庄</w:t>
      </w:r>
      <w:r>
        <w:rPr>
          <w:rFonts w:hint="eastAsia"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rPr>
        <w:t>大张庄</w:t>
      </w:r>
      <w:r>
        <w:rPr>
          <w:rFonts w:hint="eastAsia"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rPr>
        <w:t>刘庄</w:t>
      </w:r>
      <w:r>
        <w:rPr>
          <w:rFonts w:hint="eastAsia"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rPr>
        <w:t>马庄乡）各监测因子均能满足《地下水质量标准》（</w:t>
      </w:r>
      <w:r>
        <w:rPr>
          <w:rFonts w:hint="default" w:ascii="Times New Roman" w:hAnsi="Times New Roman" w:eastAsia="Times New Roman" w:cs="Times New Roman"/>
          <w:spacing w:val="0"/>
          <w:sz w:val="24"/>
          <w:szCs w:val="24"/>
        </w:rPr>
        <w:t>GB/T14848-93</w:t>
      </w:r>
      <w:r>
        <w:rPr>
          <w:rFonts w:hint="default" w:ascii="Times New Roman" w:hAnsi="Times New Roman" w:eastAsia="宋体" w:cs="Times New Roman"/>
          <w:spacing w:val="0"/>
          <w:sz w:val="24"/>
          <w:szCs w:val="24"/>
        </w:rPr>
        <w:t>）Ⅲ类标准的要求，当地地下水水质较好。</w:t>
      </w:r>
    </w:p>
    <w:p>
      <w:pPr>
        <w:keepNext w:val="0"/>
        <w:keepLines w:val="0"/>
        <w:pageBreakBefore w:val="0"/>
        <w:widowControl/>
        <w:kinsoku/>
        <w:wordWrap/>
        <w:overflowPunct/>
        <w:topLinePunct w:val="0"/>
        <w:autoSpaceDE w:val="0"/>
        <w:autoSpaceDN w:val="0"/>
        <w:bidi w:val="0"/>
        <w:adjustRightInd w:val="0"/>
        <w:snapToGrid w:val="0"/>
        <w:spacing w:before="34" w:line="360" w:lineRule="auto"/>
        <w:ind w:left="493"/>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）声环境</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根据</w:t>
      </w:r>
      <w:r>
        <w:rPr>
          <w:rFonts w:hint="default" w:ascii="Times New Roman" w:hAnsi="Times New Roman" w:eastAsia="宋体" w:cs="Times New Roman"/>
          <w:sz w:val="24"/>
          <w:szCs w:val="24"/>
        </w:rPr>
        <w:t>监测</w:t>
      </w:r>
      <w:r>
        <w:rPr>
          <w:rFonts w:hint="eastAsia" w:ascii="Times New Roman" w:hAnsi="Times New Roman" w:eastAsia="宋体" w:cs="Times New Roman"/>
          <w:sz w:val="24"/>
          <w:szCs w:val="24"/>
          <w:lang w:eastAsia="zh-CN"/>
        </w:rPr>
        <w:t>结果，本项目东、南、北三个</w:t>
      </w:r>
      <w:r>
        <w:rPr>
          <w:rFonts w:hint="default" w:ascii="Times New Roman" w:hAnsi="Times New Roman" w:eastAsia="宋体" w:cs="Times New Roman"/>
          <w:sz w:val="24"/>
          <w:szCs w:val="24"/>
        </w:rPr>
        <w:t>厂界，昼、夜间等效声级值均能达到《声环境质量标准》（GB3096-2008）中2类标准</w:t>
      </w:r>
      <w:r>
        <w:rPr>
          <w:rFonts w:hint="eastAsia" w:ascii="Times New Roman" w:hAnsi="Times New Roman" w:eastAsia="宋体" w:cs="Times New Roman"/>
          <w:sz w:val="24"/>
          <w:szCs w:val="24"/>
          <w:lang w:eastAsia="zh-CN"/>
        </w:rPr>
        <w:t>，西厂界可以达到</w:t>
      </w:r>
      <w:r>
        <w:rPr>
          <w:rFonts w:hint="default" w:ascii="Times New Roman" w:hAnsi="Times New Roman" w:eastAsia="宋体" w:cs="Times New Roman"/>
          <w:sz w:val="24"/>
          <w:szCs w:val="24"/>
          <w:lang w:val="en-US" w:eastAsia="zh-CN"/>
        </w:rPr>
        <w:t>4a类</w:t>
      </w:r>
      <w:r>
        <w:rPr>
          <w:rFonts w:hint="default" w:ascii="Times New Roman" w:hAnsi="Times New Roman" w:eastAsia="宋体" w:cs="Times New Roman"/>
          <w:sz w:val="24"/>
          <w:szCs w:val="24"/>
        </w:rPr>
        <w:t>区标准，说明项目所在区域声环境质量现状较好。</w:t>
      </w:r>
    </w:p>
    <w:p>
      <w:pPr>
        <w:spacing w:before="92" w:line="224" w:lineRule="auto"/>
        <w:outlineLvl w:val="3"/>
        <w:rPr>
          <w:rFonts w:ascii="楷体" w:hAnsi="楷体" w:eastAsia="楷体" w:cs="楷体"/>
          <w:b/>
          <w:bCs/>
          <w:sz w:val="28"/>
          <w:szCs w:val="28"/>
        </w:rPr>
      </w:pPr>
      <w:bookmarkStart w:id="512" w:name="bookmark152"/>
      <w:bookmarkEnd w:id="512"/>
      <w:r>
        <w:rPr>
          <w:rFonts w:ascii="Times New Roman" w:hAnsi="Times New Roman" w:eastAsia="Times New Roman" w:cs="Times New Roman"/>
          <w:b/>
          <w:bCs/>
          <w:spacing w:val="-5"/>
          <w:sz w:val="28"/>
          <w:szCs w:val="28"/>
        </w:rPr>
        <w:t>10.1.4</w:t>
      </w:r>
      <w:r>
        <w:rPr>
          <w:rFonts w:ascii="楷体" w:hAnsi="楷体" w:eastAsia="楷体" w:cs="楷体"/>
          <w:b/>
          <w:bCs/>
          <w:spacing w:val="-5"/>
          <w:sz w:val="28"/>
          <w:szCs w:val="28"/>
        </w:rPr>
        <w:t>污染物达标排放</w:t>
      </w:r>
    </w:p>
    <w:p>
      <w:pPr>
        <w:spacing w:before="229" w:line="385" w:lineRule="auto"/>
        <w:ind w:left="3" w:right="80" w:firstLine="478"/>
        <w:jc w:val="both"/>
        <w:rPr>
          <w:rFonts w:ascii="宋体" w:hAnsi="宋体" w:eastAsia="宋体" w:cs="宋体"/>
          <w:sz w:val="24"/>
          <w:szCs w:val="24"/>
        </w:rPr>
      </w:pPr>
      <w:r>
        <w:rPr>
          <w:rFonts w:ascii="宋体" w:hAnsi="宋体" w:eastAsia="宋体" w:cs="宋体"/>
          <w:spacing w:val="2"/>
          <w:sz w:val="24"/>
          <w:szCs w:val="24"/>
        </w:rPr>
        <w:t>本项目废气、废水污染物实现达标排放、噪声污染得到有效控制，固体废物全部得到</w:t>
      </w:r>
      <w:r>
        <w:rPr>
          <w:rFonts w:hint="eastAsia" w:ascii="宋体" w:hAnsi="宋体" w:eastAsia="宋体" w:cs="宋体"/>
          <w:spacing w:val="2"/>
          <w:sz w:val="24"/>
          <w:szCs w:val="24"/>
          <w:lang w:eastAsia="zh-CN"/>
        </w:rPr>
        <w:t>妥善收集和</w:t>
      </w:r>
      <w:r>
        <w:rPr>
          <w:rFonts w:ascii="宋体" w:hAnsi="宋体" w:eastAsia="宋体" w:cs="宋体"/>
          <w:spacing w:val="2"/>
          <w:sz w:val="24"/>
          <w:szCs w:val="24"/>
        </w:rPr>
        <w:t>处置，项目营运产生的各种污染物经采取相应措施后对周边环境影响不</w:t>
      </w:r>
      <w:r>
        <w:rPr>
          <w:rFonts w:ascii="宋体" w:hAnsi="宋体" w:eastAsia="宋体" w:cs="宋体"/>
          <w:spacing w:val="-7"/>
          <w:sz w:val="24"/>
          <w:szCs w:val="24"/>
        </w:rPr>
        <w:t>大。</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废气</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本项目营运期废气主要为厂区生产恶臭气体和食堂油烟废气。</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①恶臭废气</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通过对待宰车间和屠宰过程中产生的废物进行日产日清、及时清理内脏等副产品送至冷库，保持车间的清洁，对待宰车间、屠宰车间、污水站等定期喷洒生物除臭菌剂，屠宰车间、污水处理站恶臭气体收集后经净化效率为90%生物除臭装置处理后，排放速率分别为：NH</w:t>
      </w:r>
      <w:r>
        <w:rPr>
          <w:rFonts w:hint="default" w:ascii="Times New Roman" w:hAnsi="Times New Roman" w:cs="Times New Roman"/>
          <w:sz w:val="24"/>
          <w:szCs w:val="24"/>
          <w:vertAlign w:val="subscript"/>
        </w:rPr>
        <w:t>3</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0.004</w:t>
      </w:r>
      <w:r>
        <w:rPr>
          <w:rFonts w:hint="eastAsia" w:ascii="Times New Roman" w:hAnsi="Times New Roman" w:eastAsia="宋体" w:cs="Times New Roman"/>
          <w:sz w:val="24"/>
          <w:szCs w:val="24"/>
          <w:lang w:val="en-US" w:eastAsia="zh-CN"/>
        </w:rPr>
        <w:t>6</w:t>
      </w:r>
      <w:r>
        <w:rPr>
          <w:rFonts w:hint="default" w:ascii="Times New Roman" w:hAnsi="Times New Roman" w:cs="Times New Roman"/>
          <w:sz w:val="24"/>
          <w:szCs w:val="24"/>
        </w:rPr>
        <w:t>kg/h ，H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r>
        <w:rPr>
          <w:rFonts w:hint="eastAsia" w:ascii="Times New Roman" w:hAnsi="Times New Roman" w:eastAsia="宋体" w:cs="Times New Roman"/>
          <w:sz w:val="24"/>
          <w:szCs w:val="24"/>
          <w:lang w:val="en-US" w:eastAsia="zh-CN"/>
        </w:rPr>
        <w:t>0.00034</w:t>
      </w:r>
      <w:r>
        <w:rPr>
          <w:rFonts w:hint="default" w:ascii="Times New Roman" w:hAnsi="Times New Roman" w:cs="Times New Roman"/>
          <w:sz w:val="24"/>
          <w:szCs w:val="24"/>
        </w:rPr>
        <w:t>kg/h废气排放满足《恶臭污染 物排放标准》（GB14554-93）的表2标准的要求（NH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：4.9kg/h、H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S：0.33kg/h），可以实现达标排放。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厂区无组织恶臭气体经影响预测可知，厂界无组织恶臭气体中NH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S浓度分别为 0.00359mg/m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和 0.000271mg/m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，均能够满足《恶臭污染 物排放标准》（GB14554-93）表1中二级标准限值要求（NH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：1.5mg/m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 xml:space="preserve"> 、H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S：0.06mg/m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由于臭气浓度很难定量计算，类比同类屠宰企业，经采取相应的处理措施后其有组织及厂界无组织臭气浓度均可实现达标排放，可以满足《恶臭污染物排放标准》（GB14554-93）中二级标准。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②油烟废气</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本项目食堂向员工提供就餐服务。根据工程分析可知，本项目灶头上部设有烟罩，油烟废气由烟罩收集后，经油烟净化装置处理后由烟道引至室外排放，食堂油烟废气能够满足《餐饮业油烟污染物排放 标准》（DB41/1604-2018）小型食堂最高允许排放浓度1.5mg/m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、净化设施最低去除率90%的要求。</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废水</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本项目废水主要为生产废水和生活污水，排水总量为</w:t>
      </w:r>
      <w:r>
        <w:rPr>
          <w:rFonts w:hint="eastAsia" w:ascii="Times New Roman" w:hAnsi="Times New Roman" w:eastAsia="宋体" w:cs="Times New Roman"/>
          <w:sz w:val="24"/>
          <w:szCs w:val="24"/>
          <w:lang w:val="en-US" w:eastAsia="zh-CN"/>
        </w:rPr>
        <w:t>255.54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/d，主要污染物为COD、BOD、SS、pH、NH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-N、动植物油等。本项目废水经</w:t>
      </w:r>
      <w:r>
        <w:rPr>
          <w:rFonts w:hint="eastAsia" w:ascii="Times New Roman" w:hAnsi="Times New Roman" w:eastAsia="宋体" w:cs="Times New Roman"/>
          <w:sz w:val="24"/>
          <w:szCs w:val="24"/>
          <w:lang w:eastAsia="zh-CN"/>
        </w:rPr>
        <w:t>厂内</w:t>
      </w:r>
      <w:r>
        <w:rPr>
          <w:rFonts w:hint="default" w:ascii="Times New Roman" w:hAnsi="Times New Roman" w:cs="Times New Roman"/>
          <w:sz w:val="24"/>
          <w:szCs w:val="24"/>
        </w:rPr>
        <w:t>污水处理站进行处理，出水水质为：COD</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222.2mg/L、BOD</w:t>
      </w:r>
      <w:r>
        <w:rPr>
          <w:rFonts w:hint="default" w:ascii="Times New Roman" w:hAnsi="Times New Roman" w:cs="Times New Roman"/>
          <w:sz w:val="24"/>
          <w:szCs w:val="24"/>
          <w:vertAlign w:val="subscript"/>
        </w:rPr>
        <w:t>5</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10</w:t>
      </w:r>
      <w:r>
        <w:rPr>
          <w:rFonts w:hint="eastAsia" w:ascii="Times New Roman" w:hAnsi="Times New Roman" w:eastAsia="宋体" w:cs="Times New Roman"/>
          <w:sz w:val="24"/>
          <w:szCs w:val="24"/>
          <w:lang w:val="en-US" w:eastAsia="zh-CN"/>
        </w:rPr>
        <w:t>4</w:t>
      </w:r>
      <w:r>
        <w:rPr>
          <w:rFonts w:hint="default" w:ascii="Times New Roman" w:hAnsi="Times New Roman" w:cs="Times New Roman"/>
          <w:sz w:val="24"/>
          <w:szCs w:val="24"/>
        </w:rPr>
        <w:t>mg/L、SS</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9</w:t>
      </w:r>
      <w:r>
        <w:rPr>
          <w:rFonts w:hint="eastAsia" w:ascii="Times New Roman" w:hAnsi="Times New Roman" w:eastAsia="宋体" w:cs="Times New Roman"/>
          <w:sz w:val="24"/>
          <w:szCs w:val="24"/>
          <w:lang w:val="en-US" w:eastAsia="zh-CN"/>
        </w:rPr>
        <w:t>2.4</w:t>
      </w:r>
      <w:r>
        <w:rPr>
          <w:rFonts w:hint="default" w:ascii="Times New Roman" w:hAnsi="Times New Roman" w:cs="Times New Roman"/>
          <w:sz w:val="24"/>
          <w:szCs w:val="24"/>
        </w:rPr>
        <w:t>mg/L、氨氮 1</w:t>
      </w:r>
      <w:r>
        <w:rPr>
          <w:rFonts w:hint="eastAsia" w:ascii="Times New Roman" w:hAnsi="Times New Roman" w:eastAsia="宋体" w:cs="Times New Roman"/>
          <w:sz w:val="24"/>
          <w:szCs w:val="24"/>
          <w:lang w:val="en-US" w:eastAsia="zh-CN"/>
        </w:rPr>
        <w:t>8.2</w:t>
      </w:r>
      <w:r>
        <w:rPr>
          <w:rFonts w:hint="default" w:ascii="Times New Roman" w:hAnsi="Times New Roman" w:cs="Times New Roman"/>
          <w:sz w:val="24"/>
          <w:szCs w:val="24"/>
        </w:rPr>
        <w:t>mg/L、总磷 1.</w:t>
      </w:r>
      <w:r>
        <w:rPr>
          <w:rFonts w:hint="eastAsia" w:ascii="Times New Roman" w:hAnsi="Times New Roman" w:eastAsia="宋体" w:cs="Times New Roman"/>
          <w:sz w:val="24"/>
          <w:szCs w:val="24"/>
          <w:lang w:val="en-US" w:eastAsia="zh-CN"/>
        </w:rPr>
        <w:t>8</w:t>
      </w:r>
      <w:r>
        <w:rPr>
          <w:rFonts w:hint="default" w:ascii="Times New Roman" w:hAnsi="Times New Roman" w:cs="Times New Roman"/>
          <w:sz w:val="24"/>
          <w:szCs w:val="24"/>
        </w:rPr>
        <w:t xml:space="preserve">mg/L 、总氮 </w:t>
      </w:r>
      <w:r>
        <w:rPr>
          <w:rFonts w:hint="eastAsia" w:ascii="Times New Roman" w:hAnsi="Times New Roman" w:eastAsia="宋体" w:cs="Times New Roman"/>
          <w:sz w:val="24"/>
          <w:szCs w:val="24"/>
          <w:lang w:val="en-US" w:eastAsia="zh-CN"/>
        </w:rPr>
        <w:t>30.6</w:t>
      </w:r>
      <w:r>
        <w:rPr>
          <w:rFonts w:hint="default" w:ascii="Times New Roman" w:hAnsi="Times New Roman" w:cs="Times New Roman"/>
          <w:sz w:val="24"/>
          <w:szCs w:val="24"/>
        </w:rPr>
        <w:t>mg/L、动植物油 2</w:t>
      </w:r>
      <w:r>
        <w:rPr>
          <w:rFonts w:hint="eastAsia" w:ascii="Times New Roman" w:hAnsi="Times New Roman" w:eastAsia="宋体" w:cs="Times New Roman"/>
          <w:sz w:val="24"/>
          <w:szCs w:val="24"/>
          <w:lang w:val="en-US" w:eastAsia="zh-CN"/>
        </w:rPr>
        <w:t>7.2</w:t>
      </w:r>
      <w:r>
        <w:rPr>
          <w:rFonts w:hint="default" w:ascii="Times New Roman" w:hAnsi="Times New Roman" w:cs="Times New Roman"/>
          <w:sz w:val="24"/>
          <w:szCs w:val="24"/>
        </w:rPr>
        <w:t>mg/L，</w:t>
      </w:r>
      <w:r>
        <w:rPr>
          <w:rFonts w:hint="eastAsia" w:ascii="Times New Roman" w:hAnsi="Times New Roman" w:eastAsia="宋体" w:cs="Times New Roman"/>
          <w:sz w:val="24"/>
          <w:szCs w:val="24"/>
          <w:lang w:eastAsia="zh-CN"/>
        </w:rPr>
        <w:t>符合</w:t>
      </w:r>
      <w:r>
        <w:rPr>
          <w:rFonts w:hint="default" w:ascii="Times New Roman" w:hAnsi="Times New Roman" w:cs="Times New Roman"/>
          <w:sz w:val="24"/>
          <w:szCs w:val="24"/>
        </w:rPr>
        <w:t>《肉类加工工业水污染物排放标准》（GB13457-92）表 3 中畜类屠宰加工三级标准限值</w:t>
      </w:r>
      <w:r>
        <w:rPr>
          <w:rFonts w:hint="eastAsia" w:ascii="Times New Roman" w:hAnsi="Times New Roman" w:eastAsia="宋体" w:cs="Times New Roman"/>
          <w:sz w:val="24"/>
          <w:szCs w:val="24"/>
          <w:lang w:eastAsia="zh-CN"/>
        </w:rPr>
        <w:t>和</w:t>
      </w:r>
      <w:r>
        <w:rPr>
          <w:rFonts w:hint="default" w:ascii="Times New Roman" w:hAnsi="Times New Roman" w:cs="Times New Roman"/>
          <w:sz w:val="24"/>
          <w:szCs w:val="24"/>
          <w:lang w:eastAsia="zh-CN"/>
        </w:rPr>
        <w:t>叶县县城污水处理厂</w:t>
      </w:r>
      <w:r>
        <w:rPr>
          <w:rFonts w:hint="eastAsia" w:ascii="Times New Roman" w:hAnsi="Times New Roman" w:cs="Times New Roman"/>
          <w:sz w:val="24"/>
          <w:szCs w:val="24"/>
          <w:lang w:eastAsia="zh-CN"/>
        </w:rPr>
        <w:t>进水水质</w:t>
      </w:r>
      <w:r>
        <w:rPr>
          <w:rFonts w:hint="eastAsia" w:ascii="Times New Roman" w:hAnsi="Times New Roman" w:eastAsia="宋体" w:cs="Times New Roman"/>
          <w:sz w:val="24"/>
          <w:szCs w:val="24"/>
          <w:lang w:eastAsia="zh-CN"/>
        </w:rPr>
        <w:t>的</w:t>
      </w:r>
      <w:r>
        <w:rPr>
          <w:rFonts w:hint="default" w:ascii="Times New Roman" w:hAnsi="Times New Roman" w:cs="Times New Roman"/>
          <w:sz w:val="24"/>
          <w:szCs w:val="24"/>
        </w:rPr>
        <w:t>要求，</w:t>
      </w:r>
      <w:r>
        <w:rPr>
          <w:rFonts w:hint="eastAsia" w:ascii="Times New Roman" w:hAnsi="Times New Roman" w:eastAsia="宋体" w:cs="Times New Roman"/>
          <w:sz w:val="24"/>
          <w:szCs w:val="24"/>
          <w:lang w:eastAsia="zh-CN"/>
        </w:rPr>
        <w:t>实现达标排放</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eastAsia" w:ascii="Times New Roman" w:hAnsi="Times New Roman" w:eastAsia="宋体" w:cs="Times New Roman"/>
          <w:sz w:val="24"/>
          <w:szCs w:val="24"/>
          <w:highlight w:val="none"/>
          <w:lang w:eastAsia="zh-CN"/>
        </w:rPr>
        <w:t>本项目</w:t>
      </w:r>
      <w:r>
        <w:rPr>
          <w:rFonts w:hint="default" w:ascii="Times New Roman" w:hAnsi="Times New Roman" w:cs="Times New Roman"/>
          <w:sz w:val="24"/>
          <w:szCs w:val="24"/>
          <w:highlight w:val="none"/>
        </w:rPr>
        <w:t>废水经</w:t>
      </w:r>
      <w:r>
        <w:rPr>
          <w:rFonts w:hint="default" w:ascii="Times New Roman" w:hAnsi="Times New Roman" w:cs="Times New Roman"/>
          <w:sz w:val="24"/>
          <w:szCs w:val="24"/>
          <w:highlight w:val="none"/>
          <w:lang w:eastAsia="zh-CN"/>
        </w:rPr>
        <w:t>叶县县城污水处理厂</w:t>
      </w:r>
      <w:r>
        <w:rPr>
          <w:rFonts w:hint="default" w:ascii="Times New Roman" w:hAnsi="Times New Roman" w:cs="Times New Roman"/>
          <w:sz w:val="24"/>
          <w:szCs w:val="24"/>
          <w:highlight w:val="none"/>
        </w:rPr>
        <w:t>进一步处理后排入</w:t>
      </w:r>
      <w:r>
        <w:rPr>
          <w:rFonts w:hint="eastAsia" w:ascii="Times New Roman" w:hAnsi="Times New Roman" w:eastAsia="宋体" w:cs="Times New Roman"/>
          <w:sz w:val="24"/>
          <w:szCs w:val="24"/>
          <w:highlight w:val="none"/>
          <w:lang w:eastAsia="zh-CN"/>
        </w:rPr>
        <w:t>灰河</w:t>
      </w:r>
      <w:r>
        <w:rPr>
          <w:rFonts w:hint="default" w:ascii="Times New Roman" w:hAnsi="Times New Roman" w:cs="Times New Roman"/>
          <w:sz w:val="24"/>
          <w:szCs w:val="24"/>
          <w:highlight w:val="none"/>
        </w:rPr>
        <w:t>，</w:t>
      </w:r>
      <w:r>
        <w:rPr>
          <w:rFonts w:hint="eastAsia" w:ascii="Times New Roman" w:hAnsi="Times New Roman" w:eastAsia="宋体" w:cs="Times New Roman"/>
          <w:sz w:val="24"/>
          <w:szCs w:val="24"/>
          <w:highlight w:val="none"/>
          <w:lang w:eastAsia="zh-CN"/>
        </w:rPr>
        <w:t>灰河</w:t>
      </w:r>
      <w:r>
        <w:rPr>
          <w:rFonts w:hint="default" w:ascii="Times New Roman" w:hAnsi="Times New Roman" w:cs="Times New Roman"/>
          <w:sz w:val="24"/>
          <w:szCs w:val="24"/>
          <w:highlight w:val="none"/>
        </w:rPr>
        <w:t>向东汇入</w:t>
      </w:r>
      <w:r>
        <w:rPr>
          <w:rFonts w:hint="eastAsia" w:ascii="Times New Roman" w:hAnsi="Times New Roman" w:eastAsia="宋体" w:cs="Times New Roman"/>
          <w:sz w:val="24"/>
          <w:szCs w:val="24"/>
          <w:highlight w:val="none"/>
          <w:lang w:eastAsia="zh-CN"/>
        </w:rPr>
        <w:t>沙河。</w:t>
      </w:r>
      <w:r>
        <w:rPr>
          <w:rFonts w:hint="default" w:ascii="Times New Roman" w:hAnsi="Times New Roman" w:cs="Times New Roman"/>
          <w:sz w:val="24"/>
          <w:szCs w:val="24"/>
          <w:highlight w:val="none"/>
        </w:rPr>
        <w:t>项目废水不直接排入地表水体，因此，本项目的实施对</w:t>
      </w:r>
      <w:r>
        <w:rPr>
          <w:rFonts w:hint="eastAsia" w:ascii="Times New Roman" w:hAnsi="Times New Roman" w:eastAsia="宋体" w:cs="Times New Roman"/>
          <w:sz w:val="24"/>
          <w:szCs w:val="24"/>
          <w:highlight w:val="none"/>
          <w:lang w:eastAsia="zh-CN"/>
        </w:rPr>
        <w:t>周围水环境</w:t>
      </w:r>
      <w:r>
        <w:rPr>
          <w:rFonts w:hint="default" w:ascii="Times New Roman" w:hAnsi="Times New Roman" w:cs="Times New Roman"/>
          <w:sz w:val="24"/>
          <w:szCs w:val="24"/>
          <w:highlight w:val="none"/>
        </w:rPr>
        <w:t>影响较小。</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3</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噪声</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项目运营期噪声主要为设备噪声和</w:t>
      </w:r>
      <w:r>
        <w:rPr>
          <w:rFonts w:hint="eastAsia" w:ascii="Times New Roman" w:hAnsi="Times New Roman" w:eastAsia="宋体" w:cs="Times New Roman"/>
          <w:sz w:val="24"/>
          <w:szCs w:val="24"/>
          <w:lang w:eastAsia="zh-CN"/>
        </w:rPr>
        <w:t>牛</w:t>
      </w:r>
      <w:r>
        <w:rPr>
          <w:rFonts w:hint="default" w:ascii="Times New Roman" w:hAnsi="Times New Roman" w:cs="Times New Roman"/>
          <w:sz w:val="24"/>
          <w:szCs w:val="24"/>
        </w:rPr>
        <w:t>羊嘶叫声等，通过源头控制、基础减震、基 础减震等措施，产生的噪声经距离衰减后，经预测，厂界噪声满足《工业企业厂界 环境噪声排放标准》（GB12348-2008）2类</w:t>
      </w:r>
      <w:r>
        <w:rPr>
          <w:rFonts w:hint="eastAsia" w:ascii="Times New Roman" w:hAnsi="Times New Roman" w:eastAsia="宋体" w:cs="Times New Roman"/>
          <w:sz w:val="24"/>
          <w:szCs w:val="24"/>
          <w:lang w:eastAsia="zh-CN"/>
        </w:rPr>
        <w:t>和</w:t>
      </w:r>
      <w:r>
        <w:rPr>
          <w:rFonts w:hint="eastAsia" w:ascii="Times New Roman" w:hAnsi="Times New Roman" w:eastAsia="宋体" w:cs="Times New Roman"/>
          <w:sz w:val="24"/>
          <w:szCs w:val="24"/>
          <w:lang w:val="en-US" w:eastAsia="zh-CN"/>
        </w:rPr>
        <w:t>4类</w:t>
      </w:r>
      <w:r>
        <w:rPr>
          <w:rFonts w:hint="default" w:ascii="Times New Roman" w:hAnsi="Times New Roman" w:cs="Times New Roman"/>
          <w:sz w:val="24"/>
          <w:szCs w:val="24"/>
        </w:rPr>
        <w:t>标准限值要求，项目周边敏感点距离项目噪声源较远，项目运营期不会产生噪声扰民。</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4</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rPr>
        <w:t>固体废物</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本项目产生的固体废物主要包括粪便、肠胃内容物、栅渣、病死</w:t>
      </w:r>
      <w:r>
        <w:rPr>
          <w:rFonts w:hint="default" w:ascii="Times New Roman" w:hAnsi="Times New Roman" w:cs="Times New Roman"/>
          <w:sz w:val="24"/>
          <w:szCs w:val="24"/>
          <w:lang w:eastAsia="zh-CN"/>
        </w:rPr>
        <w:t>牛</w:t>
      </w:r>
      <w:r>
        <w:rPr>
          <w:rFonts w:hint="default" w:ascii="Times New Roman" w:hAnsi="Times New Roman" w:cs="Times New Roman"/>
          <w:sz w:val="24"/>
          <w:szCs w:val="24"/>
        </w:rPr>
        <w:t>羊及不合格肉品、污水处理站废油脂、检疫废物和污泥及职工生活垃圾等。</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其中羊粪便、肠胃内容物、栅渣当日使用密闭运输车拉走外售用于肥田进行综合利用，做到日产日清，不在厂区长期堆存；污水处理站污泥经脱水后外售用于</w:t>
      </w:r>
      <w:r>
        <w:rPr>
          <w:rFonts w:hint="eastAsia" w:ascii="Times New Roman" w:hAnsi="Times New Roman" w:eastAsia="宋体" w:cs="Times New Roman"/>
          <w:sz w:val="24"/>
          <w:szCs w:val="24"/>
          <w:lang w:eastAsia="zh-CN"/>
        </w:rPr>
        <w:t>制作有机肥</w:t>
      </w:r>
      <w:r>
        <w:rPr>
          <w:rFonts w:hint="default" w:ascii="Times New Roman" w:hAnsi="Times New Roman" w:cs="Times New Roman"/>
          <w:sz w:val="24"/>
          <w:szCs w:val="24"/>
        </w:rPr>
        <w:t>；病死羊及不合格肉品</w:t>
      </w:r>
      <w:r>
        <w:rPr>
          <w:rFonts w:hint="eastAsia" w:ascii="Times New Roman" w:hAnsi="Times New Roman" w:eastAsia="宋体" w:cs="Times New Roman"/>
          <w:sz w:val="24"/>
          <w:szCs w:val="24"/>
          <w:lang w:eastAsia="zh-CN"/>
        </w:rPr>
        <w:t>，经厂区包装和暂存后</w:t>
      </w:r>
      <w:r>
        <w:rPr>
          <w:rFonts w:hint="default" w:ascii="Times New Roman" w:hAnsi="Times New Roman" w:cs="Times New Roman"/>
          <w:sz w:val="24"/>
          <w:szCs w:val="24"/>
        </w:rPr>
        <w:t>送往叶县益康动物无害化处理有限公司进行处置；检疫废物及废油脂在厂区危废暂存间暂存后，定期交由有资质单位处理；职工生活垃圾分类收集后交环卫部门统一处置，本项目固废均得到合理的处理处置，不会对周边环境造成影响。</w:t>
      </w:r>
    </w:p>
    <w:p>
      <w:pPr>
        <w:spacing w:before="91" w:line="224" w:lineRule="auto"/>
        <w:outlineLvl w:val="3"/>
        <w:rPr>
          <w:rFonts w:ascii="楷体" w:hAnsi="楷体" w:eastAsia="楷体" w:cs="楷体"/>
          <w:b/>
          <w:bCs/>
          <w:sz w:val="28"/>
          <w:szCs w:val="28"/>
        </w:rPr>
      </w:pPr>
      <w:bookmarkStart w:id="513" w:name="bookmark153"/>
      <w:bookmarkEnd w:id="513"/>
      <w:r>
        <w:rPr>
          <w:rFonts w:ascii="Times New Roman" w:hAnsi="Times New Roman" w:eastAsia="Times New Roman" w:cs="Times New Roman"/>
          <w:b/>
          <w:bCs/>
          <w:spacing w:val="-2"/>
          <w:sz w:val="28"/>
          <w:szCs w:val="28"/>
        </w:rPr>
        <w:t>10.1.5</w:t>
      </w:r>
      <w:r>
        <w:rPr>
          <w:rFonts w:ascii="楷体" w:hAnsi="楷体" w:eastAsia="楷体" w:cs="楷体"/>
          <w:b/>
          <w:bCs/>
          <w:spacing w:val="-2"/>
          <w:sz w:val="28"/>
          <w:szCs w:val="28"/>
        </w:rPr>
        <w:t>本项目清洁生产水平</w:t>
      </w:r>
    </w:p>
    <w:p>
      <w:pPr>
        <w:keepNext w:val="0"/>
        <w:keepLines w:val="0"/>
        <w:pageBreakBefore w:val="0"/>
        <w:widowControl/>
        <w:kinsoku/>
        <w:wordWrap/>
        <w:overflowPunct/>
        <w:topLinePunct w:val="0"/>
        <w:autoSpaceDE w:val="0"/>
        <w:autoSpaceDN w:val="0"/>
        <w:bidi w:val="0"/>
        <w:adjustRightInd w:val="0"/>
        <w:snapToGrid w:val="0"/>
        <w:spacing w:before="0" w:beforeLines="50"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从原辅材料、生产设备及技术工艺、设备指标、物耗能耗、过程控制及管理、污染物产生、废弃物利用等方面对比分析，本次项目清洁生产水平可以达到国内清洁生产先进水平。</w:t>
      </w:r>
    </w:p>
    <w:p>
      <w:pPr>
        <w:spacing w:before="92" w:line="224" w:lineRule="auto"/>
        <w:outlineLvl w:val="3"/>
        <w:rPr>
          <w:rFonts w:ascii="楷体" w:hAnsi="楷体" w:eastAsia="楷体" w:cs="楷体"/>
          <w:b/>
          <w:bCs/>
          <w:sz w:val="28"/>
          <w:szCs w:val="28"/>
        </w:rPr>
      </w:pPr>
      <w:bookmarkStart w:id="514" w:name="bookmark154"/>
      <w:bookmarkEnd w:id="514"/>
      <w:r>
        <w:rPr>
          <w:rFonts w:ascii="Times New Roman" w:hAnsi="Times New Roman" w:eastAsia="Times New Roman" w:cs="Times New Roman"/>
          <w:b/>
          <w:bCs/>
          <w:spacing w:val="-3"/>
          <w:sz w:val="28"/>
          <w:szCs w:val="28"/>
        </w:rPr>
        <w:t>10.1.6</w:t>
      </w:r>
      <w:r>
        <w:rPr>
          <w:rFonts w:ascii="楷体" w:hAnsi="楷体" w:eastAsia="楷体" w:cs="楷体"/>
          <w:b/>
          <w:bCs/>
          <w:spacing w:val="-3"/>
          <w:sz w:val="28"/>
          <w:szCs w:val="28"/>
        </w:rPr>
        <w:t>风险评价结论</w:t>
      </w:r>
    </w:p>
    <w:p>
      <w:pPr>
        <w:spacing w:before="294" w:line="385" w:lineRule="auto"/>
        <w:ind w:firstLine="480"/>
        <w:jc w:val="both"/>
        <w:rPr>
          <w:rFonts w:ascii="宋体" w:hAnsi="宋体" w:eastAsia="宋体" w:cs="宋体"/>
          <w:sz w:val="24"/>
          <w:szCs w:val="24"/>
        </w:rPr>
      </w:pPr>
      <w:r>
        <w:rPr>
          <w:rFonts w:ascii="宋体" w:hAnsi="宋体" w:eastAsia="宋体" w:cs="宋体"/>
          <w:spacing w:val="2"/>
          <w:sz w:val="24"/>
          <w:szCs w:val="24"/>
        </w:rPr>
        <w:t>本项目涉及的风险物质主要为次氯酸钠，次氯酸钠主要用于污水消毒。建设单</w:t>
      </w:r>
      <w:r>
        <w:rPr>
          <w:rFonts w:ascii="宋体" w:hAnsi="宋体" w:eastAsia="宋体" w:cs="宋体"/>
          <w:spacing w:val="9"/>
          <w:sz w:val="24"/>
          <w:szCs w:val="24"/>
        </w:rPr>
        <w:t xml:space="preserve"> </w:t>
      </w:r>
      <w:r>
        <w:rPr>
          <w:rFonts w:ascii="宋体" w:hAnsi="宋体" w:eastAsia="宋体" w:cs="宋体"/>
          <w:spacing w:val="2"/>
          <w:sz w:val="24"/>
          <w:szCs w:val="24"/>
        </w:rPr>
        <w:t>位应针对本项目存在的风险隐患，严格落实本评价提出的防范措施，加强环境风险</w:t>
      </w:r>
    </w:p>
    <w:p>
      <w:pPr>
        <w:spacing w:line="219" w:lineRule="auto"/>
        <w:ind w:left="6"/>
        <w:rPr>
          <w:rFonts w:ascii="宋体" w:hAnsi="宋体" w:eastAsia="宋体" w:cs="宋体"/>
          <w:sz w:val="24"/>
          <w:szCs w:val="24"/>
        </w:rPr>
      </w:pPr>
      <w:r>
        <w:rPr>
          <w:rFonts w:ascii="宋体" w:hAnsi="宋体" w:eastAsia="宋体" w:cs="宋体"/>
          <w:spacing w:val="-6"/>
          <w:sz w:val="24"/>
          <w:szCs w:val="24"/>
        </w:rPr>
        <w:t>管理。</w:t>
      </w:r>
    </w:p>
    <w:p>
      <w:pPr>
        <w:spacing w:before="78" w:line="385" w:lineRule="auto"/>
        <w:ind w:firstLine="480"/>
        <w:jc w:val="both"/>
        <w:rPr>
          <w:rFonts w:ascii="宋体" w:hAnsi="宋体" w:eastAsia="宋体" w:cs="宋体"/>
          <w:sz w:val="24"/>
          <w:szCs w:val="24"/>
        </w:rPr>
      </w:pPr>
      <w:r>
        <w:rPr>
          <w:rFonts w:ascii="宋体" w:hAnsi="宋体" w:eastAsia="宋体" w:cs="宋体"/>
          <w:spacing w:val="2"/>
          <w:sz w:val="24"/>
          <w:szCs w:val="24"/>
        </w:rPr>
        <w:t>本评价认为，只要企业严格按评价提出的风险防范措施与管理要求实施，建立</w:t>
      </w:r>
      <w:r>
        <w:rPr>
          <w:rFonts w:ascii="宋体" w:hAnsi="宋体" w:eastAsia="宋体" w:cs="宋体"/>
          <w:spacing w:val="9"/>
          <w:sz w:val="24"/>
          <w:szCs w:val="24"/>
        </w:rPr>
        <w:t xml:space="preserve"> </w:t>
      </w:r>
      <w:r>
        <w:rPr>
          <w:rFonts w:ascii="宋体" w:hAnsi="宋体" w:eastAsia="宋体" w:cs="宋体"/>
          <w:spacing w:val="-3"/>
          <w:sz w:val="24"/>
          <w:szCs w:val="24"/>
        </w:rPr>
        <w:t>应急预案机制，并接受当地政府等有关部门的监督检查，减少发生事故发生的概率，</w:t>
      </w:r>
    </w:p>
    <w:p>
      <w:pPr>
        <w:spacing w:line="219" w:lineRule="auto"/>
        <w:rPr>
          <w:rFonts w:ascii="宋体" w:hAnsi="宋体" w:eastAsia="宋体" w:cs="宋体"/>
          <w:sz w:val="24"/>
          <w:szCs w:val="24"/>
        </w:rPr>
      </w:pPr>
      <w:r>
        <w:rPr>
          <w:rFonts w:ascii="宋体" w:hAnsi="宋体" w:eastAsia="宋体" w:cs="宋体"/>
          <w:spacing w:val="-1"/>
          <w:sz w:val="24"/>
          <w:szCs w:val="24"/>
        </w:rPr>
        <w:t>通过有效的风险防范措施后，项目的环境风险在可接受水平。</w:t>
      </w:r>
    </w:p>
    <w:p>
      <w:pPr>
        <w:keepNext w:val="0"/>
        <w:keepLines w:val="0"/>
        <w:pageBreakBefore w:val="0"/>
        <w:widowControl/>
        <w:kinsoku w:val="0"/>
        <w:wordWrap/>
        <w:overflowPunct/>
        <w:topLinePunct w:val="0"/>
        <w:autoSpaceDE w:val="0"/>
        <w:autoSpaceDN w:val="0"/>
        <w:bidi w:val="0"/>
        <w:adjustRightInd w:val="0"/>
        <w:snapToGrid w:val="0"/>
        <w:spacing w:before="288" w:line="360" w:lineRule="auto"/>
        <w:textAlignment w:val="baseline"/>
        <w:outlineLvl w:val="3"/>
        <w:rPr>
          <w:rFonts w:ascii="楷体" w:hAnsi="楷体" w:eastAsia="楷体" w:cs="楷体"/>
          <w:b/>
          <w:bCs/>
          <w:sz w:val="28"/>
          <w:szCs w:val="28"/>
        </w:rPr>
      </w:pPr>
      <w:bookmarkStart w:id="515" w:name="bookmark155"/>
      <w:bookmarkEnd w:id="515"/>
      <w:r>
        <w:rPr>
          <w:rFonts w:ascii="Times New Roman" w:hAnsi="Times New Roman" w:eastAsia="Times New Roman" w:cs="Times New Roman"/>
          <w:b/>
          <w:bCs/>
          <w:spacing w:val="-5"/>
          <w:sz w:val="28"/>
          <w:szCs w:val="28"/>
        </w:rPr>
        <w:t>10.1.7</w:t>
      </w:r>
      <w:r>
        <w:rPr>
          <w:rFonts w:ascii="楷体" w:hAnsi="楷体" w:eastAsia="楷体" w:cs="楷体"/>
          <w:b/>
          <w:bCs/>
          <w:spacing w:val="-5"/>
          <w:sz w:val="28"/>
          <w:szCs w:val="28"/>
        </w:rPr>
        <w:t>总量控制分析</w:t>
      </w:r>
    </w:p>
    <w:p>
      <w:pPr>
        <w:spacing w:before="78" w:line="219" w:lineRule="auto"/>
        <w:ind w:left="482"/>
        <w:rPr>
          <w:rFonts w:ascii="宋体" w:hAnsi="宋体" w:eastAsia="宋体" w:cs="宋体"/>
          <w:sz w:val="24"/>
          <w:szCs w:val="24"/>
        </w:rPr>
      </w:pPr>
      <w:r>
        <w:rPr>
          <w:rFonts w:ascii="宋体" w:hAnsi="宋体" w:eastAsia="宋体" w:cs="宋体"/>
          <w:spacing w:val="2"/>
          <w:sz w:val="24"/>
          <w:szCs w:val="24"/>
        </w:rPr>
        <w:t>按照国家及省、市环保管理部门要求的总量控制目标，结合本项目工程污染物</w:t>
      </w:r>
    </w:p>
    <w:p>
      <w:pPr>
        <w:spacing w:before="277" w:line="219" w:lineRule="auto"/>
        <w:rPr>
          <w:rFonts w:ascii="宋体" w:hAnsi="宋体" w:eastAsia="宋体" w:cs="宋体"/>
          <w:sz w:val="24"/>
          <w:szCs w:val="24"/>
        </w:rPr>
      </w:pPr>
      <w:r>
        <w:rPr>
          <w:rFonts w:ascii="宋体" w:hAnsi="宋体" w:eastAsia="宋体" w:cs="宋体"/>
          <w:spacing w:val="-1"/>
          <w:sz w:val="24"/>
          <w:szCs w:val="24"/>
        </w:rPr>
        <w:t>排放特点，具体考核指标如下：</w:t>
      </w:r>
    </w:p>
    <w:p>
      <w:pPr>
        <w:keepNext w:val="0"/>
        <w:keepLines w:val="0"/>
        <w:pageBreakBefore w:val="0"/>
        <w:widowControl/>
        <w:kinsoku/>
        <w:wordWrap/>
        <w:overflowPunct/>
        <w:topLinePunct w:val="0"/>
        <w:autoSpaceDE w:val="0"/>
        <w:autoSpaceDN w:val="0"/>
        <w:bidi w:val="0"/>
        <w:adjustRightInd w:val="0"/>
        <w:snapToGrid w:val="0"/>
        <w:spacing w:before="161" w:line="384" w:lineRule="auto"/>
        <w:ind w:left="17" w:right="62" w:firstLine="465"/>
        <w:textAlignment w:val="baseline"/>
        <w:rPr>
          <w:rFonts w:ascii="宋体" w:hAnsi="宋体" w:eastAsia="宋体" w:cs="宋体"/>
          <w:sz w:val="24"/>
          <w:szCs w:val="24"/>
        </w:rPr>
      </w:pPr>
      <w:r>
        <w:rPr>
          <w:rFonts w:ascii="宋体" w:hAnsi="宋体" w:eastAsia="宋体" w:cs="宋体"/>
          <w:spacing w:val="14"/>
          <w:sz w:val="24"/>
          <w:szCs w:val="24"/>
        </w:rPr>
        <w:t>经本项目污水处理站排放至</w:t>
      </w:r>
      <w:r>
        <w:rPr>
          <w:rFonts w:hint="eastAsia" w:ascii="宋体" w:hAnsi="宋体" w:eastAsia="宋体" w:cs="宋体"/>
          <w:spacing w:val="14"/>
          <w:sz w:val="24"/>
          <w:szCs w:val="24"/>
          <w:lang w:eastAsia="zh-CN"/>
        </w:rPr>
        <w:t>叶县县城污水处理厂</w:t>
      </w:r>
      <w:r>
        <w:rPr>
          <w:rFonts w:ascii="宋体" w:hAnsi="宋体" w:eastAsia="宋体" w:cs="宋体"/>
          <w:spacing w:val="14"/>
          <w:sz w:val="24"/>
          <w:szCs w:val="24"/>
        </w:rPr>
        <w:t>水污染物控制指标为</w:t>
      </w:r>
      <w:r>
        <w:rPr>
          <w:rFonts w:ascii="Times New Roman" w:hAnsi="Times New Roman" w:eastAsia="Times New Roman" w:cs="Times New Roman"/>
          <w:sz w:val="24"/>
          <w:szCs w:val="24"/>
        </w:rPr>
        <w:t>COD</w:t>
      </w:r>
      <w:r>
        <w:rPr>
          <w:rFonts w:ascii="宋体" w:hAnsi="宋体" w:eastAsia="宋体" w:cs="宋体"/>
          <w:spacing w:val="14"/>
          <w:sz w:val="24"/>
          <w:szCs w:val="24"/>
        </w:rPr>
        <w:t>：</w:t>
      </w:r>
      <w:r>
        <w:rPr>
          <w:rFonts w:hint="eastAsia" w:ascii="Times New Roman" w:hAnsi="Times New Roman" w:eastAsia="宋体" w:cs="Times New Roman"/>
          <w:spacing w:val="-3"/>
          <w:sz w:val="24"/>
          <w:szCs w:val="24"/>
          <w:lang w:val="en-US" w:eastAsia="zh-CN"/>
        </w:rPr>
        <w:t>18.2</w:t>
      </w:r>
      <w:r>
        <w:rPr>
          <w:rFonts w:ascii="Times New Roman" w:hAnsi="Times New Roman" w:eastAsia="Times New Roman" w:cs="Times New Roman"/>
          <w:spacing w:val="-3"/>
          <w:sz w:val="24"/>
          <w:szCs w:val="24"/>
        </w:rPr>
        <w:t>t/a</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w:t>
      </w:r>
      <w:r>
        <w:rPr>
          <w:rFonts w:hint="eastAsia" w:ascii="Times New Roman" w:hAnsi="Times New Roman" w:eastAsia="宋体" w:cs="Times New Roman"/>
          <w:spacing w:val="-3"/>
          <w:sz w:val="24"/>
          <w:szCs w:val="24"/>
          <w:lang w:val="en-US" w:eastAsia="zh-CN"/>
        </w:rPr>
        <w:t>1.49</w:t>
      </w:r>
      <w:r>
        <w:rPr>
          <w:rFonts w:ascii="Times New Roman" w:hAnsi="Times New Roman" w:eastAsia="Times New Roman" w:cs="Times New Roman"/>
          <w:spacing w:val="-3"/>
          <w:sz w:val="24"/>
          <w:szCs w:val="24"/>
        </w:rPr>
        <w:t>t/a</w:t>
      </w:r>
      <w:r>
        <w:rPr>
          <w:rFonts w:ascii="宋体" w:hAnsi="宋体" w:eastAsia="宋体" w:cs="宋体"/>
          <w:spacing w:val="-3"/>
          <w:sz w:val="24"/>
          <w:szCs w:val="24"/>
        </w:rPr>
        <w:t>；经</w:t>
      </w:r>
      <w:r>
        <w:rPr>
          <w:rFonts w:hint="eastAsia" w:ascii="宋体" w:hAnsi="宋体" w:eastAsia="宋体" w:cs="宋体"/>
          <w:spacing w:val="-3"/>
          <w:sz w:val="24"/>
          <w:szCs w:val="24"/>
          <w:lang w:eastAsia="zh-CN"/>
        </w:rPr>
        <w:t>叶县县城污水处理厂</w:t>
      </w:r>
      <w:r>
        <w:rPr>
          <w:rFonts w:ascii="宋体" w:hAnsi="宋体" w:eastAsia="宋体" w:cs="宋体"/>
          <w:spacing w:val="-3"/>
          <w:sz w:val="24"/>
          <w:szCs w:val="24"/>
        </w:rPr>
        <w:t>进一步处理后排放至水环境</w:t>
      </w:r>
      <w:r>
        <w:rPr>
          <w:rFonts w:hint="default" w:ascii="Times New Roman" w:hAnsi="Times New Roman" w:eastAsia="宋体" w:cs="Times New Roman"/>
          <w:spacing w:val="-3"/>
          <w:sz w:val="24"/>
          <w:szCs w:val="24"/>
        </w:rPr>
        <w:t>水污染物</w:t>
      </w:r>
      <w:r>
        <w:rPr>
          <w:rFonts w:hint="default" w:ascii="Times New Roman" w:hAnsi="Times New Roman" w:eastAsia="宋体" w:cs="Times New Roman"/>
          <w:spacing w:val="-1"/>
          <w:sz w:val="24"/>
          <w:szCs w:val="24"/>
        </w:rPr>
        <w:t>控制指标为</w:t>
      </w:r>
      <w:r>
        <w:rPr>
          <w:rFonts w:hint="default" w:ascii="Times New Roman" w:hAnsi="Times New Roman" w:eastAsia="宋体" w:cs="Times New Roman"/>
          <w:spacing w:val="-52"/>
          <w:sz w:val="24"/>
          <w:szCs w:val="24"/>
        </w:rPr>
        <w:t xml:space="preserve"> </w:t>
      </w:r>
      <w:r>
        <w:rPr>
          <w:rFonts w:hint="default" w:ascii="Times New Roman" w:hAnsi="Times New Roman" w:eastAsia="Times New Roman" w:cs="Times New Roman"/>
          <w:spacing w:val="-1"/>
          <w:sz w:val="24"/>
          <w:szCs w:val="24"/>
        </w:rPr>
        <w:t>COD</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1"/>
          <w:sz w:val="24"/>
          <w:szCs w:val="24"/>
          <w:lang w:val="en-US" w:eastAsia="zh-CN"/>
        </w:rPr>
        <w:t>4.09</w:t>
      </w:r>
      <w:r>
        <w:rPr>
          <w:rFonts w:hint="default" w:ascii="Times New Roman" w:hAnsi="Times New Roman" w:eastAsia="Times New Roman" w:cs="Times New Roman"/>
          <w:spacing w:val="-1"/>
          <w:sz w:val="24"/>
          <w:szCs w:val="24"/>
        </w:rPr>
        <w:t>t/a</w:t>
      </w:r>
      <w:r>
        <w:rPr>
          <w:rFonts w:hint="default" w:ascii="Times New Roman" w:hAnsi="Times New Roman" w:eastAsia="Times New Roman" w:cs="Times New Roman"/>
          <w:spacing w:val="-31"/>
          <w:sz w:val="24"/>
          <w:szCs w:val="24"/>
        </w:rPr>
        <w:t xml:space="preserve"> </w:t>
      </w:r>
      <w:r>
        <w:rPr>
          <w:rFonts w:hint="default" w:ascii="Times New Roman" w:hAnsi="Times New Roman" w:eastAsia="宋体" w:cs="Times New Roman"/>
          <w:spacing w:val="-1"/>
          <w:sz w:val="24"/>
          <w:szCs w:val="24"/>
        </w:rPr>
        <w:t>，</w:t>
      </w:r>
      <w:r>
        <w:rPr>
          <w:rFonts w:hint="default" w:ascii="Times New Roman" w:hAnsi="Times New Roman" w:eastAsia="Times New Roman" w:cs="Times New Roman"/>
          <w:spacing w:val="-1"/>
          <w:sz w:val="24"/>
          <w:szCs w:val="24"/>
        </w:rPr>
        <w:t>NH</w:t>
      </w:r>
      <w:r>
        <w:rPr>
          <w:rFonts w:hint="default" w:ascii="Times New Roman" w:hAnsi="Times New Roman" w:eastAsia="Times New Roman" w:cs="Times New Roman"/>
          <w:spacing w:val="-1"/>
          <w:position w:val="-1"/>
          <w:sz w:val="15"/>
          <w:szCs w:val="15"/>
        </w:rPr>
        <w:t>3</w:t>
      </w:r>
      <w:r>
        <w:rPr>
          <w:rFonts w:hint="default" w:ascii="Times New Roman" w:hAnsi="Times New Roman" w:eastAsia="Times New Roman" w:cs="Times New Roman"/>
          <w:spacing w:val="-2"/>
          <w:sz w:val="24"/>
          <w:szCs w:val="24"/>
        </w:rPr>
        <w:t>-N</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2"/>
          <w:sz w:val="24"/>
          <w:szCs w:val="24"/>
          <w:lang w:val="en-US" w:eastAsia="zh-CN"/>
        </w:rPr>
        <w:t>0.41</w:t>
      </w:r>
      <w:r>
        <w:rPr>
          <w:rFonts w:hint="default" w:ascii="Times New Roman" w:hAnsi="Times New Roman" w:eastAsia="Times New Roman" w:cs="Times New Roman"/>
          <w:spacing w:val="-2"/>
          <w:sz w:val="24"/>
          <w:szCs w:val="24"/>
        </w:rPr>
        <w:t>t/a</w:t>
      </w:r>
      <w:r>
        <w:rPr>
          <w:rFonts w:hint="default" w:ascii="Times New Roman" w:hAnsi="Times New Roman" w:eastAsia="宋体" w:cs="Times New Roman"/>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3"/>
        <w:rPr>
          <w:rFonts w:ascii="楷体" w:hAnsi="楷体" w:eastAsia="楷体" w:cs="楷体"/>
          <w:b/>
          <w:bCs/>
          <w:sz w:val="28"/>
          <w:szCs w:val="28"/>
          <w:highlight w:val="none"/>
        </w:rPr>
      </w:pPr>
      <w:bookmarkStart w:id="516" w:name="bookmark156"/>
      <w:bookmarkEnd w:id="516"/>
      <w:r>
        <w:rPr>
          <w:rFonts w:ascii="Times New Roman" w:hAnsi="Times New Roman" w:eastAsia="Times New Roman" w:cs="Times New Roman"/>
          <w:b/>
          <w:bCs/>
          <w:spacing w:val="-2"/>
          <w:sz w:val="28"/>
          <w:szCs w:val="28"/>
          <w:highlight w:val="none"/>
        </w:rPr>
        <w:t>10.1.8</w:t>
      </w:r>
      <w:r>
        <w:rPr>
          <w:rFonts w:ascii="楷体" w:hAnsi="楷体" w:eastAsia="楷体" w:cs="楷体"/>
          <w:b/>
          <w:bCs/>
          <w:spacing w:val="-2"/>
          <w:sz w:val="28"/>
          <w:szCs w:val="28"/>
          <w:highlight w:val="none"/>
        </w:rPr>
        <w:t>公众意见采纳情况</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根据《环境影响评价公众参与办法》（生态环境部令部令第4号）“第二条依 法应当编制环境影响报告书的建设项目应开展的环境影响评价公众参与”。环评期间，建设单位严格按照要求开展公众参与工作，采取了两次网络公示、登报刊公示 及现场张贴公示等形式，具体情况如下：建设单位202</w:t>
      </w:r>
      <w:r>
        <w:rPr>
          <w:rFonts w:hint="eastAsia" w:ascii="Times New Roman" w:hAnsi="Times New Roman" w:eastAsia="宋体" w:cs="Times New Roman"/>
          <w:sz w:val="24"/>
          <w:szCs w:val="24"/>
          <w:lang w:val="en-US" w:eastAsia="zh-CN"/>
        </w:rPr>
        <w:t>3</w:t>
      </w:r>
      <w:r>
        <w:rPr>
          <w:rFonts w:hint="default" w:ascii="Times New Roman" w:hAnsi="Times New Roman" w:cs="Times New Roman"/>
          <w:sz w:val="24"/>
          <w:szCs w:val="24"/>
        </w:rPr>
        <w:t>年</w:t>
      </w:r>
      <w:r>
        <w:rPr>
          <w:rFonts w:hint="eastAsia" w:ascii="Times New Roman" w:hAnsi="Times New Roman" w:eastAsia="宋体" w:cs="Times New Roman"/>
          <w:sz w:val="24"/>
          <w:szCs w:val="24"/>
          <w:lang w:val="en-US" w:eastAsia="zh-CN"/>
        </w:rPr>
        <w:t>10</w:t>
      </w:r>
      <w:r>
        <w:rPr>
          <w:rFonts w:hint="default" w:ascii="Times New Roman" w:hAnsi="Times New Roman" w:cs="Times New Roman"/>
          <w:sz w:val="24"/>
          <w:szCs w:val="24"/>
        </w:rPr>
        <w:t>月</w:t>
      </w:r>
      <w:r>
        <w:rPr>
          <w:rFonts w:hint="eastAsia" w:ascii="Times New Roman" w:hAnsi="Times New Roman" w:eastAsia="宋体" w:cs="Times New Roman"/>
          <w:sz w:val="24"/>
          <w:szCs w:val="24"/>
          <w:lang w:val="en-US" w:eastAsia="zh-CN"/>
        </w:rPr>
        <w:t>23</w:t>
      </w:r>
      <w:r>
        <w:rPr>
          <w:rFonts w:hint="default" w:ascii="Times New Roman" w:hAnsi="Times New Roman" w:cs="Times New Roman"/>
          <w:sz w:val="24"/>
          <w:szCs w:val="24"/>
        </w:rPr>
        <w:t>日在</w:t>
      </w:r>
      <w:r>
        <w:rPr>
          <w:rFonts w:hint="eastAsia" w:ascii="Times New Roman" w:hAnsi="Times New Roman" w:eastAsia="宋体" w:cs="Times New Roman"/>
          <w:sz w:val="24"/>
          <w:szCs w:val="24"/>
          <w:lang w:eastAsia="zh-CN"/>
        </w:rPr>
        <w:t>第一环评</w:t>
      </w:r>
      <w:r>
        <w:rPr>
          <w:rFonts w:hint="default" w:ascii="Times New Roman" w:hAnsi="Times New Roman" w:cs="Times New Roman"/>
          <w:sz w:val="24"/>
          <w:szCs w:val="24"/>
        </w:rPr>
        <w:t>网站上进行了第一次网上公示（10个工作日）；202</w:t>
      </w:r>
      <w:r>
        <w:rPr>
          <w:rFonts w:hint="eastAsia" w:ascii="Times New Roman" w:hAnsi="Times New Roman" w:eastAsia="宋体" w:cs="Times New Roman"/>
          <w:sz w:val="24"/>
          <w:szCs w:val="24"/>
          <w:lang w:val="en-US" w:eastAsia="zh-CN"/>
        </w:rPr>
        <w:t>3</w:t>
      </w:r>
      <w:r>
        <w:rPr>
          <w:rFonts w:hint="default" w:ascii="Times New Roman" w:hAnsi="Times New Roman" w:cs="Times New Roman"/>
          <w:sz w:val="24"/>
          <w:szCs w:val="24"/>
        </w:rPr>
        <w:t>年1</w:t>
      </w:r>
      <w:r>
        <w:rPr>
          <w:rFonts w:hint="eastAsia" w:ascii="Times New Roman" w:hAnsi="Times New Roman" w:eastAsia="宋体" w:cs="Times New Roman"/>
          <w:sz w:val="24"/>
          <w:szCs w:val="24"/>
          <w:lang w:val="en-US" w:eastAsia="zh-CN"/>
        </w:rPr>
        <w:t>1</w:t>
      </w:r>
      <w:r>
        <w:rPr>
          <w:rFonts w:hint="default" w:ascii="Times New Roman" w:hAnsi="Times New Roman" w:cs="Times New Roman"/>
          <w:sz w:val="24"/>
          <w:szCs w:val="24"/>
        </w:rPr>
        <w:t>月</w:t>
      </w:r>
      <w:r>
        <w:rPr>
          <w:rFonts w:hint="eastAsia" w:ascii="Times New Roman" w:hAnsi="Times New Roman" w:eastAsia="宋体" w:cs="Times New Roman"/>
          <w:sz w:val="24"/>
          <w:szCs w:val="24"/>
          <w:lang w:val="en-US" w:eastAsia="zh-CN"/>
        </w:rPr>
        <w:t>24</w:t>
      </w:r>
      <w:r>
        <w:rPr>
          <w:rFonts w:hint="default" w:ascii="Times New Roman" w:hAnsi="Times New Roman" w:cs="Times New Roman"/>
          <w:sz w:val="24"/>
          <w:szCs w:val="24"/>
        </w:rPr>
        <w:t>日在</w:t>
      </w:r>
      <w:r>
        <w:rPr>
          <w:rFonts w:hint="eastAsia" w:ascii="Times New Roman" w:hAnsi="Times New Roman" w:eastAsia="宋体" w:cs="Times New Roman"/>
          <w:sz w:val="24"/>
          <w:szCs w:val="24"/>
          <w:lang w:eastAsia="zh-CN"/>
        </w:rPr>
        <w:t>第一环评</w:t>
      </w:r>
      <w:r>
        <w:rPr>
          <w:rFonts w:hint="default" w:ascii="Times New Roman" w:hAnsi="Times New Roman" w:cs="Times New Roman"/>
          <w:sz w:val="24"/>
          <w:szCs w:val="24"/>
        </w:rPr>
        <w:t>网网站上进行了第二次网上公示（10个工作日），</w:t>
      </w:r>
      <w:r>
        <w:rPr>
          <w:rFonts w:hint="eastAsia" w:ascii="Times New Roman" w:hAnsi="Times New Roman" w:eastAsia="宋体" w:cs="Times New Roman"/>
          <w:sz w:val="24"/>
          <w:szCs w:val="24"/>
          <w:lang w:eastAsia="zh-CN"/>
        </w:rPr>
        <w:t>并</w:t>
      </w:r>
      <w:r>
        <w:rPr>
          <w:rFonts w:hint="default" w:ascii="Times New Roman" w:hAnsi="Times New Roman" w:cs="Times New Roman"/>
          <w:sz w:val="24"/>
          <w:szCs w:val="24"/>
        </w:rPr>
        <w:t>在</w:t>
      </w:r>
      <w:r>
        <w:rPr>
          <w:rFonts w:hint="eastAsia" w:ascii="Times New Roman" w:hAnsi="Times New Roman" w:eastAsia="宋体" w:cs="Times New Roman"/>
          <w:sz w:val="24"/>
          <w:szCs w:val="24"/>
          <w:highlight w:val="none"/>
          <w:lang w:eastAsia="zh-CN"/>
        </w:rPr>
        <w:t>中国新闻</w:t>
      </w:r>
      <w:r>
        <w:rPr>
          <w:rFonts w:hint="default" w:ascii="Times New Roman" w:hAnsi="Times New Roman" w:cs="Times New Roman"/>
          <w:sz w:val="24"/>
          <w:szCs w:val="24"/>
          <w:highlight w:val="none"/>
        </w:rPr>
        <w:t>报</w:t>
      </w:r>
      <w:r>
        <w:rPr>
          <w:rFonts w:hint="default" w:ascii="Times New Roman" w:hAnsi="Times New Roman" w:cs="Times New Roman"/>
          <w:sz w:val="24"/>
          <w:szCs w:val="24"/>
        </w:rPr>
        <w:t>上进行</w:t>
      </w:r>
      <w:r>
        <w:rPr>
          <w:rFonts w:hint="eastAsia" w:ascii="Times New Roman" w:hAnsi="Times New Roman" w:eastAsia="宋体" w:cs="Times New Roman"/>
          <w:sz w:val="24"/>
          <w:szCs w:val="24"/>
          <w:lang w:eastAsia="zh-CN"/>
        </w:rPr>
        <w:t>刊登</w:t>
      </w:r>
      <w:r>
        <w:rPr>
          <w:rFonts w:hint="default" w:ascii="Times New Roman" w:hAnsi="Times New Roman" w:cs="Times New Roman"/>
          <w:sz w:val="24"/>
          <w:szCs w:val="24"/>
        </w:rPr>
        <w:t>公示，公示期间同时在项目周围村庄进行了张贴公告公示。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根据《关于进一步加强建设项目环境影响评价文件编制公众参与和信息公开的通知》，本项目同时在项目周边村庄等环境敏感点张贴了公告公示，公告注明了建设项目基本信息、可能存在的环境影响、拟采取的污染防治措施及效果、公示期限、反映意见联系方式等内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本项目经过了首次网络公示、征求意见稿公示、2次报纸公示、张贴公告等，其公示方式、公示内容、公示时间等符合《环境影响评价公众参与管理办法》（生态 环境部令第 4 号）相关要求。公示期间未收到电话来访。建设单位表示在本项目施工期及运营期将严格遵守相关环保法规，重视环境保护，加强“三废”治理，切实落实各项环境保护措施，达标排放，确保对周围环境不造成污染影响。</w:t>
      </w:r>
    </w:p>
    <w:p>
      <w:pPr>
        <w:pStyle w:val="4"/>
        <w:bidi w:val="0"/>
      </w:pPr>
      <w:bookmarkStart w:id="517" w:name="bookmark157"/>
      <w:bookmarkEnd w:id="517"/>
      <w:bookmarkStart w:id="518" w:name="_Toc21544"/>
      <w:bookmarkStart w:id="519" w:name="_Toc6098"/>
      <w:r>
        <w:t>10.2评价建议</w:t>
      </w:r>
      <w:bookmarkEnd w:id="518"/>
      <w:bookmarkEnd w:id="519"/>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（1）建设单位应严格执行环保“三同时 ”制度，评价中提出的各项污染防治设施必须与主体工程同时设计、同时施工、同时投入使用。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（2）确保工程的环保投资及时足额到位，专款专用，认真落实各项污染防治措施，并建规范化废水排污口和在线监测装置。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（3）对牲畜粪便、肠胃内容物等固体废物做到日产日清，禁止任意堆放，加强管理，以减少恶臭气体的产生量；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（4）加强对各项环保设施的维护和管理，确保污染防治措施正常运行，降低非正常工况下超标排放事故发生</w:t>
      </w:r>
      <w:r>
        <w:rPr>
          <w:rFonts w:hint="eastAsia" w:ascii="Times New Roman" w:hAnsi="Times New Roman" w:eastAsia="宋体" w:cs="Times New Roman"/>
          <w:sz w:val="24"/>
          <w:szCs w:val="24"/>
          <w:lang w:eastAsia="zh-CN"/>
        </w:rPr>
        <w:t>。</w:t>
      </w:r>
    </w:p>
    <w:p>
      <w:pPr>
        <w:pStyle w:val="4"/>
        <w:bidi w:val="0"/>
      </w:pPr>
      <w:bookmarkStart w:id="520" w:name="bookmark158"/>
      <w:bookmarkEnd w:id="520"/>
      <w:bookmarkStart w:id="521" w:name="_Toc11527"/>
      <w:bookmarkStart w:id="522" w:name="_Toc24114"/>
      <w:r>
        <w:t>10.3  评价总结论</w:t>
      </w:r>
      <w:bookmarkEnd w:id="521"/>
      <w:bookmarkEnd w:id="522"/>
    </w:p>
    <w:p>
      <w:pPr>
        <w:keepNext w:val="0"/>
        <w:keepLines w:val="0"/>
        <w:pageBreakBefore w:val="0"/>
        <w:widowControl w:val="0"/>
        <w:kinsoku/>
        <w:wordWrap/>
        <w:overflowPunct/>
        <w:topLinePunct w:val="0"/>
        <w:autoSpaceDE w:val="0"/>
        <w:autoSpaceDN w:val="0"/>
        <w:bidi w:val="0"/>
        <w:adjustRightInd w:val="0"/>
        <w:snapToGrid w:val="0"/>
        <w:spacing w:before="294" w:line="384" w:lineRule="auto"/>
        <w:ind w:left="0" w:firstLine="476"/>
        <w:jc w:val="both"/>
        <w:textAlignment w:val="baseline"/>
        <w:rPr>
          <w:rFonts w:ascii="黑体" w:hAnsi="黑体" w:eastAsia="黑体" w:cs="黑体"/>
          <w:sz w:val="24"/>
          <w:szCs w:val="24"/>
        </w:rPr>
      </w:pPr>
      <w:r>
        <w:rPr>
          <w:rFonts w:hint="default" w:ascii="Times New Roman" w:hAnsi="Times New Roman" w:eastAsia="宋体" w:cs="Times New Roman"/>
          <w:spacing w:val="-2"/>
          <w:sz w:val="24"/>
          <w:szCs w:val="24"/>
        </w:rPr>
        <w:t>综上所述，</w:t>
      </w:r>
      <w:r>
        <w:rPr>
          <w:rFonts w:hint="default" w:ascii="Times New Roman" w:hAnsi="Times New Roman" w:eastAsia="宋体" w:cs="Times New Roman"/>
          <w:spacing w:val="-2"/>
          <w:sz w:val="24"/>
          <w:szCs w:val="24"/>
          <w:lang w:eastAsia="zh-CN"/>
        </w:rPr>
        <w:t>叶县迪可清真食品有限公司叶县2022年马庄乡张庄村畜产品精细加工物流园建设项目</w:t>
      </w:r>
      <w:r>
        <w:rPr>
          <w:rFonts w:hint="default" w:ascii="Times New Roman" w:hAnsi="Times New Roman" w:eastAsia="宋体" w:cs="Times New Roman"/>
          <w:spacing w:val="-3"/>
          <w:sz w:val="24"/>
          <w:szCs w:val="24"/>
        </w:rPr>
        <w:t>符合当前国</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2"/>
          <w:sz w:val="24"/>
          <w:szCs w:val="24"/>
        </w:rPr>
        <w:t>家和地方产业政策，符合相关规划要求，项目选址可行，通过认真落实评价所提各项环保治理措施，工程排放的各类污染物对周围环境影响可以接受，可以实现其经</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2"/>
          <w:sz w:val="24"/>
          <w:szCs w:val="24"/>
        </w:rPr>
        <w:t>济效益、社会效益和环境效益的协调发展。环境风险可防可控，被调查公众均无反</w:t>
      </w:r>
      <w:r>
        <w:rPr>
          <w:rFonts w:hint="default" w:ascii="Times New Roman" w:hAnsi="Times New Roman" w:eastAsia="宋体" w:cs="Times New Roman"/>
          <w:sz w:val="24"/>
          <w:szCs w:val="24"/>
        </w:rPr>
        <w:t>对意见。在落实各项环保措施的前提下，从环保角度分析</w:t>
      </w:r>
      <w:r>
        <w:rPr>
          <w:rFonts w:hint="default" w:ascii="Times New Roman" w:hAnsi="Times New Roman" w:eastAsia="宋体" w:cs="Times New Roman"/>
          <w:spacing w:val="-1"/>
          <w:sz w:val="24"/>
          <w:szCs w:val="24"/>
        </w:rPr>
        <w:t>，本项目建设可行。</w:t>
      </w:r>
    </w:p>
    <w:p>
      <w:pPr>
        <w:spacing w:line="212" w:lineRule="auto"/>
        <w:rPr>
          <w:rFonts w:ascii="黑体" w:hAnsi="黑体" w:eastAsia="黑体" w:cs="黑体"/>
          <w:sz w:val="24"/>
          <w:szCs w:val="24"/>
        </w:rPr>
        <w:sectPr>
          <w:footerReference r:id="rId22" w:type="default"/>
          <w:pgSz w:w="11906" w:h="16839"/>
          <w:pgMar w:top="1431" w:right="1588" w:bottom="1278" w:left="1596" w:header="0" w:footer="1116" w:gutter="0"/>
          <w:pgBorders>
            <w:top w:val="none" w:sz="0" w:space="0"/>
            <w:left w:val="none" w:sz="0" w:space="0"/>
            <w:bottom w:val="none" w:sz="0" w:space="0"/>
            <w:right w:val="none" w:sz="0" w:space="0"/>
          </w:pgBorders>
          <w:pgNumType w:fmt="numberInDash"/>
          <w:cols w:space="720" w:num="1"/>
        </w:sectPr>
      </w:pPr>
    </w:p>
    <w:p>
      <w:pPr>
        <w:spacing w:before="78" w:line="223" w:lineRule="auto"/>
        <w:rPr>
          <w:rFonts w:ascii="黑体" w:hAnsi="黑体" w:eastAsia="黑体" w:cs="黑体"/>
          <w:sz w:val="24"/>
          <w:szCs w:val="24"/>
        </w:rPr>
      </w:pPr>
      <w:r>
        <w:rPr>
          <w:rFonts w:ascii="黑体" w:hAnsi="黑体" w:eastAsia="黑体" w:cs="黑体"/>
          <w:spacing w:val="-4"/>
          <w:sz w:val="24"/>
          <w:szCs w:val="24"/>
        </w:rPr>
        <w:t>附表一</w:t>
      </w:r>
    </w:p>
    <w:p>
      <w:pPr>
        <w:spacing w:before="209" w:line="218" w:lineRule="auto"/>
        <w:ind w:left="2573"/>
      </w:pP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建设项目大气环境影响评价自查表</w:t>
      </w:r>
    </w:p>
    <w:tbl>
      <w:tblPr>
        <w:tblStyle w:val="24"/>
        <w:tblW w:w="9776"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1279"/>
        <w:gridCol w:w="1345"/>
        <w:gridCol w:w="294"/>
        <w:gridCol w:w="742"/>
        <w:gridCol w:w="1317"/>
        <w:gridCol w:w="748"/>
        <w:gridCol w:w="762"/>
        <w:gridCol w:w="1137"/>
        <w:gridCol w:w="670"/>
        <w:gridCol w:w="94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821"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7"/>
                <w:u w:val="none" w:color="auto"/>
              </w:rPr>
              <w:t>工作内容</w:t>
            </w:r>
          </w:p>
        </w:tc>
        <w:tc>
          <w:tcPr>
            <w:tcW w:w="7955" w:type="dxa"/>
            <w:gridSpan w:val="9"/>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u w:val="none" w:color="auto"/>
              </w:rPr>
              <w:t>自查项目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评价</w:t>
            </w:r>
            <w:r>
              <w:rPr>
                <w:b w:val="0"/>
                <w:bCs w:val="0"/>
                <w:color w:val="auto"/>
                <w:u w:val="none" w:color="auto"/>
              </w:rPr>
              <w:t xml:space="preserve"> </w:t>
            </w:r>
            <w:r>
              <w:rPr>
                <w:b w:val="0"/>
                <w:bCs w:val="0"/>
                <w:color w:val="auto"/>
                <w:spacing w:val="5"/>
                <w:u w:val="none" w:color="auto"/>
              </w:rPr>
              <w:t>等级</w:t>
            </w:r>
            <w:r>
              <w:rPr>
                <w:b w:val="0"/>
                <w:bCs w:val="0"/>
                <w:color w:val="auto"/>
                <w:u w:val="none" w:color="auto"/>
              </w:rPr>
              <w:t xml:space="preserve"> </w:t>
            </w:r>
            <w:r>
              <w:rPr>
                <w:b w:val="0"/>
                <w:bCs w:val="0"/>
                <w:color w:val="auto"/>
                <w:spacing w:val="5"/>
                <w:u w:val="none" w:color="auto"/>
              </w:rPr>
              <w:t>与范</w:t>
            </w:r>
            <w:r>
              <w:rPr>
                <w:b w:val="0"/>
                <w:bCs w:val="0"/>
                <w:color w:val="auto"/>
                <w:u w:val="none" w:color="auto"/>
              </w:rPr>
              <w:t xml:space="preserve"> </w:t>
            </w:r>
            <w:r>
              <w:rPr>
                <w:b w:val="0"/>
                <w:bCs w:val="0"/>
                <w:color w:val="auto"/>
                <w:spacing w:val="52"/>
                <w:w w:val="125"/>
                <w:u w:val="none" w:color="auto"/>
              </w:rPr>
              <w:t>围</w:t>
            </w: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评价等级</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4"/>
                <w:u w:val="none" w:color="auto"/>
              </w:rPr>
              <w:t>一级</w:t>
            </w:r>
            <w:r>
              <w:rPr>
                <w:rFonts w:ascii="Times New Roman" w:hAnsi="Times New Roman" w:eastAsia="Times New Roman" w:cs="Times New Roman"/>
                <w:b w:val="0"/>
                <w:bCs w:val="0"/>
                <w:color w:val="auto"/>
                <w:spacing w:val="4"/>
                <w:u w:val="none" w:color="auto"/>
              </w:rPr>
              <w:t>□</w:t>
            </w: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4"/>
                <w:u w:val="none" w:color="auto"/>
              </w:rPr>
              <w:t>二级</w:t>
            </w:r>
            <w:r>
              <w:rPr>
                <w:b w:val="0"/>
                <w:bCs w:val="0"/>
                <w:color w:val="auto"/>
                <w:position w:val="-4"/>
                <w:u w:val="none" w:color="auto"/>
              </w:rPr>
              <w:drawing>
                <wp:inline distT="0" distB="0" distL="0" distR="0">
                  <wp:extent cx="114300" cy="13970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122"/>
                          <a:stretch>
                            <a:fillRect/>
                          </a:stretch>
                        </pic:blipFill>
                        <pic:spPr>
                          <a:xfrm>
                            <a:off x="0" y="0"/>
                            <a:ext cx="114413" cy="139748"/>
                          </a:xfrm>
                          <a:prstGeom prst="rect">
                            <a:avLst/>
                          </a:prstGeom>
                        </pic:spPr>
                      </pic:pic>
                    </a:graphicData>
                  </a:graphic>
                </wp:inline>
              </w:drawing>
            </w:r>
          </w:p>
        </w:tc>
        <w:tc>
          <w:tcPr>
            <w:tcW w:w="1610"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Wingdings" w:hAnsi="Wingdings" w:eastAsia="Wingdings" w:cs="Wingdings"/>
                <w:b w:val="0"/>
                <w:bCs w:val="0"/>
                <w:color w:val="auto"/>
                <w:u w:val="none" w:color="auto"/>
              </w:rPr>
            </w:pPr>
            <w:r>
              <w:rPr>
                <w:b w:val="0"/>
                <w:bCs w:val="0"/>
                <w:color w:val="auto"/>
                <w:spacing w:val="4"/>
                <w:u w:val="none" w:color="auto"/>
              </w:rPr>
              <w:t>三级</w:t>
            </w:r>
            <w:r>
              <w:rPr>
                <w:rFonts w:ascii="Wingdings" w:hAnsi="Wingdings" w:eastAsia="Wingdings" w:cs="Wingdings"/>
                <w:b w:val="0"/>
                <w:bCs w:val="0"/>
                <w:color w:val="auto"/>
                <w:spacing w:val="4"/>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评价范围</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8"/>
                <w:u w:val="none" w:color="auto"/>
              </w:rPr>
              <w:t>边长</w:t>
            </w:r>
            <w:r>
              <w:rPr>
                <w:rFonts w:ascii="Times New Roman" w:hAnsi="Times New Roman" w:eastAsia="Times New Roman" w:cs="Times New Roman"/>
                <w:b w:val="0"/>
                <w:bCs w:val="0"/>
                <w:color w:val="auto"/>
                <w:spacing w:val="8"/>
                <w:u w:val="none" w:color="auto"/>
              </w:rPr>
              <w:t>=50</w:t>
            </w:r>
            <w:r>
              <w:rPr>
                <w:rFonts w:ascii="Times New Roman" w:hAnsi="Times New Roman" w:eastAsia="Times New Roman" w:cs="Times New Roman"/>
                <w:b w:val="0"/>
                <w:bCs w:val="0"/>
                <w:color w:val="auto"/>
                <w:u w:val="none" w:color="auto"/>
              </w:rPr>
              <w:t>km</w:t>
            </w:r>
            <w:r>
              <w:rPr>
                <w:rFonts w:ascii="Times New Roman" w:hAnsi="Times New Roman" w:eastAsia="Times New Roman" w:cs="Times New Roman"/>
                <w:b w:val="0"/>
                <w:bCs w:val="0"/>
                <w:color w:val="auto"/>
                <w:spacing w:val="8"/>
                <w:u w:val="none" w:color="auto"/>
              </w:rPr>
              <w:t>□</w:t>
            </w: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7"/>
                <w:u w:val="none" w:color="auto"/>
              </w:rPr>
              <w:t>边长</w:t>
            </w:r>
            <w:r>
              <w:rPr>
                <w:rFonts w:ascii="Times New Roman" w:hAnsi="Times New Roman" w:eastAsia="Times New Roman" w:cs="Times New Roman"/>
                <w:b w:val="0"/>
                <w:bCs w:val="0"/>
                <w:color w:val="auto"/>
                <w:spacing w:val="7"/>
                <w:u w:val="none" w:color="auto"/>
              </w:rPr>
              <w:t>=5~50</w:t>
            </w:r>
            <w:r>
              <w:rPr>
                <w:rFonts w:ascii="Times New Roman" w:hAnsi="Times New Roman" w:eastAsia="Times New Roman" w:cs="Times New Roman"/>
                <w:b w:val="0"/>
                <w:bCs w:val="0"/>
                <w:color w:val="auto"/>
                <w:u w:val="none" w:color="auto"/>
              </w:rPr>
              <w:t>km</w:t>
            </w:r>
            <w:r>
              <w:rPr>
                <w:b w:val="0"/>
                <w:bCs w:val="0"/>
                <w:color w:val="auto"/>
                <w:position w:val="-4"/>
                <w:u w:val="none" w:color="auto"/>
              </w:rPr>
              <w:drawing>
                <wp:inline distT="0" distB="0" distL="0" distR="0">
                  <wp:extent cx="116205" cy="13970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23"/>
                          <a:stretch>
                            <a:fillRect/>
                          </a:stretch>
                        </pic:blipFill>
                        <pic:spPr>
                          <a:xfrm>
                            <a:off x="0" y="0"/>
                            <a:ext cx="116776" cy="139748"/>
                          </a:xfrm>
                          <a:prstGeom prst="rect">
                            <a:avLst/>
                          </a:prstGeom>
                        </pic:spPr>
                      </pic:pic>
                    </a:graphicData>
                  </a:graphic>
                </wp:inline>
              </w:drawing>
            </w:r>
          </w:p>
        </w:tc>
        <w:tc>
          <w:tcPr>
            <w:tcW w:w="1610"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Wingdings" w:hAnsi="Wingdings" w:eastAsia="Wingdings" w:cs="Wingdings"/>
                <w:b w:val="0"/>
                <w:bCs w:val="0"/>
                <w:color w:val="auto"/>
                <w:u w:val="none" w:color="auto"/>
              </w:rPr>
            </w:pPr>
            <w:r>
              <w:rPr>
                <w:b w:val="0"/>
                <w:bCs w:val="0"/>
                <w:color w:val="auto"/>
                <w:spacing w:val="7"/>
                <w:u w:val="none" w:color="auto"/>
              </w:rPr>
              <w:t>边长</w:t>
            </w:r>
            <w:r>
              <w:rPr>
                <w:rFonts w:ascii="Times New Roman" w:hAnsi="Times New Roman" w:eastAsia="Times New Roman" w:cs="Times New Roman"/>
                <w:b w:val="0"/>
                <w:bCs w:val="0"/>
                <w:color w:val="auto"/>
                <w:spacing w:val="7"/>
                <w:u w:val="none" w:color="auto"/>
              </w:rPr>
              <w:t>=5</w:t>
            </w:r>
            <w:r>
              <w:rPr>
                <w:rFonts w:ascii="Times New Roman" w:hAnsi="Times New Roman" w:eastAsia="Times New Roman" w:cs="Times New Roman"/>
                <w:b w:val="0"/>
                <w:bCs w:val="0"/>
                <w:color w:val="auto"/>
                <w:u w:val="none" w:color="auto"/>
              </w:rPr>
              <w:t>km</w:t>
            </w:r>
            <w:r>
              <w:rPr>
                <w:rFonts w:ascii="Wingdings" w:hAnsi="Wingdings" w:eastAsia="Wingdings" w:cs="Wingdings"/>
                <w:b w:val="0"/>
                <w:bCs w:val="0"/>
                <w:color w:val="auto"/>
                <w:spacing w:val="7"/>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评价</w:t>
            </w:r>
            <w:r>
              <w:rPr>
                <w:b w:val="0"/>
                <w:bCs w:val="0"/>
                <w:color w:val="auto"/>
                <w:u w:val="none" w:color="auto"/>
              </w:rPr>
              <w:t xml:space="preserve"> </w:t>
            </w:r>
            <w:r>
              <w:rPr>
                <w:b w:val="0"/>
                <w:bCs w:val="0"/>
                <w:color w:val="auto"/>
                <w:spacing w:val="-3"/>
                <w:u w:val="none" w:color="auto"/>
              </w:rPr>
              <w:t>因子</w:t>
            </w: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rFonts w:ascii="Times New Roman" w:hAnsi="Times New Roman" w:eastAsia="Times New Roman" w:cs="Times New Roman"/>
                <w:b w:val="0"/>
                <w:bCs w:val="0"/>
                <w:color w:val="auto"/>
                <w:u w:val="none" w:color="auto"/>
              </w:rPr>
              <w:t>SO</w:t>
            </w:r>
            <w:r>
              <w:rPr>
                <w:rFonts w:ascii="Times New Roman" w:hAnsi="Times New Roman" w:eastAsia="Times New Roman" w:cs="Times New Roman"/>
                <w:b w:val="0"/>
                <w:bCs w:val="0"/>
                <w:color w:val="auto"/>
                <w:spacing w:val="13"/>
                <w:position w:val="-1"/>
                <w:sz w:val="13"/>
                <w:szCs w:val="13"/>
                <w:u w:val="none" w:color="auto"/>
              </w:rPr>
              <w:t>2</w:t>
            </w:r>
            <w:r>
              <w:rPr>
                <w:rFonts w:ascii="Times New Roman" w:hAnsi="Times New Roman" w:eastAsia="Times New Roman" w:cs="Times New Roman"/>
                <w:b w:val="0"/>
                <w:bCs w:val="0"/>
                <w:color w:val="auto"/>
                <w:spacing w:val="13"/>
                <w:u w:val="none" w:color="auto"/>
              </w:rPr>
              <w:t>+</w:t>
            </w:r>
            <w:r>
              <w:rPr>
                <w:rFonts w:ascii="Times New Roman" w:hAnsi="Times New Roman" w:eastAsia="Times New Roman" w:cs="Times New Roman"/>
                <w:b w:val="0"/>
                <w:bCs w:val="0"/>
                <w:color w:val="auto"/>
                <w:u w:val="none" w:color="auto"/>
              </w:rPr>
              <w:t>NO</w:t>
            </w:r>
            <w:r>
              <w:rPr>
                <w:rFonts w:ascii="Times New Roman" w:hAnsi="Times New Roman" w:eastAsia="Times New Roman" w:cs="Times New Roman"/>
                <w:b w:val="0"/>
                <w:bCs w:val="0"/>
                <w:color w:val="auto"/>
                <w:position w:val="-1"/>
                <w:sz w:val="13"/>
                <w:szCs w:val="13"/>
                <w:u w:val="none" w:color="auto"/>
              </w:rPr>
              <w:t xml:space="preserve">x </w:t>
            </w:r>
            <w:r>
              <w:rPr>
                <w:b w:val="0"/>
                <w:bCs w:val="0"/>
                <w:color w:val="auto"/>
                <w:spacing w:val="7"/>
                <w:u w:val="none" w:color="auto"/>
              </w:rPr>
              <w:t>排放量</w:t>
            </w:r>
          </w:p>
        </w:tc>
        <w:tc>
          <w:tcPr>
            <w:tcW w:w="2381"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pacing w:val="4"/>
                <w:sz w:val="20"/>
                <w:szCs w:val="20"/>
                <w:u w:val="none" w:color="auto"/>
              </w:rPr>
              <w:t>≥2000t/a□</w:t>
            </w:r>
          </w:p>
        </w:tc>
        <w:tc>
          <w:tcPr>
            <w:tcW w:w="2827"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pacing w:val="4"/>
                <w:sz w:val="20"/>
                <w:szCs w:val="20"/>
                <w:u w:val="none" w:color="auto"/>
              </w:rPr>
              <w:t>500~2000t/a□</w:t>
            </w:r>
          </w:p>
        </w:tc>
        <w:tc>
          <w:tcPr>
            <w:tcW w:w="2747"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sz w:val="20"/>
                <w:szCs w:val="20"/>
                <w:u w:val="none" w:color="auto"/>
              </w:rPr>
            </w:pPr>
            <w:r>
              <w:rPr>
                <w:rFonts w:ascii="Times New Roman" w:hAnsi="Times New Roman" w:eastAsia="Times New Roman" w:cs="Times New Roman"/>
                <w:b w:val="0"/>
                <w:bCs w:val="0"/>
                <w:color w:val="auto"/>
                <w:spacing w:val="4"/>
                <w:sz w:val="20"/>
                <w:szCs w:val="20"/>
                <w:u w:val="none" w:color="auto"/>
              </w:rPr>
              <w:t>&lt;500t/a</w:t>
            </w:r>
            <w:r>
              <w:rPr>
                <w:b w:val="0"/>
                <w:bCs w:val="0"/>
                <w:color w:val="auto"/>
                <w:position w:val="-4"/>
                <w:sz w:val="20"/>
                <w:szCs w:val="20"/>
                <w:u w:val="none" w:color="auto"/>
              </w:rPr>
              <w:drawing>
                <wp:inline distT="0" distB="0" distL="0" distR="0">
                  <wp:extent cx="113665" cy="13970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24"/>
                          <a:stretch>
                            <a:fillRect/>
                          </a:stretch>
                        </pic:blipFill>
                        <pic:spPr>
                          <a:xfrm>
                            <a:off x="0" y="0"/>
                            <a:ext cx="113726" cy="13974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评价因子</w:t>
            </w:r>
          </w:p>
        </w:tc>
        <w:tc>
          <w:tcPr>
            <w:tcW w:w="520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2"/>
                <w:u w:val="none" w:color="auto"/>
              </w:rPr>
              <w:t>基本污染物（</w:t>
            </w:r>
            <w:r>
              <w:rPr>
                <w:rFonts w:ascii="Times New Roman" w:hAnsi="Times New Roman" w:eastAsia="Times New Roman" w:cs="Times New Roman"/>
                <w:b w:val="0"/>
                <w:bCs w:val="0"/>
                <w:color w:val="auto"/>
                <w:u w:val="none" w:color="auto"/>
              </w:rPr>
              <w:t>SO</w:t>
            </w:r>
            <w:r>
              <w:rPr>
                <w:rFonts w:ascii="Times New Roman" w:hAnsi="Times New Roman" w:eastAsia="Times New Roman" w:cs="Times New Roman"/>
                <w:b w:val="0"/>
                <w:bCs w:val="0"/>
                <w:color w:val="auto"/>
                <w:spacing w:val="2"/>
                <w:position w:val="-1"/>
                <w:sz w:val="13"/>
                <w:szCs w:val="13"/>
                <w:u w:val="none" w:color="auto"/>
              </w:rPr>
              <w:t>2</w:t>
            </w:r>
            <w:r>
              <w:rPr>
                <w:rFonts w:ascii="Times New Roman" w:hAnsi="Times New Roman" w:eastAsia="Times New Roman" w:cs="Times New Roman"/>
                <w:b w:val="0"/>
                <w:bCs w:val="0"/>
                <w:color w:val="auto"/>
                <w:spacing w:val="-9"/>
                <w:position w:val="-1"/>
                <w:sz w:val="13"/>
                <w:szCs w:val="13"/>
                <w:u w:val="none" w:color="auto"/>
              </w:rPr>
              <w:t xml:space="preserve"> </w:t>
            </w:r>
            <w:r>
              <w:rPr>
                <w:b w:val="0"/>
                <w:bCs w:val="0"/>
                <w:color w:val="auto"/>
                <w:spacing w:val="2"/>
                <w:u w:val="none" w:color="auto"/>
              </w:rPr>
              <w:t>、</w:t>
            </w:r>
            <w:r>
              <w:rPr>
                <w:rFonts w:ascii="Times New Roman" w:hAnsi="Times New Roman" w:eastAsia="Times New Roman" w:cs="Times New Roman"/>
                <w:b w:val="0"/>
                <w:bCs w:val="0"/>
                <w:color w:val="auto"/>
                <w:u w:val="none" w:color="auto"/>
              </w:rPr>
              <w:t>NO</w:t>
            </w:r>
            <w:r>
              <w:rPr>
                <w:rFonts w:ascii="Times New Roman" w:hAnsi="Times New Roman" w:eastAsia="Times New Roman" w:cs="Times New Roman"/>
                <w:b w:val="0"/>
                <w:bCs w:val="0"/>
                <w:color w:val="auto"/>
                <w:spacing w:val="2"/>
                <w:position w:val="-1"/>
                <w:sz w:val="13"/>
                <w:szCs w:val="13"/>
                <w:u w:val="none" w:color="auto"/>
              </w:rPr>
              <w:t>2</w:t>
            </w:r>
            <w:r>
              <w:rPr>
                <w:rFonts w:ascii="Times New Roman" w:hAnsi="Times New Roman" w:eastAsia="Times New Roman" w:cs="Times New Roman"/>
                <w:b w:val="0"/>
                <w:bCs w:val="0"/>
                <w:color w:val="auto"/>
                <w:spacing w:val="-11"/>
                <w:position w:val="-1"/>
                <w:sz w:val="13"/>
                <w:szCs w:val="13"/>
                <w:u w:val="none" w:color="auto"/>
              </w:rPr>
              <w:t xml:space="preserve"> </w:t>
            </w:r>
            <w:r>
              <w:rPr>
                <w:b w:val="0"/>
                <w:bCs w:val="0"/>
                <w:color w:val="auto"/>
                <w:spacing w:val="2"/>
                <w:u w:val="none" w:color="auto"/>
              </w:rPr>
              <w:t>、</w:t>
            </w:r>
            <w:r>
              <w:rPr>
                <w:rFonts w:ascii="Times New Roman" w:hAnsi="Times New Roman" w:eastAsia="Times New Roman" w:cs="Times New Roman"/>
                <w:b w:val="0"/>
                <w:bCs w:val="0"/>
                <w:color w:val="auto"/>
                <w:u w:val="none" w:color="auto"/>
              </w:rPr>
              <w:t>PM</w:t>
            </w:r>
            <w:r>
              <w:rPr>
                <w:rFonts w:ascii="Times New Roman" w:hAnsi="Times New Roman" w:eastAsia="Times New Roman" w:cs="Times New Roman"/>
                <w:b w:val="0"/>
                <w:bCs w:val="0"/>
                <w:color w:val="auto"/>
                <w:spacing w:val="2"/>
                <w:position w:val="-1"/>
                <w:sz w:val="13"/>
                <w:szCs w:val="13"/>
                <w:u w:val="none" w:color="auto"/>
              </w:rPr>
              <w:t>2.5</w:t>
            </w:r>
            <w:r>
              <w:rPr>
                <w:rFonts w:ascii="Times New Roman" w:hAnsi="Times New Roman" w:eastAsia="Times New Roman" w:cs="Times New Roman"/>
                <w:b w:val="0"/>
                <w:bCs w:val="0"/>
                <w:color w:val="auto"/>
                <w:spacing w:val="-11"/>
                <w:position w:val="-1"/>
                <w:sz w:val="13"/>
                <w:szCs w:val="13"/>
                <w:u w:val="none" w:color="auto"/>
              </w:rPr>
              <w:t xml:space="preserve"> </w:t>
            </w:r>
            <w:r>
              <w:rPr>
                <w:b w:val="0"/>
                <w:bCs w:val="0"/>
                <w:color w:val="auto"/>
                <w:spacing w:val="2"/>
                <w:u w:val="none" w:color="auto"/>
              </w:rPr>
              <w:t>、</w:t>
            </w:r>
            <w:r>
              <w:rPr>
                <w:rFonts w:ascii="Times New Roman" w:hAnsi="Times New Roman" w:eastAsia="Times New Roman" w:cs="Times New Roman"/>
                <w:b w:val="0"/>
                <w:bCs w:val="0"/>
                <w:color w:val="auto"/>
                <w:u w:val="none" w:color="auto"/>
              </w:rPr>
              <w:t>PM</w:t>
            </w:r>
            <w:r>
              <w:rPr>
                <w:rFonts w:ascii="Times New Roman" w:hAnsi="Times New Roman" w:eastAsia="Times New Roman" w:cs="Times New Roman"/>
                <w:b w:val="0"/>
                <w:bCs w:val="0"/>
                <w:color w:val="auto"/>
                <w:spacing w:val="2"/>
                <w:position w:val="-1"/>
                <w:sz w:val="13"/>
                <w:szCs w:val="13"/>
                <w:u w:val="none" w:color="auto"/>
              </w:rPr>
              <w:t>10</w:t>
            </w:r>
            <w:r>
              <w:rPr>
                <w:rFonts w:ascii="Times New Roman" w:hAnsi="Times New Roman" w:eastAsia="Times New Roman" w:cs="Times New Roman"/>
                <w:b w:val="0"/>
                <w:bCs w:val="0"/>
                <w:color w:val="auto"/>
                <w:spacing w:val="-11"/>
                <w:position w:val="-1"/>
                <w:sz w:val="13"/>
                <w:szCs w:val="13"/>
                <w:u w:val="none" w:color="auto"/>
              </w:rPr>
              <w:t xml:space="preserve"> </w:t>
            </w:r>
            <w:r>
              <w:rPr>
                <w:b w:val="0"/>
                <w:bCs w:val="0"/>
                <w:color w:val="auto"/>
                <w:spacing w:val="2"/>
                <w:u w:val="none" w:color="auto"/>
              </w:rPr>
              <w:t>、</w:t>
            </w:r>
            <w:r>
              <w:rPr>
                <w:rFonts w:ascii="Times New Roman" w:hAnsi="Times New Roman" w:eastAsia="Times New Roman" w:cs="Times New Roman"/>
                <w:b w:val="0"/>
                <w:bCs w:val="0"/>
                <w:color w:val="auto"/>
                <w:u w:val="none" w:color="auto"/>
              </w:rPr>
              <w:t>CO</w:t>
            </w:r>
            <w:r>
              <w:rPr>
                <w:rFonts w:ascii="Times New Roman" w:hAnsi="Times New Roman" w:eastAsia="Times New Roman" w:cs="Times New Roman"/>
                <w:b w:val="0"/>
                <w:bCs w:val="0"/>
                <w:color w:val="auto"/>
                <w:spacing w:val="-27"/>
                <w:u w:val="none" w:color="auto"/>
              </w:rPr>
              <w:t xml:space="preserve"> </w:t>
            </w:r>
            <w:r>
              <w:rPr>
                <w:b w:val="0"/>
                <w:bCs w:val="0"/>
                <w:color w:val="auto"/>
                <w:spacing w:val="2"/>
                <w:u w:val="none" w:color="auto"/>
              </w:rPr>
              <w:t>、</w:t>
            </w:r>
            <w:r>
              <w:rPr>
                <w:rFonts w:ascii="Times New Roman" w:hAnsi="Times New Roman" w:eastAsia="Times New Roman" w:cs="Times New Roman"/>
                <w:b w:val="0"/>
                <w:bCs w:val="0"/>
                <w:color w:val="auto"/>
                <w:spacing w:val="2"/>
                <w:u w:val="none" w:color="auto"/>
              </w:rPr>
              <w:t>O</w:t>
            </w:r>
            <w:r>
              <w:rPr>
                <w:rFonts w:ascii="Times New Roman" w:hAnsi="Times New Roman" w:eastAsia="Times New Roman" w:cs="Times New Roman"/>
                <w:b w:val="0"/>
                <w:bCs w:val="0"/>
                <w:color w:val="auto"/>
                <w:spacing w:val="2"/>
                <w:position w:val="-1"/>
                <w:sz w:val="13"/>
                <w:szCs w:val="13"/>
                <w:u w:val="none" w:color="auto"/>
              </w:rPr>
              <w:t>3</w:t>
            </w:r>
            <w:r>
              <w:rPr>
                <w:b w:val="0"/>
                <w:bCs w:val="0"/>
                <w:color w:val="auto"/>
                <w:spacing w:val="2"/>
                <w:u w:val="none" w:color="auto"/>
              </w:rPr>
              <w:t>）</w:t>
            </w:r>
          </w:p>
        </w:tc>
        <w:tc>
          <w:tcPr>
            <w:tcW w:w="2747" w:type="dxa"/>
            <w:gridSpan w:val="3"/>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8"/>
                <w:u w:val="none" w:color="auto"/>
              </w:rPr>
              <w:t>包括二次</w:t>
            </w:r>
            <w:r>
              <w:rPr>
                <w:rFonts w:ascii="Times New Roman" w:hAnsi="Times New Roman" w:eastAsia="Times New Roman" w:cs="Times New Roman"/>
                <w:b w:val="0"/>
                <w:bCs w:val="0"/>
                <w:color w:val="auto"/>
                <w:u w:val="none" w:color="auto"/>
              </w:rPr>
              <w:t>PM</w:t>
            </w:r>
            <w:r>
              <w:rPr>
                <w:rFonts w:ascii="Times New Roman" w:hAnsi="Times New Roman" w:eastAsia="Times New Roman" w:cs="Times New Roman"/>
                <w:b w:val="0"/>
                <w:bCs w:val="0"/>
                <w:color w:val="auto"/>
                <w:spacing w:val="8"/>
                <w:u w:val="none" w:color="auto"/>
                <w:vertAlign w:val="subscript"/>
              </w:rPr>
              <w:t>2.5</w:t>
            </w:r>
            <w:r>
              <w:rPr>
                <w:rFonts w:ascii="Times New Roman" w:hAnsi="Times New Roman" w:eastAsia="Times New Roman" w:cs="Times New Roman"/>
                <w:b w:val="0"/>
                <w:bCs w:val="0"/>
                <w:color w:val="auto"/>
                <w:spacing w:val="8"/>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5208" w:type="dxa"/>
            <w:gridSpan w:val="6"/>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5"/>
                <w:u w:val="none" w:color="auto"/>
              </w:rPr>
              <w:t>其他污染物（</w:t>
            </w:r>
            <w:r>
              <w:rPr>
                <w:rFonts w:ascii="Times New Roman" w:hAnsi="Times New Roman" w:eastAsia="Times New Roman" w:cs="Times New Roman"/>
                <w:b w:val="0"/>
                <w:bCs w:val="0"/>
                <w:color w:val="auto"/>
                <w:spacing w:val="5"/>
                <w:u w:val="none" w:color="auto"/>
              </w:rPr>
              <w:t>H</w:t>
            </w:r>
            <w:r>
              <w:rPr>
                <w:rFonts w:ascii="Times New Roman" w:hAnsi="Times New Roman" w:eastAsia="Times New Roman" w:cs="Times New Roman"/>
                <w:b w:val="0"/>
                <w:bCs w:val="0"/>
                <w:color w:val="auto"/>
                <w:spacing w:val="5"/>
                <w:position w:val="-1"/>
                <w:sz w:val="13"/>
                <w:szCs w:val="13"/>
                <w:u w:val="none" w:color="auto"/>
              </w:rPr>
              <w:t>2</w:t>
            </w:r>
            <w:r>
              <w:rPr>
                <w:rFonts w:ascii="Times New Roman" w:hAnsi="Times New Roman" w:eastAsia="Times New Roman" w:cs="Times New Roman"/>
                <w:b w:val="0"/>
                <w:bCs w:val="0"/>
                <w:color w:val="auto"/>
                <w:spacing w:val="5"/>
                <w:u w:val="none" w:color="auto"/>
              </w:rPr>
              <w:t>S</w:t>
            </w:r>
            <w:r>
              <w:rPr>
                <w:b w:val="0"/>
                <w:bCs w:val="0"/>
                <w:color w:val="auto"/>
                <w:spacing w:val="5"/>
                <w:u w:val="none" w:color="auto"/>
              </w:rPr>
              <w:t>、</w:t>
            </w:r>
            <w:r>
              <w:rPr>
                <w:rFonts w:ascii="Times New Roman" w:hAnsi="Times New Roman" w:eastAsia="Times New Roman" w:cs="Times New Roman"/>
                <w:b w:val="0"/>
                <w:bCs w:val="0"/>
                <w:color w:val="auto"/>
                <w:u w:val="none" w:color="auto"/>
              </w:rPr>
              <w:t>NH</w:t>
            </w:r>
            <w:r>
              <w:rPr>
                <w:rFonts w:ascii="Times New Roman" w:hAnsi="Times New Roman" w:eastAsia="Times New Roman" w:cs="Times New Roman"/>
                <w:b w:val="0"/>
                <w:bCs w:val="0"/>
                <w:color w:val="auto"/>
                <w:spacing w:val="5"/>
                <w:position w:val="-1"/>
                <w:sz w:val="13"/>
                <w:szCs w:val="13"/>
                <w:u w:val="none" w:color="auto"/>
              </w:rPr>
              <w:t>3</w:t>
            </w:r>
            <w:r>
              <w:rPr>
                <w:rFonts w:hint="eastAsia" w:ascii="Times New Roman" w:hAnsi="Times New Roman" w:eastAsia="宋体" w:cs="Times New Roman"/>
                <w:b w:val="0"/>
                <w:bCs w:val="0"/>
                <w:color w:val="auto"/>
                <w:spacing w:val="0"/>
                <w:position w:val="0"/>
                <w:sz w:val="18"/>
                <w:szCs w:val="18"/>
                <w:u w:val="none" w:color="auto"/>
                <w:vertAlign w:val="baseline"/>
                <w:lang w:eastAsia="zh-CN"/>
              </w:rPr>
              <w:t>、臭气浓度</w:t>
            </w:r>
            <w:r>
              <w:rPr>
                <w:b w:val="0"/>
                <w:bCs w:val="0"/>
                <w:color w:val="auto"/>
                <w:spacing w:val="5"/>
                <w:u w:val="none" w:color="auto"/>
              </w:rPr>
              <w:t>）</w:t>
            </w:r>
          </w:p>
        </w:tc>
        <w:tc>
          <w:tcPr>
            <w:tcW w:w="2747" w:type="dxa"/>
            <w:gridSpan w:val="3"/>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5208" w:type="dxa"/>
            <w:gridSpan w:val="6"/>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2747"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7"/>
                <w:u w:val="none" w:color="auto"/>
              </w:rPr>
              <w:t>不包括二次</w:t>
            </w:r>
            <w:r>
              <w:rPr>
                <w:rFonts w:ascii="Times New Roman" w:hAnsi="Times New Roman" w:eastAsia="Times New Roman" w:cs="Times New Roman"/>
                <w:b w:val="0"/>
                <w:bCs w:val="0"/>
                <w:color w:val="auto"/>
                <w:u w:val="none" w:color="auto"/>
              </w:rPr>
              <w:t>PM</w:t>
            </w:r>
            <w:r>
              <w:rPr>
                <w:rFonts w:ascii="Times New Roman" w:hAnsi="Times New Roman" w:eastAsia="Times New Roman" w:cs="Times New Roman"/>
                <w:b w:val="0"/>
                <w:bCs w:val="0"/>
                <w:color w:val="auto"/>
                <w:spacing w:val="7"/>
                <w:u w:val="none" w:color="auto"/>
                <w:vertAlign w:val="subscript"/>
              </w:rPr>
              <w:t>2.5</w:t>
            </w:r>
            <w:r>
              <w:rPr>
                <w:rFonts w:ascii="Times New Roman" w:hAnsi="Times New Roman" w:eastAsia="Times New Roman" w:cs="Times New Roman"/>
                <w:b w:val="0"/>
                <w:bCs w:val="0"/>
                <w:color w:val="auto"/>
                <w:spacing w:val="-32"/>
                <w:u w:val="none" w:color="auto"/>
              </w:rPr>
              <w:t xml:space="preserve"> </w:t>
            </w:r>
            <w:r>
              <w:rPr>
                <w:b w:val="0"/>
                <w:bCs w:val="0"/>
                <w:color w:val="auto"/>
                <w:position w:val="-4"/>
                <w:u w:val="none" w:color="auto"/>
              </w:rPr>
              <w:drawing>
                <wp:inline distT="0" distB="0" distL="0" distR="0">
                  <wp:extent cx="102870" cy="139700"/>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125"/>
                          <a:stretch>
                            <a:fillRect/>
                          </a:stretch>
                        </pic:blipFill>
                        <pic:spPr>
                          <a:xfrm>
                            <a:off x="0" y="0"/>
                            <a:ext cx="103384" cy="13974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评价</w:t>
            </w:r>
            <w:r>
              <w:rPr>
                <w:b w:val="0"/>
                <w:bCs w:val="0"/>
                <w:color w:val="auto"/>
                <w:u w:val="none" w:color="auto"/>
              </w:rPr>
              <w:t xml:space="preserve"> </w:t>
            </w:r>
            <w:r>
              <w:rPr>
                <w:b w:val="0"/>
                <w:bCs w:val="0"/>
                <w:color w:val="auto"/>
                <w:spacing w:val="5"/>
                <w:u w:val="none" w:color="auto"/>
              </w:rPr>
              <w:t>标准</w:t>
            </w:r>
          </w:p>
        </w:tc>
        <w:tc>
          <w:tcPr>
            <w:tcW w:w="127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评价标准</w:t>
            </w:r>
          </w:p>
        </w:tc>
        <w:tc>
          <w:tcPr>
            <w:tcW w:w="2381" w:type="dxa"/>
            <w:gridSpan w:val="3"/>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3"/>
                <w:u w:val="none" w:color="auto"/>
              </w:rPr>
              <w:t>国家标准</w:t>
            </w:r>
            <w:r>
              <w:rPr>
                <w:b w:val="0"/>
                <w:bCs w:val="0"/>
                <w:color w:val="auto"/>
                <w:u w:val="none" w:color="auto"/>
              </w:rPr>
              <w:drawing>
                <wp:inline distT="0" distB="0" distL="0" distR="0">
                  <wp:extent cx="119380" cy="10223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126"/>
                          <a:stretch>
                            <a:fillRect/>
                          </a:stretch>
                        </pic:blipFill>
                        <pic:spPr>
                          <a:xfrm>
                            <a:off x="0" y="0"/>
                            <a:ext cx="119681" cy="102588"/>
                          </a:xfrm>
                          <a:prstGeom prst="rect">
                            <a:avLst/>
                          </a:prstGeom>
                        </pic:spPr>
                      </pic:pic>
                    </a:graphicData>
                  </a:graphic>
                </wp:inline>
              </w:drawing>
            </w:r>
          </w:p>
        </w:tc>
        <w:tc>
          <w:tcPr>
            <w:tcW w:w="2827" w:type="dxa"/>
            <w:gridSpan w:val="3"/>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地方标准</w:t>
            </w:r>
            <w:r>
              <w:rPr>
                <w:b w:val="0"/>
                <w:bCs w:val="0"/>
                <w:color w:val="auto"/>
                <w:u w:val="none" w:color="auto"/>
              </w:rPr>
              <w:drawing>
                <wp:inline distT="0" distB="0" distL="0" distR="0">
                  <wp:extent cx="119380" cy="10223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27"/>
                          <a:stretch>
                            <a:fillRect/>
                          </a:stretch>
                        </pic:blipFill>
                        <pic:spPr>
                          <a:xfrm>
                            <a:off x="0" y="0"/>
                            <a:ext cx="119681" cy="102588"/>
                          </a:xfrm>
                          <a:prstGeom prst="rect">
                            <a:avLst/>
                          </a:prstGeom>
                        </pic:spPr>
                      </pic:pic>
                    </a:graphicData>
                  </a:graphic>
                </wp:inline>
              </w:drawing>
            </w:r>
          </w:p>
        </w:tc>
        <w:tc>
          <w:tcPr>
            <w:tcW w:w="113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1"/>
                <w:u w:val="none" w:color="auto"/>
              </w:rPr>
              <w:t>附录</w:t>
            </w:r>
            <w:r>
              <w:rPr>
                <w:b w:val="0"/>
                <w:bCs w:val="0"/>
                <w:color w:val="auto"/>
                <w:spacing w:val="-48"/>
                <w:u w:val="none" w:color="auto"/>
              </w:rPr>
              <w:t xml:space="preserve"> </w:t>
            </w:r>
            <w:r>
              <w:rPr>
                <w:rFonts w:ascii="Times New Roman" w:hAnsi="Times New Roman" w:eastAsia="Times New Roman" w:cs="Times New Roman"/>
                <w:b w:val="0"/>
                <w:bCs w:val="0"/>
                <w:color w:val="auto"/>
                <w:spacing w:val="-1"/>
                <w:u w:val="none" w:color="auto"/>
              </w:rPr>
              <w:t>D</w:t>
            </w:r>
            <w:r>
              <w:rPr>
                <w:b w:val="0"/>
                <w:bCs w:val="0"/>
                <w:color w:val="auto"/>
                <w:u w:val="none" w:color="auto"/>
              </w:rPr>
              <w:drawing>
                <wp:inline distT="0" distB="0" distL="0" distR="0">
                  <wp:extent cx="118110" cy="9334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128"/>
                          <a:stretch>
                            <a:fillRect/>
                          </a:stretch>
                        </pic:blipFill>
                        <pic:spPr>
                          <a:xfrm>
                            <a:off x="0" y="0"/>
                            <a:ext cx="118440" cy="93616"/>
                          </a:xfrm>
                          <a:prstGeom prst="rect">
                            <a:avLst/>
                          </a:prstGeom>
                        </pic:spPr>
                      </pic:pic>
                    </a:graphicData>
                  </a:graphic>
                </wp:inline>
              </w:drawing>
            </w:r>
          </w:p>
        </w:tc>
        <w:tc>
          <w:tcPr>
            <w:tcW w:w="1610" w:type="dxa"/>
            <w:gridSpan w:val="2"/>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其他标准</w:t>
            </w:r>
            <w:r>
              <w:rPr>
                <w:b w:val="0"/>
                <w:bCs w:val="0"/>
                <w:color w:val="auto"/>
                <w:u w:val="none" w:color="auto"/>
              </w:rPr>
              <w:drawing>
                <wp:inline distT="0" distB="0" distL="0" distR="0">
                  <wp:extent cx="118110" cy="10223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129"/>
                          <a:stretch>
                            <a:fillRect/>
                          </a:stretch>
                        </pic:blipFill>
                        <pic:spPr>
                          <a:xfrm>
                            <a:off x="0" y="0"/>
                            <a:ext cx="118144" cy="10258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2381" w:type="dxa"/>
            <w:gridSpan w:val="3"/>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2827" w:type="dxa"/>
            <w:gridSpan w:val="3"/>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13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610" w:type="dxa"/>
            <w:gridSpan w:val="2"/>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5"/>
                <w:u w:val="none" w:color="auto"/>
              </w:rPr>
              <w:t>现状</w:t>
            </w:r>
            <w:r>
              <w:rPr>
                <w:b w:val="0"/>
                <w:bCs w:val="0"/>
                <w:color w:val="auto"/>
                <w:u w:val="none" w:color="auto"/>
              </w:rPr>
              <w:t xml:space="preserve"> </w:t>
            </w:r>
            <w:r>
              <w:rPr>
                <w:b w:val="0"/>
                <w:bCs w:val="0"/>
                <w:color w:val="auto"/>
                <w:spacing w:val="6"/>
                <w:u w:val="none" w:color="auto"/>
              </w:rPr>
              <w:t>评价</w:t>
            </w: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评价功能区</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6"/>
                <w:u w:val="none" w:color="auto"/>
              </w:rPr>
              <w:t>一类区</w:t>
            </w:r>
            <w:r>
              <w:rPr>
                <w:rFonts w:ascii="Times New Roman" w:hAnsi="Times New Roman" w:eastAsia="Times New Roman" w:cs="Times New Roman"/>
                <w:b w:val="0"/>
                <w:bCs w:val="0"/>
                <w:color w:val="auto"/>
                <w:spacing w:val="6"/>
                <w:u w:val="none" w:color="auto"/>
              </w:rPr>
              <w:t>□</w:t>
            </w: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二类区</w:t>
            </w:r>
            <w:r>
              <w:rPr>
                <w:b w:val="0"/>
                <w:bCs w:val="0"/>
                <w:color w:val="auto"/>
                <w:u w:val="none" w:color="auto"/>
              </w:rPr>
              <w:drawing>
                <wp:inline distT="0" distB="0" distL="0" distR="0">
                  <wp:extent cx="119380" cy="102235"/>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130"/>
                          <a:stretch>
                            <a:fillRect/>
                          </a:stretch>
                        </pic:blipFill>
                        <pic:spPr>
                          <a:xfrm>
                            <a:off x="0" y="0"/>
                            <a:ext cx="119648" cy="102588"/>
                          </a:xfrm>
                          <a:prstGeom prst="rect">
                            <a:avLst/>
                          </a:prstGeom>
                        </pic:spPr>
                      </pic:pic>
                    </a:graphicData>
                  </a:graphic>
                </wp:inline>
              </w:drawing>
            </w:r>
          </w:p>
        </w:tc>
        <w:tc>
          <w:tcPr>
            <w:tcW w:w="1610"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8"/>
                <w:u w:val="none" w:color="auto"/>
              </w:rPr>
              <w:t>一类区和二类</w:t>
            </w:r>
            <w:r>
              <w:rPr>
                <w:b w:val="0"/>
                <w:bCs w:val="0"/>
                <w:color w:val="auto"/>
                <w:spacing w:val="2"/>
                <w:u w:val="none" w:color="auto"/>
              </w:rPr>
              <w:t xml:space="preserve"> </w:t>
            </w:r>
            <w:r>
              <w:rPr>
                <w:b w:val="0"/>
                <w:bCs w:val="0"/>
                <w:color w:val="auto"/>
                <w:spacing w:val="1"/>
                <w:u w:val="none" w:color="auto"/>
              </w:rPr>
              <w:t>区</w:t>
            </w:r>
            <w:r>
              <w:rPr>
                <w:rFonts w:ascii="Times New Roman" w:hAnsi="Times New Roman" w:eastAsia="Times New Roman" w:cs="Times New Roman"/>
                <w:b w:val="0"/>
                <w:bCs w:val="0"/>
                <w:color w:val="auto"/>
                <w:spacing w:val="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评价基准年</w:t>
            </w:r>
          </w:p>
        </w:tc>
        <w:tc>
          <w:tcPr>
            <w:tcW w:w="7955" w:type="dxa"/>
            <w:gridSpan w:val="9"/>
            <w:tcBorders>
              <w:tl2br w:val="nil"/>
              <w:tr2bl w:val="nil"/>
            </w:tcBorders>
            <w:vAlign w:val="center"/>
          </w:tcPr>
          <w:p>
            <w:pPr>
              <w:pStyle w:val="25"/>
              <w:keepNext w:val="0"/>
              <w:keepLines w:val="0"/>
              <w:pageBreakBefore w:val="0"/>
              <w:widowControl/>
              <w:tabs>
                <w:tab w:val="left" w:pos="3177"/>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10"/>
                <w:u w:val="none" w:color="auto"/>
              </w:rPr>
              <w:t>（</w:t>
            </w:r>
            <w:r>
              <w:rPr>
                <w:rFonts w:ascii="Times New Roman" w:hAnsi="Times New Roman" w:eastAsia="Times New Roman" w:cs="Times New Roman"/>
                <w:b w:val="0"/>
                <w:bCs w:val="0"/>
                <w:color w:val="auto"/>
                <w:spacing w:val="-10"/>
                <w:u w:val="none" w:color="auto"/>
              </w:rPr>
              <w:t>202</w:t>
            </w:r>
            <w:r>
              <w:rPr>
                <w:rFonts w:hint="eastAsia" w:ascii="Times New Roman" w:hAnsi="Times New Roman" w:eastAsia="宋体" w:cs="Times New Roman"/>
                <w:b w:val="0"/>
                <w:bCs w:val="0"/>
                <w:color w:val="auto"/>
                <w:spacing w:val="-10"/>
                <w:u w:val="none" w:color="auto"/>
                <w:lang w:val="en-US" w:eastAsia="zh-CN"/>
              </w:rPr>
              <w:t>1</w:t>
            </w:r>
            <w:r>
              <w:rPr>
                <w:b w:val="0"/>
                <w:bCs w:val="0"/>
                <w:color w:val="auto"/>
                <w:spacing w:val="-10"/>
                <w:u w:val="none" w:color="auto"/>
              </w:rPr>
              <w:t>）年</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环境空气质</w:t>
            </w:r>
            <w:r>
              <w:rPr>
                <w:b w:val="0"/>
                <w:bCs w:val="0"/>
                <w:color w:val="auto"/>
                <w:spacing w:val="2"/>
                <w:u w:val="none" w:color="auto"/>
              </w:rPr>
              <w:t xml:space="preserve"> </w:t>
            </w:r>
            <w:r>
              <w:rPr>
                <w:b w:val="0"/>
                <w:bCs w:val="0"/>
                <w:color w:val="auto"/>
                <w:spacing w:val="8"/>
                <w:u w:val="none" w:color="auto"/>
              </w:rPr>
              <w:t>量现状调查</w:t>
            </w:r>
            <w:r>
              <w:rPr>
                <w:b w:val="0"/>
                <w:bCs w:val="0"/>
                <w:color w:val="auto"/>
                <w:spacing w:val="2"/>
                <w:u w:val="none" w:color="auto"/>
              </w:rPr>
              <w:t xml:space="preserve"> </w:t>
            </w:r>
            <w:r>
              <w:rPr>
                <w:b w:val="0"/>
                <w:bCs w:val="0"/>
                <w:color w:val="auto"/>
                <w:spacing w:val="34"/>
                <w:u w:val="none" w:color="auto"/>
              </w:rPr>
              <w:t>数据来源</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9"/>
                <w:u w:val="none" w:color="auto"/>
              </w:rPr>
              <w:t>长期例行监测数据</w:t>
            </w:r>
            <w:r>
              <w:rPr>
                <w:rFonts w:ascii="Times New Roman" w:hAnsi="Times New Roman" w:eastAsia="Times New Roman" w:cs="Times New Roman"/>
                <w:b w:val="0"/>
                <w:bCs w:val="0"/>
                <w:color w:val="auto"/>
                <w:spacing w:val="9"/>
                <w:u w:val="none" w:color="auto"/>
              </w:rPr>
              <w:t>□</w:t>
            </w: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9"/>
                <w:u w:val="none" w:color="auto"/>
              </w:rPr>
              <w:t>主管部门发布的数据</w:t>
            </w:r>
            <w:r>
              <w:rPr>
                <w:b w:val="0"/>
                <w:bCs w:val="0"/>
                <w:color w:val="auto"/>
                <w:u w:val="none" w:color="auto"/>
              </w:rPr>
              <w:drawing>
                <wp:inline distT="0" distB="0" distL="0" distR="0">
                  <wp:extent cx="119380" cy="102235"/>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131"/>
                          <a:stretch>
                            <a:fillRect/>
                          </a:stretch>
                        </pic:blipFill>
                        <pic:spPr>
                          <a:xfrm>
                            <a:off x="0" y="0"/>
                            <a:ext cx="119688" cy="102588"/>
                          </a:xfrm>
                          <a:prstGeom prst="rect">
                            <a:avLst/>
                          </a:prstGeom>
                        </pic:spPr>
                      </pic:pic>
                    </a:graphicData>
                  </a:graphic>
                </wp:inline>
              </w:drawing>
            </w:r>
          </w:p>
        </w:tc>
        <w:tc>
          <w:tcPr>
            <w:tcW w:w="1610"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position w:val="2"/>
                <w:u w:val="none" w:color="auto"/>
              </w:rPr>
              <w:t>现状补充检测</w:t>
            </w:r>
            <w:r>
              <w:rPr>
                <w:b w:val="0"/>
                <w:bCs w:val="0"/>
                <w:color w:val="auto"/>
                <w:spacing w:val="3"/>
                <w:position w:val="2"/>
                <w:u w:val="none" w:color="auto"/>
              </w:rPr>
              <w:t xml:space="preserve"> </w:t>
            </w:r>
            <w:r>
              <w:rPr>
                <w:b w:val="0"/>
                <w:bCs w:val="0"/>
                <w:color w:val="auto"/>
                <w:position w:val="-5"/>
                <w:u w:val="none" w:color="auto"/>
              </w:rPr>
              <w:drawing>
                <wp:inline distT="0" distB="0" distL="0" distR="0">
                  <wp:extent cx="106680" cy="102235"/>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132"/>
                          <a:stretch>
                            <a:fillRect/>
                          </a:stretch>
                        </pic:blipFill>
                        <pic:spPr>
                          <a:xfrm>
                            <a:off x="0" y="0"/>
                            <a:ext cx="107100" cy="10258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现状评价</w:t>
            </w:r>
          </w:p>
        </w:tc>
        <w:tc>
          <w:tcPr>
            <w:tcW w:w="520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7"/>
                <w:u w:val="none" w:color="auto"/>
              </w:rPr>
              <w:t>达标区</w:t>
            </w:r>
            <w:r>
              <w:rPr>
                <w:rFonts w:ascii="Times New Roman" w:hAnsi="Times New Roman" w:eastAsia="Times New Roman" w:cs="Times New Roman"/>
                <w:b w:val="0"/>
                <w:bCs w:val="0"/>
                <w:color w:val="auto"/>
                <w:spacing w:val="7"/>
                <w:u w:val="none" w:color="auto"/>
              </w:rPr>
              <w:t>□</w:t>
            </w:r>
          </w:p>
        </w:tc>
        <w:tc>
          <w:tcPr>
            <w:tcW w:w="2747"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7"/>
                <w:u w:val="none" w:color="auto"/>
              </w:rPr>
              <w:t>不达标区</w:t>
            </w:r>
            <w:r>
              <w:rPr>
                <w:b w:val="0"/>
                <w:bCs w:val="0"/>
                <w:color w:val="auto"/>
                <w:u w:val="none" w:color="auto"/>
              </w:rPr>
              <w:drawing>
                <wp:inline distT="0" distB="0" distL="0" distR="0">
                  <wp:extent cx="118110" cy="102235"/>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133"/>
                          <a:stretch>
                            <a:fillRect/>
                          </a:stretch>
                        </pic:blipFill>
                        <pic:spPr>
                          <a:xfrm>
                            <a:off x="0" y="0"/>
                            <a:ext cx="118144" cy="10258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5"/>
                <w:u w:val="none" w:color="auto"/>
              </w:rPr>
              <w:t>污染</w:t>
            </w:r>
            <w:r>
              <w:rPr>
                <w:b w:val="0"/>
                <w:bCs w:val="0"/>
                <w:color w:val="auto"/>
                <w:u w:val="none" w:color="auto"/>
              </w:rPr>
              <w:t xml:space="preserve"> </w:t>
            </w:r>
            <w:r>
              <w:rPr>
                <w:b w:val="0"/>
                <w:bCs w:val="0"/>
                <w:color w:val="auto"/>
                <w:spacing w:val="6"/>
                <w:u w:val="none" w:color="auto"/>
              </w:rPr>
              <w:t>源调</w:t>
            </w:r>
            <w:r>
              <w:rPr>
                <w:b w:val="0"/>
                <w:bCs w:val="0"/>
                <w:color w:val="auto"/>
                <w:u w:val="none" w:color="auto"/>
              </w:rPr>
              <w:t xml:space="preserve"> </w:t>
            </w:r>
            <w:r>
              <w:rPr>
                <w:b w:val="0"/>
                <w:bCs w:val="0"/>
                <w:color w:val="auto"/>
                <w:spacing w:val="40"/>
                <w:w w:val="132"/>
                <w:u w:val="none" w:color="auto"/>
              </w:rPr>
              <w:t>查</w:t>
            </w:r>
          </w:p>
        </w:tc>
        <w:tc>
          <w:tcPr>
            <w:tcW w:w="127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调查内容</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hAnsi="Arial" w:eastAsia="Arial" w:cs="Arial"/>
                <w:b w:val="0"/>
                <w:bCs w:val="0"/>
                <w:color w:val="auto"/>
                <w:sz w:val="21"/>
                <w:szCs w:val="21"/>
                <w:u w:val="none" w:color="auto"/>
              </w:rPr>
            </w:pPr>
            <w:r>
              <w:rPr>
                <w:b w:val="0"/>
                <w:bCs w:val="0"/>
                <w:color w:val="auto"/>
                <w:spacing w:val="9"/>
                <w:position w:val="2"/>
                <w:u w:val="none" w:color="auto"/>
              </w:rPr>
              <w:t>本项目正常排放源</w:t>
            </w:r>
            <w:r>
              <w:rPr>
                <w:b w:val="0"/>
                <w:bCs w:val="0"/>
                <w:color w:val="auto"/>
                <w:position w:val="-5"/>
                <w:u w:val="none" w:color="auto"/>
              </w:rPr>
              <w:drawing>
                <wp:inline distT="0" distB="0" distL="0" distR="0">
                  <wp:extent cx="106680" cy="10223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134"/>
                          <a:stretch>
                            <a:fillRect/>
                          </a:stretch>
                        </pic:blipFill>
                        <pic:spPr>
                          <a:xfrm>
                            <a:off x="0" y="0"/>
                            <a:ext cx="107101" cy="102588"/>
                          </a:xfrm>
                          <a:prstGeom prst="rect">
                            <a:avLst/>
                          </a:prstGeom>
                        </pic:spPr>
                      </pic:pic>
                    </a:graphicData>
                  </a:graphic>
                </wp:inline>
              </w:drawing>
            </w:r>
          </w:p>
        </w:tc>
        <w:tc>
          <w:tcPr>
            <w:tcW w:w="2827" w:type="dxa"/>
            <w:gridSpan w:val="3"/>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8"/>
                <w:u w:val="none" w:color="auto"/>
              </w:rPr>
              <w:t>拟替代的污染源</w:t>
            </w:r>
            <w:r>
              <w:rPr>
                <w:rFonts w:ascii="Times New Roman" w:hAnsi="Times New Roman" w:eastAsia="Times New Roman" w:cs="Times New Roman"/>
                <w:b w:val="0"/>
                <w:bCs w:val="0"/>
                <w:color w:val="auto"/>
                <w:spacing w:val="8"/>
                <w:u w:val="none" w:color="auto"/>
              </w:rPr>
              <w:t>□</w:t>
            </w:r>
          </w:p>
        </w:tc>
        <w:tc>
          <w:tcPr>
            <w:tcW w:w="1137"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1"/>
                <w:position w:val="-2"/>
                <w:u w:val="none" w:color="auto"/>
              </w:rPr>
              <w:t>其他在建、</w:t>
            </w:r>
          </w:p>
        </w:tc>
        <w:tc>
          <w:tcPr>
            <w:tcW w:w="1610" w:type="dxa"/>
            <w:gridSpan w:val="2"/>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5"/>
                <w:u w:val="none" w:color="auto"/>
              </w:rPr>
              <w:t>区域污染源</w:t>
            </w:r>
            <w:r>
              <w:rPr>
                <w:b w:val="0"/>
                <w:bCs w:val="0"/>
                <w:color w:val="auto"/>
                <w:position w:val="-4"/>
                <w:u w:val="none" w:color="auto"/>
              </w:rPr>
              <w:drawing>
                <wp:inline distT="0" distB="0" distL="0" distR="0">
                  <wp:extent cx="115570" cy="139700"/>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135"/>
                          <a:stretch>
                            <a:fillRect/>
                          </a:stretch>
                        </pic:blipFill>
                        <pic:spPr>
                          <a:xfrm>
                            <a:off x="0" y="0"/>
                            <a:ext cx="115954" cy="13974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9"/>
                <w:position w:val="2"/>
                <w:u w:val="none" w:color="auto"/>
              </w:rPr>
              <w:t>本项目非正常排放源</w:t>
            </w:r>
            <w:r>
              <w:rPr>
                <w:b w:val="0"/>
                <w:bCs w:val="0"/>
                <w:color w:val="auto"/>
                <w:position w:val="-5"/>
                <w:u w:val="none" w:color="auto"/>
              </w:rPr>
              <w:drawing>
                <wp:inline distT="0" distB="0" distL="0" distR="0">
                  <wp:extent cx="106680" cy="102235"/>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136"/>
                          <a:stretch>
                            <a:fillRect/>
                          </a:stretch>
                        </pic:blipFill>
                        <pic:spPr>
                          <a:xfrm>
                            <a:off x="0" y="0"/>
                            <a:ext cx="107101" cy="102588"/>
                          </a:xfrm>
                          <a:prstGeom prst="rect">
                            <a:avLst/>
                          </a:prstGeom>
                        </pic:spPr>
                      </pic:pic>
                    </a:graphicData>
                  </a:graphic>
                </wp:inline>
              </w:drawing>
            </w:r>
          </w:p>
        </w:tc>
        <w:tc>
          <w:tcPr>
            <w:tcW w:w="2827" w:type="dxa"/>
            <w:gridSpan w:val="3"/>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137"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拟建项目</w:t>
            </w:r>
            <w:r>
              <w:rPr>
                <w:b w:val="0"/>
                <w:bCs w:val="0"/>
                <w:color w:val="auto"/>
                <w:spacing w:val="1"/>
                <w:u w:val="none" w:color="auto"/>
              </w:rPr>
              <w:t xml:space="preserve"> </w:t>
            </w:r>
            <w:r>
              <w:rPr>
                <w:b w:val="0"/>
                <w:bCs w:val="0"/>
                <w:color w:val="auto"/>
                <w:spacing w:val="7"/>
                <w:u w:val="none" w:color="auto"/>
              </w:rPr>
              <w:t>污染源</w:t>
            </w:r>
            <w:r>
              <w:rPr>
                <w:b w:val="0"/>
                <w:bCs w:val="0"/>
                <w:color w:val="auto"/>
                <w:u w:val="none" w:color="auto"/>
              </w:rPr>
              <w:drawing>
                <wp:inline distT="0" distB="0" distL="0" distR="0">
                  <wp:extent cx="118110" cy="102235"/>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137"/>
                          <a:stretch>
                            <a:fillRect/>
                          </a:stretch>
                        </pic:blipFill>
                        <pic:spPr>
                          <a:xfrm>
                            <a:off x="0" y="0"/>
                            <a:ext cx="118149" cy="102588"/>
                          </a:xfrm>
                          <a:prstGeom prst="rect">
                            <a:avLst/>
                          </a:prstGeom>
                        </pic:spPr>
                      </pic:pic>
                    </a:graphicData>
                  </a:graphic>
                </wp:inline>
              </w:drawing>
            </w:r>
          </w:p>
        </w:tc>
        <w:tc>
          <w:tcPr>
            <w:tcW w:w="1610" w:type="dxa"/>
            <w:gridSpan w:val="2"/>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8"/>
                <w:u w:val="none" w:color="auto"/>
              </w:rPr>
              <w:t>现有污染源</w:t>
            </w:r>
            <w:r>
              <w:rPr>
                <w:rFonts w:ascii="Times New Roman" w:hAnsi="Times New Roman" w:eastAsia="Times New Roman" w:cs="Times New Roman"/>
                <w:b w:val="0"/>
                <w:bCs w:val="0"/>
                <w:color w:val="auto"/>
                <w:spacing w:val="8"/>
                <w:u w:val="none" w:color="auto"/>
              </w:rPr>
              <w:t>□</w:t>
            </w:r>
          </w:p>
        </w:tc>
        <w:tc>
          <w:tcPr>
            <w:tcW w:w="2827" w:type="dxa"/>
            <w:gridSpan w:val="3"/>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1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610" w:type="dxa"/>
            <w:gridSpan w:val="2"/>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4"/>
                <w:u w:val="none" w:color="auto"/>
              </w:rPr>
              <w:t>大气</w:t>
            </w:r>
            <w:r>
              <w:rPr>
                <w:b w:val="0"/>
                <w:bCs w:val="0"/>
                <w:color w:val="auto"/>
                <w:u w:val="none" w:color="auto"/>
              </w:rPr>
              <w:t xml:space="preserve"> </w:t>
            </w:r>
            <w:r>
              <w:rPr>
                <w:b w:val="0"/>
                <w:bCs w:val="0"/>
                <w:color w:val="auto"/>
                <w:spacing w:val="6"/>
                <w:u w:val="none" w:color="auto"/>
              </w:rPr>
              <w:t>环境</w:t>
            </w:r>
            <w:r>
              <w:rPr>
                <w:b w:val="0"/>
                <w:bCs w:val="0"/>
                <w:color w:val="auto"/>
                <w:u w:val="none" w:color="auto"/>
              </w:rPr>
              <w:t xml:space="preserve"> </w:t>
            </w:r>
            <w:r>
              <w:rPr>
                <w:b w:val="0"/>
                <w:bCs w:val="0"/>
                <w:color w:val="auto"/>
                <w:spacing w:val="6"/>
                <w:u w:val="none" w:color="auto"/>
              </w:rPr>
              <w:t>影响</w:t>
            </w:r>
            <w:r>
              <w:rPr>
                <w:b w:val="0"/>
                <w:bCs w:val="0"/>
                <w:color w:val="auto"/>
                <w:u w:val="none" w:color="auto"/>
              </w:rPr>
              <w:t xml:space="preserve"> </w:t>
            </w:r>
            <w:r>
              <w:rPr>
                <w:b w:val="0"/>
                <w:bCs w:val="0"/>
                <w:color w:val="auto"/>
                <w:spacing w:val="6"/>
                <w:u w:val="none" w:color="auto"/>
              </w:rPr>
              <w:t>预测</w:t>
            </w:r>
            <w:r>
              <w:rPr>
                <w:b w:val="0"/>
                <w:bCs w:val="0"/>
                <w:color w:val="auto"/>
                <w:u w:val="none" w:color="auto"/>
              </w:rPr>
              <w:t xml:space="preserve"> </w:t>
            </w:r>
            <w:r>
              <w:rPr>
                <w:b w:val="0"/>
                <w:bCs w:val="0"/>
                <w:color w:val="auto"/>
                <w:spacing w:val="6"/>
                <w:u w:val="none" w:color="auto"/>
              </w:rPr>
              <w:t>与评</w:t>
            </w:r>
            <w:r>
              <w:rPr>
                <w:rFonts w:hint="eastAsia"/>
                <w:b w:val="0"/>
                <w:bCs w:val="0"/>
                <w:color w:val="auto"/>
                <w:spacing w:val="6"/>
                <w:u w:val="none" w:color="auto"/>
                <w:lang w:eastAsia="zh-CN"/>
              </w:rPr>
              <w:t>价</w:t>
            </w:r>
            <w:r>
              <w:rPr>
                <w:b w:val="0"/>
                <w:bCs w:val="0"/>
                <w:color w:val="auto"/>
                <w:u w:val="none" w:color="auto"/>
              </w:rPr>
              <w:t xml:space="preserve"> </w:t>
            </w: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预测模型</w:t>
            </w:r>
          </w:p>
        </w:tc>
        <w:tc>
          <w:tcPr>
            <w:tcW w:w="134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sz w:val="20"/>
                <w:szCs w:val="20"/>
                <w:u w:val="none" w:color="auto"/>
              </w:rPr>
            </w:pPr>
            <w:r>
              <w:rPr>
                <w:rFonts w:ascii="Times New Roman" w:hAnsi="Times New Roman" w:eastAsia="Times New Roman" w:cs="Times New Roman"/>
                <w:b w:val="0"/>
                <w:bCs w:val="0"/>
                <w:color w:val="auto"/>
                <w:spacing w:val="6"/>
                <w:sz w:val="20"/>
                <w:szCs w:val="20"/>
                <w:u w:val="none" w:color="auto"/>
              </w:rPr>
              <w:t>AERMOD</w:t>
            </w:r>
            <w:r>
              <w:rPr>
                <w:b w:val="0"/>
                <w:bCs w:val="0"/>
                <w:color w:val="auto"/>
                <w:position w:val="-3"/>
                <w:sz w:val="20"/>
                <w:szCs w:val="20"/>
                <w:u w:val="none" w:color="auto"/>
              </w:rPr>
              <w:drawing>
                <wp:inline distT="0" distB="0" distL="0" distR="0">
                  <wp:extent cx="108585" cy="118745"/>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138"/>
                          <a:stretch>
                            <a:fillRect/>
                          </a:stretch>
                        </pic:blipFill>
                        <pic:spPr>
                          <a:xfrm>
                            <a:off x="0" y="0"/>
                            <a:ext cx="108836" cy="118749"/>
                          </a:xfrm>
                          <a:prstGeom prst="rect">
                            <a:avLst/>
                          </a:prstGeom>
                        </pic:spPr>
                      </pic:pic>
                    </a:graphicData>
                  </a:graphic>
                </wp:inline>
              </w:drawing>
            </w:r>
          </w:p>
        </w:tc>
        <w:tc>
          <w:tcPr>
            <w:tcW w:w="1036"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pacing w:val="6"/>
                <w:sz w:val="20"/>
                <w:szCs w:val="20"/>
                <w:u w:val="none" w:color="auto"/>
              </w:rPr>
              <w:t>ADMS</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z w:val="20"/>
                <w:szCs w:val="20"/>
                <w:u w:val="none" w:color="auto"/>
              </w:rPr>
              <w:t>□</w:t>
            </w:r>
          </w:p>
        </w:tc>
        <w:tc>
          <w:tcPr>
            <w:tcW w:w="131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z w:val="20"/>
                <w:szCs w:val="20"/>
                <w:u w:val="none" w:color="auto"/>
              </w:rPr>
              <w:t>AUSTAL</w:t>
            </w:r>
            <w:r>
              <w:rPr>
                <w:rFonts w:ascii="Times New Roman" w:hAnsi="Times New Roman" w:eastAsia="Times New Roman" w:cs="Times New Roman"/>
                <w:b w:val="0"/>
                <w:bCs w:val="0"/>
                <w:color w:val="auto"/>
                <w:spacing w:val="14"/>
                <w:sz w:val="20"/>
                <w:szCs w:val="20"/>
                <w:u w:val="none" w:color="auto"/>
              </w:rPr>
              <w:t>2000</w:t>
            </w:r>
            <w:r>
              <w:rPr>
                <w:rFonts w:ascii="Times New Roman" w:hAnsi="Times New Roman" w:eastAsia="Times New Roman" w:cs="Times New Roman"/>
                <w:b w:val="0"/>
                <w:bCs w:val="0"/>
                <w:color w:val="auto"/>
                <w:sz w:val="20"/>
                <w:szCs w:val="20"/>
                <w:u w:val="none" w:color="auto"/>
              </w:rPr>
              <w:t>□</w:t>
            </w:r>
          </w:p>
        </w:tc>
        <w:tc>
          <w:tcPr>
            <w:tcW w:w="1510"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pacing w:val="5"/>
                <w:sz w:val="20"/>
                <w:szCs w:val="20"/>
                <w:u w:val="none" w:color="auto"/>
              </w:rPr>
              <w:t>EDMS/AEDT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z w:val="20"/>
                <w:szCs w:val="20"/>
                <w:u w:val="none" w:color="auto"/>
              </w:rPr>
              <w:t>□</w:t>
            </w:r>
          </w:p>
        </w:tc>
        <w:tc>
          <w:tcPr>
            <w:tcW w:w="113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pacing w:val="5"/>
                <w:sz w:val="20"/>
                <w:szCs w:val="20"/>
                <w:u w:val="none" w:color="auto"/>
              </w:rPr>
              <w:t>CALPUFF</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z w:val="20"/>
                <w:szCs w:val="20"/>
                <w:u w:val="none" w:color="auto"/>
              </w:rPr>
              <w:t>□</w:t>
            </w:r>
          </w:p>
        </w:tc>
        <w:tc>
          <w:tcPr>
            <w:tcW w:w="67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3"/>
                <w:u w:val="none" w:color="auto"/>
              </w:rPr>
              <w:t>网格</w:t>
            </w:r>
            <w:r>
              <w:rPr>
                <w:b w:val="0"/>
                <w:bCs w:val="0"/>
                <w:color w:val="auto"/>
                <w:u w:val="none" w:color="auto"/>
              </w:rPr>
              <w:t xml:space="preserve"> </w:t>
            </w:r>
            <w:r>
              <w:rPr>
                <w:b w:val="0"/>
                <w:bCs w:val="0"/>
                <w:color w:val="auto"/>
                <w:spacing w:val="6"/>
                <w:u w:val="none" w:color="auto"/>
              </w:rPr>
              <w:t>模型</w:t>
            </w:r>
            <w:r>
              <w:rPr>
                <w:rFonts w:ascii="Times New Roman" w:hAnsi="Times New Roman" w:eastAsia="Times New Roman" w:cs="Times New Roman"/>
                <w:b w:val="0"/>
                <w:bCs w:val="0"/>
                <w:color w:val="auto"/>
                <w:spacing w:val="6"/>
                <w:u w:val="none" w:color="auto"/>
              </w:rPr>
              <w:t>□</w:t>
            </w:r>
          </w:p>
        </w:tc>
        <w:tc>
          <w:tcPr>
            <w:tcW w:w="94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5"/>
                <w:u w:val="none" w:color="auto"/>
              </w:rPr>
              <w:t>其他</w:t>
            </w:r>
            <w:r>
              <w:rPr>
                <w:b w:val="0"/>
                <w:bCs w:val="0"/>
                <w:color w:val="auto"/>
                <w:u w:val="none" w:color="auto"/>
              </w:rPr>
              <w:t xml:space="preserve">  </w:t>
            </w:r>
            <w:r>
              <w:rPr>
                <w:rFonts w:ascii="Times New Roman" w:hAnsi="Times New Roman" w:eastAsia="Times New Roman" w:cs="Times New Roman"/>
                <w:b w:val="0"/>
                <w:bCs w:val="0"/>
                <w:color w:val="auto"/>
                <w:spacing w:val="11"/>
                <w:u w:val="none" w:color="auto"/>
              </w:rPr>
              <w:t>AERSC</w:t>
            </w:r>
            <w:r>
              <w:rPr>
                <w:rFonts w:ascii="Times New Roman" w:hAnsi="Times New Roman" w:eastAsia="Times New Roman" w:cs="Times New Roman"/>
                <w:b w:val="0"/>
                <w:bCs w:val="0"/>
                <w:color w:val="auto"/>
                <w:u w:val="none" w:color="auto"/>
              </w:rPr>
              <w:t xml:space="preserve"> </w:t>
            </w:r>
            <w:r>
              <w:rPr>
                <w:rFonts w:ascii="Times New Roman" w:hAnsi="Times New Roman" w:eastAsia="Times New Roman" w:cs="Times New Roman"/>
                <w:b w:val="0"/>
                <w:bCs w:val="0"/>
                <w:color w:val="auto"/>
                <w:spacing w:val="5"/>
                <w:u w:val="none" w:color="auto"/>
              </w:rPr>
              <w:t>REEN</w:t>
            </w:r>
            <w:r>
              <w:rPr>
                <w:b w:val="0"/>
                <w:bCs w:val="0"/>
                <w:color w:val="auto"/>
                <w:position w:val="-4"/>
                <w:u w:val="none" w:color="auto"/>
              </w:rPr>
              <w:drawing>
                <wp:inline distT="0" distB="0" distL="0" distR="0">
                  <wp:extent cx="116205" cy="13970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139"/>
                          <a:stretch>
                            <a:fillRect/>
                          </a:stretch>
                        </pic:blipFill>
                        <pic:spPr>
                          <a:xfrm>
                            <a:off x="0" y="0"/>
                            <a:ext cx="116259" cy="13974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预测范围</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8"/>
                <w:u w:val="none" w:color="auto"/>
              </w:rPr>
              <w:t>边长</w:t>
            </w:r>
            <w:r>
              <w:rPr>
                <w:rFonts w:ascii="Times New Roman" w:hAnsi="Times New Roman" w:eastAsia="Times New Roman" w:cs="Times New Roman"/>
                <w:b w:val="0"/>
                <w:bCs w:val="0"/>
                <w:color w:val="auto"/>
                <w:spacing w:val="8"/>
                <w:u w:val="none" w:color="auto"/>
              </w:rPr>
              <w:t>≥50</w:t>
            </w:r>
            <w:r>
              <w:rPr>
                <w:rFonts w:ascii="Times New Roman" w:hAnsi="Times New Roman" w:eastAsia="Times New Roman" w:cs="Times New Roman"/>
                <w:b w:val="0"/>
                <w:bCs w:val="0"/>
                <w:color w:val="auto"/>
                <w:u w:val="none" w:color="auto"/>
              </w:rPr>
              <w:t>km</w:t>
            </w:r>
            <w:r>
              <w:rPr>
                <w:rFonts w:ascii="Times New Roman" w:hAnsi="Times New Roman" w:eastAsia="Times New Roman" w:cs="Times New Roman"/>
                <w:b w:val="0"/>
                <w:bCs w:val="0"/>
                <w:color w:val="auto"/>
                <w:spacing w:val="8"/>
                <w:u w:val="none" w:color="auto"/>
              </w:rPr>
              <w:t>□</w:t>
            </w: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6"/>
                <w:u w:val="none" w:color="auto"/>
              </w:rPr>
              <w:t>边长</w:t>
            </w:r>
            <w:r>
              <w:rPr>
                <w:b w:val="0"/>
                <w:bCs w:val="0"/>
                <w:color w:val="auto"/>
                <w:spacing w:val="-37"/>
                <w:u w:val="none" w:color="auto"/>
              </w:rPr>
              <w:t xml:space="preserve"> </w:t>
            </w:r>
            <w:r>
              <w:rPr>
                <w:rFonts w:ascii="Times New Roman" w:hAnsi="Times New Roman" w:eastAsia="Times New Roman" w:cs="Times New Roman"/>
                <w:b w:val="0"/>
                <w:bCs w:val="0"/>
                <w:color w:val="auto"/>
                <w:spacing w:val="6"/>
                <w:u w:val="none" w:color="auto"/>
              </w:rPr>
              <w:t>5~50</w:t>
            </w:r>
            <w:r>
              <w:rPr>
                <w:rFonts w:ascii="Times New Roman" w:hAnsi="Times New Roman" w:eastAsia="Times New Roman" w:cs="Times New Roman"/>
                <w:b w:val="0"/>
                <w:bCs w:val="0"/>
                <w:color w:val="auto"/>
                <w:u w:val="none" w:color="auto"/>
              </w:rPr>
              <w:t>km</w:t>
            </w:r>
            <w:r>
              <w:rPr>
                <w:rFonts w:ascii="Times New Roman" w:hAnsi="Times New Roman" w:eastAsia="Times New Roman" w:cs="Times New Roman"/>
                <w:b w:val="0"/>
                <w:bCs w:val="0"/>
                <w:color w:val="auto"/>
                <w:spacing w:val="6"/>
                <w:u w:val="none" w:color="auto"/>
              </w:rPr>
              <w:t>□</w:t>
            </w:r>
          </w:p>
        </w:tc>
        <w:tc>
          <w:tcPr>
            <w:tcW w:w="1610"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边长</w:t>
            </w:r>
            <w:r>
              <w:rPr>
                <w:rFonts w:ascii="Times New Roman" w:hAnsi="Times New Roman" w:eastAsia="Times New Roman" w:cs="Times New Roman"/>
                <w:b w:val="0"/>
                <w:bCs w:val="0"/>
                <w:color w:val="auto"/>
                <w:spacing w:val="8"/>
                <w:u w:val="none" w:color="auto"/>
              </w:rPr>
              <w:t>=5</w:t>
            </w:r>
            <w:r>
              <w:rPr>
                <w:rFonts w:ascii="Times New Roman" w:hAnsi="Times New Roman" w:eastAsia="Times New Roman" w:cs="Times New Roman"/>
                <w:b w:val="0"/>
                <w:bCs w:val="0"/>
                <w:color w:val="auto"/>
                <w:u w:val="none" w:color="auto"/>
              </w:rPr>
              <w:t>km</w:t>
            </w:r>
            <w:r>
              <w:rPr>
                <w:b w:val="0"/>
                <w:bCs w:val="0"/>
                <w:color w:val="auto"/>
                <w:position w:val="-4"/>
                <w:u w:val="none" w:color="auto"/>
              </w:rPr>
              <w:drawing>
                <wp:inline distT="0" distB="0" distL="0" distR="0">
                  <wp:extent cx="116205" cy="13970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140"/>
                          <a:stretch>
                            <a:fillRect/>
                          </a:stretch>
                        </pic:blipFill>
                        <pic:spPr>
                          <a:xfrm>
                            <a:off x="0" y="0"/>
                            <a:ext cx="116756" cy="139749"/>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预测因子</w:t>
            </w:r>
          </w:p>
        </w:tc>
        <w:tc>
          <w:tcPr>
            <w:tcW w:w="5208" w:type="dxa"/>
            <w:gridSpan w:val="6"/>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5"/>
                <w:u w:val="none" w:color="auto"/>
              </w:rPr>
              <w:t>预测因子（</w:t>
            </w:r>
            <w:r>
              <w:rPr>
                <w:rFonts w:ascii="Times New Roman" w:hAnsi="Times New Roman" w:eastAsia="Times New Roman" w:cs="Times New Roman"/>
                <w:b w:val="0"/>
                <w:bCs w:val="0"/>
                <w:color w:val="auto"/>
                <w:spacing w:val="5"/>
                <w:u w:val="none" w:color="auto"/>
              </w:rPr>
              <w:t>H</w:t>
            </w:r>
            <w:r>
              <w:rPr>
                <w:rFonts w:ascii="Times New Roman" w:hAnsi="Times New Roman" w:eastAsia="Times New Roman" w:cs="Times New Roman"/>
                <w:b w:val="0"/>
                <w:bCs w:val="0"/>
                <w:color w:val="auto"/>
                <w:spacing w:val="5"/>
                <w:position w:val="-1"/>
                <w:sz w:val="13"/>
                <w:szCs w:val="13"/>
                <w:u w:val="none" w:color="auto"/>
              </w:rPr>
              <w:t>2</w:t>
            </w:r>
            <w:r>
              <w:rPr>
                <w:rFonts w:ascii="Times New Roman" w:hAnsi="Times New Roman" w:eastAsia="Times New Roman" w:cs="Times New Roman"/>
                <w:b w:val="0"/>
                <w:bCs w:val="0"/>
                <w:color w:val="auto"/>
                <w:spacing w:val="5"/>
                <w:u w:val="none" w:color="auto"/>
              </w:rPr>
              <w:t>S</w:t>
            </w:r>
            <w:r>
              <w:rPr>
                <w:rFonts w:ascii="Times New Roman" w:hAnsi="Times New Roman" w:eastAsia="Times New Roman" w:cs="Times New Roman"/>
                <w:b w:val="0"/>
                <w:bCs w:val="0"/>
                <w:color w:val="auto"/>
                <w:spacing w:val="-24"/>
                <w:u w:val="none" w:color="auto"/>
              </w:rPr>
              <w:t xml:space="preserve"> </w:t>
            </w:r>
            <w:r>
              <w:rPr>
                <w:b w:val="0"/>
                <w:bCs w:val="0"/>
                <w:color w:val="auto"/>
                <w:spacing w:val="5"/>
                <w:u w:val="none" w:color="auto"/>
              </w:rPr>
              <w:t>、</w:t>
            </w:r>
            <w:r>
              <w:rPr>
                <w:rFonts w:ascii="Times New Roman" w:hAnsi="Times New Roman" w:eastAsia="Times New Roman" w:cs="Times New Roman"/>
                <w:b w:val="0"/>
                <w:bCs w:val="0"/>
                <w:color w:val="auto"/>
                <w:u w:val="none" w:color="auto"/>
              </w:rPr>
              <w:t>NH</w:t>
            </w:r>
            <w:r>
              <w:rPr>
                <w:rFonts w:ascii="Times New Roman" w:hAnsi="Times New Roman" w:eastAsia="Times New Roman" w:cs="Times New Roman"/>
                <w:b w:val="0"/>
                <w:bCs w:val="0"/>
                <w:color w:val="auto"/>
                <w:spacing w:val="5"/>
                <w:position w:val="-1"/>
                <w:sz w:val="13"/>
                <w:szCs w:val="13"/>
                <w:u w:val="none" w:color="auto"/>
              </w:rPr>
              <w:t xml:space="preserve">3 </w:t>
            </w:r>
            <w:r>
              <w:rPr>
                <w:b w:val="0"/>
                <w:bCs w:val="0"/>
                <w:color w:val="auto"/>
                <w:spacing w:val="5"/>
                <w:u w:val="none" w:color="auto"/>
              </w:rPr>
              <w:t>）</w:t>
            </w:r>
          </w:p>
        </w:tc>
        <w:tc>
          <w:tcPr>
            <w:tcW w:w="2747"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8"/>
                <w:u w:val="none" w:color="auto"/>
              </w:rPr>
              <w:t>包括二次</w:t>
            </w:r>
            <w:r>
              <w:rPr>
                <w:rFonts w:ascii="Times New Roman" w:hAnsi="Times New Roman" w:eastAsia="Times New Roman" w:cs="Times New Roman"/>
                <w:b w:val="0"/>
                <w:bCs w:val="0"/>
                <w:color w:val="auto"/>
                <w:u w:val="none" w:color="auto"/>
              </w:rPr>
              <w:t>PM</w:t>
            </w:r>
            <w:r>
              <w:rPr>
                <w:rFonts w:ascii="Times New Roman" w:hAnsi="Times New Roman" w:eastAsia="Times New Roman" w:cs="Times New Roman"/>
                <w:b w:val="0"/>
                <w:bCs w:val="0"/>
                <w:color w:val="auto"/>
                <w:spacing w:val="8"/>
                <w:u w:val="none" w:color="auto"/>
                <w:vertAlign w:val="subscript"/>
              </w:rPr>
              <w:t>2.5</w:t>
            </w:r>
            <w:r>
              <w:rPr>
                <w:rFonts w:ascii="Times New Roman" w:hAnsi="Times New Roman" w:eastAsia="Times New Roman" w:cs="Times New Roman"/>
                <w:b w:val="0"/>
                <w:bCs w:val="0"/>
                <w:color w:val="auto"/>
                <w:spacing w:val="8"/>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5208" w:type="dxa"/>
            <w:gridSpan w:val="6"/>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2747"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7"/>
                <w:u w:val="none" w:color="auto"/>
              </w:rPr>
              <w:t>不包括二次</w:t>
            </w:r>
            <w:r>
              <w:rPr>
                <w:rFonts w:ascii="Times New Roman" w:hAnsi="Times New Roman" w:eastAsia="Times New Roman" w:cs="Times New Roman"/>
                <w:b w:val="0"/>
                <w:bCs w:val="0"/>
                <w:color w:val="auto"/>
                <w:u w:val="none" w:color="auto"/>
              </w:rPr>
              <w:t>PM</w:t>
            </w:r>
            <w:r>
              <w:rPr>
                <w:rFonts w:ascii="Times New Roman" w:hAnsi="Times New Roman" w:eastAsia="Times New Roman" w:cs="Times New Roman"/>
                <w:b w:val="0"/>
                <w:bCs w:val="0"/>
                <w:color w:val="auto"/>
                <w:spacing w:val="7"/>
                <w:u w:val="none" w:color="auto"/>
                <w:vertAlign w:val="subscript"/>
              </w:rPr>
              <w:t>2.5</w:t>
            </w:r>
            <w:r>
              <w:rPr>
                <w:rFonts w:ascii="Times New Roman" w:hAnsi="Times New Roman" w:eastAsia="Times New Roman" w:cs="Times New Roman"/>
                <w:b w:val="0"/>
                <w:bCs w:val="0"/>
                <w:color w:val="auto"/>
                <w:spacing w:val="-32"/>
                <w:u w:val="none" w:color="auto"/>
              </w:rPr>
              <w:t xml:space="preserve"> </w:t>
            </w:r>
            <w:r>
              <w:rPr>
                <w:b w:val="0"/>
                <w:bCs w:val="0"/>
                <w:color w:val="auto"/>
                <w:position w:val="-4"/>
                <w:u w:val="none" w:color="auto"/>
              </w:rPr>
              <w:drawing>
                <wp:inline distT="0" distB="0" distL="0" distR="0">
                  <wp:extent cx="102870" cy="139700"/>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141"/>
                          <a:stretch>
                            <a:fillRect/>
                          </a:stretch>
                        </pic:blipFill>
                        <pic:spPr>
                          <a:xfrm>
                            <a:off x="0" y="0"/>
                            <a:ext cx="103384" cy="139749"/>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7"/>
                <w:u w:val="none" w:color="auto"/>
              </w:rPr>
              <w:t>正常排放短</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期浓度贡献</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u w:val="none" w:color="auto"/>
              </w:rPr>
              <w:t>值</w:t>
            </w:r>
          </w:p>
        </w:tc>
        <w:tc>
          <w:tcPr>
            <w:tcW w:w="520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rFonts w:ascii="Times New Roman" w:hAnsi="Times New Roman" w:eastAsia="Times New Roman" w:cs="Times New Roman"/>
                <w:b w:val="0"/>
                <w:bCs w:val="0"/>
                <w:i/>
                <w:iCs/>
                <w:color w:val="auto"/>
                <w:spacing w:val="7"/>
                <w:u w:val="none" w:color="auto"/>
              </w:rPr>
              <w:t>C</w:t>
            </w:r>
            <w:r>
              <w:rPr>
                <w:b w:val="0"/>
                <w:bCs w:val="0"/>
                <w:color w:val="auto"/>
                <w:spacing w:val="7"/>
                <w:u w:val="none" w:color="auto"/>
                <w:vertAlign w:val="subscript"/>
              </w:rPr>
              <w:t>本项目</w:t>
            </w:r>
            <w:r>
              <w:rPr>
                <w:b w:val="0"/>
                <w:bCs w:val="0"/>
                <w:color w:val="auto"/>
                <w:spacing w:val="7"/>
                <w:u w:val="none" w:color="auto"/>
              </w:rPr>
              <w:t>最大占标率</w:t>
            </w:r>
            <w:r>
              <w:rPr>
                <w:rFonts w:ascii="Times New Roman" w:hAnsi="Times New Roman" w:eastAsia="Times New Roman" w:cs="Times New Roman"/>
                <w:b w:val="0"/>
                <w:bCs w:val="0"/>
                <w:color w:val="auto"/>
                <w:spacing w:val="7"/>
                <w:u w:val="none" w:color="auto"/>
              </w:rPr>
              <w:t>≤100%</w:t>
            </w:r>
            <w:r>
              <w:rPr>
                <w:b w:val="0"/>
                <w:bCs w:val="0"/>
                <w:color w:val="auto"/>
                <w:position w:val="-4"/>
                <w:u w:val="none" w:color="auto"/>
              </w:rPr>
              <w:drawing>
                <wp:inline distT="0" distB="0" distL="0" distR="0">
                  <wp:extent cx="114300" cy="13970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142"/>
                          <a:stretch>
                            <a:fillRect/>
                          </a:stretch>
                        </pic:blipFill>
                        <pic:spPr>
                          <a:xfrm>
                            <a:off x="0" y="0"/>
                            <a:ext cx="114420" cy="139749"/>
                          </a:xfrm>
                          <a:prstGeom prst="rect">
                            <a:avLst/>
                          </a:prstGeom>
                        </pic:spPr>
                      </pic:pic>
                    </a:graphicData>
                  </a:graphic>
                </wp:inline>
              </w:drawing>
            </w:r>
          </w:p>
        </w:tc>
        <w:tc>
          <w:tcPr>
            <w:tcW w:w="2747"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rFonts w:ascii="Times New Roman" w:hAnsi="Times New Roman" w:eastAsia="Times New Roman" w:cs="Times New Roman"/>
                <w:b w:val="0"/>
                <w:bCs w:val="0"/>
                <w:i/>
                <w:iCs/>
                <w:color w:val="auto"/>
                <w:spacing w:val="8"/>
                <w:u w:val="none" w:color="auto"/>
              </w:rPr>
              <w:t>C</w:t>
            </w:r>
            <w:r>
              <w:rPr>
                <w:b w:val="0"/>
                <w:bCs w:val="0"/>
                <w:color w:val="auto"/>
                <w:spacing w:val="8"/>
                <w:u w:val="none" w:color="auto"/>
                <w:vertAlign w:val="subscript"/>
              </w:rPr>
              <w:t>本项目</w:t>
            </w:r>
            <w:r>
              <w:rPr>
                <w:b w:val="0"/>
                <w:bCs w:val="0"/>
                <w:color w:val="auto"/>
                <w:spacing w:val="8"/>
                <w:u w:val="none" w:color="auto"/>
              </w:rPr>
              <w:t>最大占标</w:t>
            </w:r>
            <w:r>
              <w:rPr>
                <w:b w:val="0"/>
                <w:bCs w:val="0"/>
                <w:color w:val="auto"/>
                <w:spacing w:val="5"/>
                <w:u w:val="none" w:color="auto"/>
              </w:rPr>
              <w:t>率</w:t>
            </w:r>
            <w:r>
              <w:rPr>
                <w:rFonts w:ascii="Times New Roman" w:hAnsi="Times New Roman" w:eastAsia="Times New Roman" w:cs="Times New Roman"/>
                <w:b w:val="0"/>
                <w:bCs w:val="0"/>
                <w:color w:val="auto"/>
                <w:spacing w:val="5"/>
                <w:u w:val="none" w:color="auto"/>
              </w:rPr>
              <w:t>&gt;100%□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7"/>
                <w:u w:val="none" w:color="auto"/>
              </w:rPr>
              <w:t>正常排放年</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均浓度贡献</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u w:val="none" w:color="auto"/>
              </w:rPr>
              <w:t>值</w:t>
            </w:r>
          </w:p>
        </w:tc>
        <w:tc>
          <w:tcPr>
            <w:tcW w:w="1639"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一类区</w:t>
            </w:r>
          </w:p>
        </w:tc>
        <w:tc>
          <w:tcPr>
            <w:tcW w:w="3569"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rFonts w:ascii="Times New Roman" w:hAnsi="Times New Roman" w:eastAsia="Times New Roman" w:cs="Times New Roman"/>
                <w:b w:val="0"/>
                <w:bCs w:val="0"/>
                <w:i/>
                <w:iCs/>
                <w:color w:val="auto"/>
                <w:spacing w:val="7"/>
                <w:u w:val="none" w:color="auto"/>
              </w:rPr>
              <w:t>C</w:t>
            </w:r>
            <w:r>
              <w:rPr>
                <w:b w:val="0"/>
                <w:bCs w:val="0"/>
                <w:color w:val="auto"/>
                <w:spacing w:val="7"/>
                <w:u w:val="none" w:color="auto"/>
                <w:vertAlign w:val="subscript"/>
              </w:rPr>
              <w:t>本项目</w:t>
            </w:r>
            <w:r>
              <w:rPr>
                <w:b w:val="0"/>
                <w:bCs w:val="0"/>
                <w:color w:val="auto"/>
                <w:spacing w:val="7"/>
                <w:u w:val="none" w:color="auto"/>
              </w:rPr>
              <w:t>最大占标率</w:t>
            </w:r>
            <w:r>
              <w:rPr>
                <w:rFonts w:ascii="Times New Roman" w:hAnsi="Times New Roman" w:eastAsia="Times New Roman" w:cs="Times New Roman"/>
                <w:b w:val="0"/>
                <w:bCs w:val="0"/>
                <w:color w:val="auto"/>
                <w:spacing w:val="7"/>
                <w:u w:val="none" w:color="auto"/>
              </w:rPr>
              <w:t>≤10%□</w:t>
            </w:r>
          </w:p>
        </w:tc>
        <w:tc>
          <w:tcPr>
            <w:tcW w:w="2747"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rFonts w:ascii="Times New Roman" w:hAnsi="Times New Roman" w:eastAsia="Times New Roman" w:cs="Times New Roman"/>
                <w:b w:val="0"/>
                <w:bCs w:val="0"/>
                <w:i/>
                <w:iCs/>
                <w:color w:val="auto"/>
                <w:spacing w:val="8"/>
                <w:u w:val="none" w:color="auto"/>
              </w:rPr>
              <w:t>C</w:t>
            </w:r>
            <w:r>
              <w:rPr>
                <w:b w:val="0"/>
                <w:bCs w:val="0"/>
                <w:color w:val="auto"/>
                <w:spacing w:val="8"/>
                <w:u w:val="none" w:color="auto"/>
                <w:vertAlign w:val="subscript"/>
              </w:rPr>
              <w:t>本项目</w:t>
            </w:r>
            <w:r>
              <w:rPr>
                <w:b w:val="0"/>
                <w:bCs w:val="0"/>
                <w:color w:val="auto"/>
                <w:spacing w:val="8"/>
                <w:u w:val="none" w:color="auto"/>
              </w:rPr>
              <w:t>最大占标</w:t>
            </w:r>
            <w:r>
              <w:rPr>
                <w:b w:val="0"/>
                <w:bCs w:val="0"/>
                <w:color w:val="auto"/>
                <w:spacing w:val="5"/>
                <w:u w:val="none" w:color="auto"/>
              </w:rPr>
              <w:t>率</w:t>
            </w:r>
            <w:r>
              <w:rPr>
                <w:rFonts w:ascii="Times New Roman" w:hAnsi="Times New Roman" w:eastAsia="Times New Roman" w:cs="Times New Roman"/>
                <w:b w:val="0"/>
                <w:bCs w:val="0"/>
                <w:color w:val="auto"/>
                <w:spacing w:val="5"/>
                <w:u w:val="none" w:color="auto"/>
              </w:rPr>
              <w:t>&gt;10%□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639"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二类区</w:t>
            </w:r>
          </w:p>
        </w:tc>
        <w:tc>
          <w:tcPr>
            <w:tcW w:w="3569"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rFonts w:ascii="Times New Roman" w:hAnsi="Times New Roman" w:eastAsia="Times New Roman" w:cs="Times New Roman"/>
                <w:b w:val="0"/>
                <w:bCs w:val="0"/>
                <w:i/>
                <w:iCs/>
                <w:color w:val="auto"/>
                <w:spacing w:val="7"/>
                <w:u w:val="none" w:color="auto"/>
              </w:rPr>
              <w:t>C</w:t>
            </w:r>
            <w:r>
              <w:rPr>
                <w:b w:val="0"/>
                <w:bCs w:val="0"/>
                <w:color w:val="auto"/>
                <w:spacing w:val="7"/>
                <w:u w:val="none" w:color="auto"/>
                <w:vertAlign w:val="subscript"/>
              </w:rPr>
              <w:t>本项目</w:t>
            </w:r>
            <w:r>
              <w:rPr>
                <w:b w:val="0"/>
                <w:bCs w:val="0"/>
                <w:color w:val="auto"/>
                <w:spacing w:val="7"/>
                <w:u w:val="none" w:color="auto"/>
              </w:rPr>
              <w:t>最大占标率</w:t>
            </w:r>
            <w:r>
              <w:rPr>
                <w:rFonts w:ascii="Times New Roman" w:hAnsi="Times New Roman" w:eastAsia="Times New Roman" w:cs="Times New Roman"/>
                <w:b w:val="0"/>
                <w:bCs w:val="0"/>
                <w:color w:val="auto"/>
                <w:spacing w:val="7"/>
                <w:u w:val="none" w:color="auto"/>
              </w:rPr>
              <w:t>≤30%</w:t>
            </w:r>
            <w:r>
              <w:rPr>
                <w:b w:val="0"/>
                <w:bCs w:val="0"/>
                <w:color w:val="auto"/>
                <w:position w:val="-4"/>
                <w:u w:val="none" w:color="auto"/>
              </w:rPr>
              <w:drawing>
                <wp:inline distT="0" distB="0" distL="0" distR="0">
                  <wp:extent cx="114300" cy="13970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143"/>
                          <a:stretch>
                            <a:fillRect/>
                          </a:stretch>
                        </pic:blipFill>
                        <pic:spPr>
                          <a:xfrm>
                            <a:off x="0" y="0"/>
                            <a:ext cx="114413" cy="139748"/>
                          </a:xfrm>
                          <a:prstGeom prst="rect">
                            <a:avLst/>
                          </a:prstGeom>
                        </pic:spPr>
                      </pic:pic>
                    </a:graphicData>
                  </a:graphic>
                </wp:inline>
              </w:drawing>
            </w:r>
          </w:p>
        </w:tc>
        <w:tc>
          <w:tcPr>
            <w:tcW w:w="2747"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rFonts w:ascii="Times New Roman" w:hAnsi="Times New Roman" w:eastAsia="Times New Roman" w:cs="Times New Roman"/>
                <w:b w:val="0"/>
                <w:bCs w:val="0"/>
                <w:i/>
                <w:iCs/>
                <w:color w:val="auto"/>
                <w:spacing w:val="8"/>
                <w:u w:val="none" w:color="auto"/>
              </w:rPr>
              <w:t>C</w:t>
            </w:r>
            <w:r>
              <w:rPr>
                <w:b w:val="0"/>
                <w:bCs w:val="0"/>
                <w:color w:val="auto"/>
                <w:spacing w:val="8"/>
                <w:u w:val="none" w:color="auto"/>
                <w:vertAlign w:val="subscript"/>
              </w:rPr>
              <w:t>本项目</w:t>
            </w:r>
            <w:r>
              <w:rPr>
                <w:b w:val="0"/>
                <w:bCs w:val="0"/>
                <w:color w:val="auto"/>
                <w:spacing w:val="8"/>
                <w:u w:val="none" w:color="auto"/>
              </w:rPr>
              <w:t>最大占标</w:t>
            </w:r>
            <w:r>
              <w:rPr>
                <w:b w:val="0"/>
                <w:bCs w:val="0"/>
                <w:color w:val="auto"/>
                <w:spacing w:val="5"/>
                <w:u w:val="none" w:color="auto"/>
              </w:rPr>
              <w:t>率</w:t>
            </w:r>
            <w:r>
              <w:rPr>
                <w:rFonts w:ascii="Times New Roman" w:hAnsi="Times New Roman" w:eastAsia="Times New Roman" w:cs="Times New Roman"/>
                <w:b w:val="0"/>
                <w:bCs w:val="0"/>
                <w:color w:val="auto"/>
                <w:spacing w:val="5"/>
                <w:u w:val="none" w:color="auto"/>
              </w:rPr>
              <w:t>&gt;30%□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898"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3"/>
                <w:u w:val="none" w:color="auto"/>
              </w:rPr>
              <w:t>非正常</w:t>
            </w:r>
            <w:r>
              <w:rPr>
                <w:rFonts w:ascii="Times New Roman" w:hAnsi="Times New Roman" w:eastAsia="Times New Roman" w:cs="Times New Roman"/>
                <w:b w:val="0"/>
                <w:bCs w:val="0"/>
                <w:color w:val="auto"/>
                <w:spacing w:val="3"/>
                <w:u w:val="none" w:color="auto"/>
              </w:rPr>
              <w:t>1h</w:t>
            </w:r>
            <w:r>
              <w:rPr>
                <w:b w:val="0"/>
                <w:bCs w:val="0"/>
                <w:color w:val="auto"/>
                <w:spacing w:val="8"/>
                <w:u w:val="none" w:color="auto"/>
              </w:rPr>
              <w:t>浓度贡献值</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spacing w:val="8"/>
                <w:u w:val="none" w:color="auto"/>
              </w:rPr>
            </w:pPr>
            <w:r>
              <w:rPr>
                <w:b w:val="0"/>
                <w:bCs w:val="0"/>
                <w:color w:val="auto"/>
                <w:spacing w:val="8"/>
                <w:u w:val="none" w:color="auto"/>
              </w:rPr>
              <w:t>非正常持续时长</w:t>
            </w:r>
          </w:p>
          <w:p>
            <w:pPr>
              <w:pStyle w:val="25"/>
              <w:keepNext w:val="0"/>
              <w:keepLines w:val="0"/>
              <w:pageBreakBefore w:val="0"/>
              <w:widowControl/>
              <w:tabs>
                <w:tab w:val="left" w:pos="760"/>
              </w:tabs>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22"/>
                <w:u w:val="none" w:color="auto"/>
              </w:rPr>
              <w:t>（</w:t>
            </w:r>
            <w:r>
              <w:rPr>
                <w:rFonts w:ascii="Times New Roman" w:hAnsi="Times New Roman" w:eastAsia="Times New Roman" w:cs="Times New Roman"/>
                <w:b w:val="0"/>
                <w:bCs w:val="0"/>
                <w:color w:val="auto"/>
                <w:spacing w:val="-22"/>
                <w:u w:val="none" w:color="auto"/>
              </w:rPr>
              <w:t>1</w:t>
            </w:r>
            <w:r>
              <w:rPr>
                <w:b w:val="0"/>
                <w:bCs w:val="0"/>
                <w:color w:val="auto"/>
                <w:spacing w:val="-22"/>
                <w:u w:val="none" w:color="auto"/>
              </w:rPr>
              <w:t>）</w:t>
            </w:r>
            <w:r>
              <w:rPr>
                <w:rFonts w:ascii="Times New Roman" w:hAnsi="Times New Roman" w:eastAsia="Times New Roman" w:cs="Times New Roman"/>
                <w:b w:val="0"/>
                <w:bCs w:val="0"/>
                <w:color w:val="auto"/>
                <w:spacing w:val="-22"/>
                <w:u w:val="none" w:color="auto"/>
              </w:rPr>
              <w:t>h</w:t>
            </w: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rFonts w:ascii="Times New Roman" w:hAnsi="Times New Roman" w:eastAsia="Times New Roman" w:cs="Times New Roman"/>
                <w:b w:val="0"/>
                <w:bCs w:val="0"/>
                <w:i/>
                <w:iCs/>
                <w:color w:val="auto"/>
                <w:spacing w:val="7"/>
                <w:u w:val="none" w:color="auto"/>
              </w:rPr>
              <w:t>C</w:t>
            </w:r>
            <w:r>
              <w:rPr>
                <w:b w:val="0"/>
                <w:bCs w:val="0"/>
                <w:color w:val="auto"/>
                <w:spacing w:val="7"/>
                <w:u w:val="none" w:color="auto"/>
                <w:vertAlign w:val="subscript"/>
              </w:rPr>
              <w:t>非正常</w:t>
            </w:r>
            <w:r>
              <w:rPr>
                <w:b w:val="0"/>
                <w:bCs w:val="0"/>
                <w:color w:val="auto"/>
                <w:spacing w:val="7"/>
                <w:u w:val="none" w:color="auto"/>
              </w:rPr>
              <w:t>占标率</w:t>
            </w:r>
            <w:r>
              <w:rPr>
                <w:rFonts w:ascii="Times New Roman" w:hAnsi="Times New Roman" w:eastAsia="Times New Roman" w:cs="Times New Roman"/>
                <w:b w:val="0"/>
                <w:bCs w:val="0"/>
                <w:color w:val="auto"/>
                <w:spacing w:val="7"/>
                <w:u w:val="none" w:color="auto"/>
              </w:rPr>
              <w:t>≤100%</w:t>
            </w:r>
            <w:r>
              <w:rPr>
                <w:b w:val="0"/>
                <w:bCs w:val="0"/>
                <w:color w:val="auto"/>
                <w:position w:val="-4"/>
                <w:u w:val="none" w:color="auto"/>
              </w:rPr>
              <w:drawing>
                <wp:inline distT="0" distB="0" distL="0" distR="0">
                  <wp:extent cx="114300" cy="139700"/>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144"/>
                          <a:stretch>
                            <a:fillRect/>
                          </a:stretch>
                        </pic:blipFill>
                        <pic:spPr>
                          <a:xfrm>
                            <a:off x="0" y="0"/>
                            <a:ext cx="114404" cy="139748"/>
                          </a:xfrm>
                          <a:prstGeom prst="rect">
                            <a:avLst/>
                          </a:prstGeom>
                        </pic:spPr>
                      </pic:pic>
                    </a:graphicData>
                  </a:graphic>
                </wp:inline>
              </w:drawing>
            </w:r>
          </w:p>
        </w:tc>
        <w:tc>
          <w:tcPr>
            <w:tcW w:w="1610"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pacing w:val="6"/>
                <w:u w:val="none" w:color="auto"/>
              </w:rPr>
            </w:pPr>
            <w:r>
              <w:rPr>
                <w:rFonts w:ascii="Times New Roman" w:hAnsi="Times New Roman" w:eastAsia="Times New Roman" w:cs="Times New Roman"/>
                <w:b w:val="0"/>
                <w:bCs w:val="0"/>
                <w:i/>
                <w:iCs/>
                <w:color w:val="auto"/>
                <w:spacing w:val="6"/>
                <w:u w:val="none" w:color="auto"/>
              </w:rPr>
              <w:t>C</w:t>
            </w:r>
            <w:r>
              <w:rPr>
                <w:b w:val="0"/>
                <w:bCs w:val="0"/>
                <w:color w:val="auto"/>
                <w:spacing w:val="6"/>
                <w:u w:val="none" w:color="auto"/>
              </w:rPr>
              <w:t>非正常占标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5"/>
                <w:u w:val="none" w:color="auto"/>
              </w:rPr>
              <w:t>率</w:t>
            </w:r>
            <w:r>
              <w:rPr>
                <w:rFonts w:ascii="Times New Roman" w:hAnsi="Times New Roman" w:eastAsia="Times New Roman" w:cs="Times New Roman"/>
                <w:b w:val="0"/>
                <w:bCs w:val="0"/>
                <w:color w:val="auto"/>
                <w:spacing w:val="5"/>
                <w:u w:val="none" w:color="auto"/>
              </w:rPr>
              <w:t>&gt;100%□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保证率日平</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均浓度和年</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平均浓度叠</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加值</w:t>
            </w:r>
          </w:p>
        </w:tc>
        <w:tc>
          <w:tcPr>
            <w:tcW w:w="520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rFonts w:ascii="Times New Roman" w:hAnsi="Times New Roman" w:eastAsia="Times New Roman" w:cs="Times New Roman"/>
                <w:b w:val="0"/>
                <w:bCs w:val="0"/>
                <w:i/>
                <w:iCs/>
                <w:color w:val="auto"/>
                <w:spacing w:val="5"/>
                <w:u w:val="none" w:color="auto"/>
              </w:rPr>
              <w:t>C</w:t>
            </w:r>
            <w:r>
              <w:rPr>
                <w:b w:val="0"/>
                <w:bCs w:val="0"/>
                <w:color w:val="auto"/>
                <w:spacing w:val="5"/>
                <w:u w:val="none" w:color="auto"/>
                <w:vertAlign w:val="subscript"/>
              </w:rPr>
              <w:t>叠加</w:t>
            </w:r>
            <w:r>
              <w:rPr>
                <w:b w:val="0"/>
                <w:bCs w:val="0"/>
                <w:color w:val="auto"/>
                <w:spacing w:val="5"/>
                <w:u w:val="none" w:color="auto"/>
              </w:rPr>
              <w:t>达标</w:t>
            </w:r>
            <w:r>
              <w:rPr>
                <w:b w:val="0"/>
                <w:bCs w:val="0"/>
                <w:color w:val="auto"/>
                <w:position w:val="-4"/>
                <w:u w:val="none" w:color="auto"/>
              </w:rPr>
              <w:drawing>
                <wp:inline distT="0" distB="0" distL="0" distR="0">
                  <wp:extent cx="115570" cy="13970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145"/>
                          <a:stretch>
                            <a:fillRect/>
                          </a:stretch>
                        </pic:blipFill>
                        <pic:spPr>
                          <a:xfrm>
                            <a:off x="0" y="0"/>
                            <a:ext cx="115952" cy="139748"/>
                          </a:xfrm>
                          <a:prstGeom prst="rect">
                            <a:avLst/>
                          </a:prstGeom>
                        </pic:spPr>
                      </pic:pic>
                    </a:graphicData>
                  </a:graphic>
                </wp:inline>
              </w:drawing>
            </w:r>
          </w:p>
        </w:tc>
        <w:tc>
          <w:tcPr>
            <w:tcW w:w="2747"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rFonts w:ascii="Times New Roman" w:hAnsi="Times New Roman" w:eastAsia="Times New Roman" w:cs="Times New Roman"/>
                <w:b w:val="0"/>
                <w:bCs w:val="0"/>
                <w:i/>
                <w:iCs/>
                <w:color w:val="auto"/>
                <w:spacing w:val="6"/>
                <w:u w:val="none" w:color="auto"/>
              </w:rPr>
              <w:t>C</w:t>
            </w:r>
            <w:r>
              <w:rPr>
                <w:b w:val="0"/>
                <w:bCs w:val="0"/>
                <w:color w:val="auto"/>
                <w:spacing w:val="6"/>
                <w:u w:val="none" w:color="auto"/>
                <w:vertAlign w:val="subscript"/>
              </w:rPr>
              <w:t>叠加</w:t>
            </w:r>
            <w:r>
              <w:rPr>
                <w:b w:val="0"/>
                <w:bCs w:val="0"/>
                <w:color w:val="auto"/>
                <w:spacing w:val="6"/>
                <w:u w:val="none" w:color="auto"/>
              </w:rPr>
              <w:t>不达标</w:t>
            </w:r>
            <w:r>
              <w:rPr>
                <w:rFonts w:ascii="Times New Roman" w:hAnsi="Times New Roman" w:eastAsia="Times New Roman" w:cs="Times New Roman"/>
                <w:b w:val="0"/>
                <w:bCs w:val="0"/>
                <w:color w:val="auto"/>
                <w:spacing w:val="6"/>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5"/>
                <w:u w:val="none" w:color="auto"/>
              </w:rPr>
              <w:t>区域环境质</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量的整体变</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7"/>
                <w:u w:val="none" w:color="auto"/>
              </w:rPr>
              <w:t>化情况</w:t>
            </w:r>
          </w:p>
        </w:tc>
        <w:tc>
          <w:tcPr>
            <w:tcW w:w="5208" w:type="dxa"/>
            <w:gridSpan w:val="6"/>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pacing w:val="4"/>
                <w:sz w:val="20"/>
                <w:szCs w:val="20"/>
                <w:u w:val="none" w:color="auto"/>
              </w:rPr>
              <w:t>k≤-20%□</w:t>
            </w:r>
          </w:p>
        </w:tc>
        <w:tc>
          <w:tcPr>
            <w:tcW w:w="2747"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sz w:val="20"/>
                <w:szCs w:val="20"/>
                <w:u w:val="none" w:color="auto"/>
              </w:rPr>
            </w:pPr>
            <w:r>
              <w:rPr>
                <w:rFonts w:ascii="Times New Roman" w:hAnsi="Times New Roman" w:eastAsia="Times New Roman" w:cs="Times New Roman"/>
                <w:b w:val="0"/>
                <w:bCs w:val="0"/>
                <w:color w:val="auto"/>
                <w:spacing w:val="4"/>
                <w:sz w:val="20"/>
                <w:szCs w:val="20"/>
                <w:u w:val="none" w:color="auto"/>
              </w:rPr>
              <w:t>k&gt;-20%□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环境</w:t>
            </w:r>
            <w:r>
              <w:rPr>
                <w:b w:val="0"/>
                <w:bCs w:val="0"/>
                <w:color w:val="auto"/>
                <w:u w:val="none" w:color="auto"/>
              </w:rPr>
              <w:t xml:space="preserve"> </w:t>
            </w:r>
            <w:r>
              <w:rPr>
                <w:b w:val="0"/>
                <w:bCs w:val="0"/>
                <w:color w:val="auto"/>
                <w:spacing w:val="6"/>
                <w:u w:val="none" w:color="auto"/>
              </w:rPr>
              <w:t>监测</w:t>
            </w:r>
            <w:r>
              <w:rPr>
                <w:b w:val="0"/>
                <w:bCs w:val="0"/>
                <w:color w:val="auto"/>
                <w:u w:val="none" w:color="auto"/>
              </w:rPr>
              <w:t xml:space="preserve"> </w:t>
            </w:r>
            <w:r>
              <w:rPr>
                <w:b w:val="0"/>
                <w:bCs w:val="0"/>
                <w:color w:val="auto"/>
                <w:spacing w:val="6"/>
                <w:u w:val="none" w:color="auto"/>
              </w:rPr>
              <w:t>计划</w:t>
            </w:r>
          </w:p>
        </w:tc>
        <w:tc>
          <w:tcPr>
            <w:tcW w:w="1279"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污染源监测</w:t>
            </w:r>
          </w:p>
        </w:tc>
        <w:tc>
          <w:tcPr>
            <w:tcW w:w="2381" w:type="dxa"/>
            <w:gridSpan w:val="3"/>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10"/>
                <w:u w:val="none" w:color="auto"/>
              </w:rPr>
              <w:t>监测因子</w:t>
            </w:r>
            <w:r>
              <w:rPr>
                <w:b w:val="0"/>
                <w:bCs w:val="0"/>
                <w:color w:val="auto"/>
                <w:spacing w:val="-6"/>
                <w:u w:val="none" w:color="auto"/>
              </w:rPr>
              <w:t>：（</w:t>
            </w:r>
            <w:r>
              <w:rPr>
                <w:rFonts w:ascii="Times New Roman" w:hAnsi="Times New Roman" w:eastAsia="Times New Roman" w:cs="Times New Roman"/>
                <w:b w:val="0"/>
                <w:bCs w:val="0"/>
                <w:color w:val="auto"/>
                <w:spacing w:val="10"/>
                <w:u w:val="none" w:color="auto"/>
              </w:rPr>
              <w:t>H</w:t>
            </w:r>
            <w:r>
              <w:rPr>
                <w:rFonts w:ascii="Times New Roman" w:hAnsi="Times New Roman" w:eastAsia="Times New Roman" w:cs="Times New Roman"/>
                <w:b w:val="0"/>
                <w:bCs w:val="0"/>
                <w:color w:val="auto"/>
                <w:spacing w:val="10"/>
                <w:position w:val="-1"/>
                <w:sz w:val="13"/>
                <w:szCs w:val="13"/>
                <w:u w:val="none" w:color="auto"/>
              </w:rPr>
              <w:t>2</w:t>
            </w:r>
            <w:r>
              <w:rPr>
                <w:rFonts w:ascii="Times New Roman" w:hAnsi="Times New Roman" w:eastAsia="Times New Roman" w:cs="Times New Roman"/>
                <w:b w:val="0"/>
                <w:bCs w:val="0"/>
                <w:color w:val="auto"/>
                <w:spacing w:val="10"/>
                <w:u w:val="none" w:color="auto"/>
              </w:rPr>
              <w:t>S</w:t>
            </w:r>
            <w:r>
              <w:rPr>
                <w:rFonts w:ascii="Times New Roman" w:hAnsi="Times New Roman" w:eastAsia="Times New Roman" w:cs="Times New Roman"/>
                <w:b w:val="0"/>
                <w:bCs w:val="0"/>
                <w:color w:val="auto"/>
                <w:spacing w:val="-25"/>
                <w:u w:val="none" w:color="auto"/>
              </w:rPr>
              <w:t xml:space="preserve"> </w:t>
            </w:r>
            <w:r>
              <w:rPr>
                <w:b w:val="0"/>
                <w:bCs w:val="0"/>
                <w:color w:val="auto"/>
                <w:spacing w:val="10"/>
                <w:u w:val="none" w:color="auto"/>
              </w:rPr>
              <w:t>、</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rFonts w:ascii="Times New Roman" w:hAnsi="Times New Roman" w:eastAsia="Times New Roman" w:cs="Times New Roman"/>
                <w:b w:val="0"/>
                <w:bCs w:val="0"/>
                <w:color w:val="auto"/>
                <w:u w:val="none" w:color="auto"/>
              </w:rPr>
              <w:t>NH</w:t>
            </w:r>
            <w:r>
              <w:rPr>
                <w:rFonts w:ascii="Times New Roman" w:hAnsi="Times New Roman" w:eastAsia="Times New Roman" w:cs="Times New Roman"/>
                <w:b w:val="0"/>
                <w:bCs w:val="0"/>
                <w:color w:val="auto"/>
                <w:spacing w:val="4"/>
                <w:position w:val="-1"/>
                <w:sz w:val="13"/>
                <w:szCs w:val="13"/>
                <w:u w:val="none" w:color="auto"/>
              </w:rPr>
              <w:t xml:space="preserve">3 </w:t>
            </w:r>
            <w:r>
              <w:rPr>
                <w:b w:val="0"/>
                <w:bCs w:val="0"/>
                <w:color w:val="auto"/>
                <w:spacing w:val="4"/>
                <w:u w:val="none" w:color="auto"/>
              </w:rPr>
              <w:t>）</w:t>
            </w: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9"/>
                <w:u w:val="none" w:color="auto"/>
              </w:rPr>
              <w:t>有组织废气监测</w:t>
            </w:r>
            <w:r>
              <w:rPr>
                <w:b w:val="0"/>
                <w:bCs w:val="0"/>
                <w:color w:val="auto"/>
                <w:u w:val="none" w:color="auto"/>
              </w:rPr>
              <w:drawing>
                <wp:inline distT="0" distB="0" distL="0" distR="0">
                  <wp:extent cx="119380" cy="10223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146"/>
                          <a:stretch>
                            <a:fillRect/>
                          </a:stretch>
                        </pic:blipFill>
                        <pic:spPr>
                          <a:xfrm>
                            <a:off x="0" y="0"/>
                            <a:ext cx="119686" cy="102588"/>
                          </a:xfrm>
                          <a:prstGeom prst="rect">
                            <a:avLst/>
                          </a:prstGeom>
                        </pic:spPr>
                      </pic:pic>
                    </a:graphicData>
                  </a:graphic>
                </wp:inline>
              </w:drawing>
            </w:r>
          </w:p>
        </w:tc>
        <w:tc>
          <w:tcPr>
            <w:tcW w:w="1610" w:type="dxa"/>
            <w:gridSpan w:val="2"/>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7"/>
                <w:u w:val="none" w:color="auto"/>
              </w:rPr>
              <w:t>无监测</w:t>
            </w:r>
            <w:r>
              <w:rPr>
                <w:rFonts w:ascii="Times New Roman" w:hAnsi="Times New Roman" w:eastAsia="Times New Roman" w:cs="Times New Roman"/>
                <w:b w:val="0"/>
                <w:bCs w:val="0"/>
                <w:color w:val="auto"/>
                <w:spacing w:val="7"/>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2381" w:type="dxa"/>
            <w:gridSpan w:val="3"/>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9"/>
                <w:u w:val="none" w:color="auto"/>
              </w:rPr>
              <w:t>无组织废气监测</w:t>
            </w:r>
            <w:r>
              <w:rPr>
                <w:b w:val="0"/>
                <w:bCs w:val="0"/>
                <w:color w:val="auto"/>
                <w:u w:val="none" w:color="auto"/>
              </w:rPr>
              <w:drawing>
                <wp:inline distT="0" distB="0" distL="0" distR="0">
                  <wp:extent cx="119380" cy="102235"/>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147"/>
                          <a:stretch>
                            <a:fillRect/>
                          </a:stretch>
                        </pic:blipFill>
                        <pic:spPr>
                          <a:xfrm>
                            <a:off x="0" y="0"/>
                            <a:ext cx="119686" cy="102588"/>
                          </a:xfrm>
                          <a:prstGeom prst="rect">
                            <a:avLst/>
                          </a:prstGeom>
                        </pic:spPr>
                      </pic:pic>
                    </a:graphicData>
                  </a:graphic>
                </wp:inline>
              </w:drawing>
            </w:r>
          </w:p>
        </w:tc>
        <w:tc>
          <w:tcPr>
            <w:tcW w:w="1610" w:type="dxa"/>
            <w:gridSpan w:val="2"/>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环境质量监</w:t>
            </w:r>
            <w:r>
              <w:rPr>
                <w:b w:val="0"/>
                <w:bCs w:val="0"/>
                <w:color w:val="auto"/>
                <w:spacing w:val="2"/>
                <w:u w:val="none" w:color="auto"/>
              </w:rPr>
              <w:t xml:space="preserve"> </w:t>
            </w:r>
            <w:r>
              <w:rPr>
                <w:b w:val="0"/>
                <w:bCs w:val="0"/>
                <w:color w:val="auto"/>
                <w:u w:val="none" w:color="auto"/>
              </w:rPr>
              <w:t>测</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spacing w:val="10"/>
                <w:position w:val="-2"/>
                <w:u w:val="none" w:color="auto"/>
              </w:rPr>
            </w:pPr>
            <w:r>
              <w:rPr>
                <w:b w:val="0"/>
                <w:bCs w:val="0"/>
                <w:color w:val="auto"/>
                <w:spacing w:val="10"/>
                <w:position w:val="-2"/>
                <w:u w:val="none" w:color="auto"/>
              </w:rPr>
              <w:t>监测因子</w:t>
            </w:r>
            <w:r>
              <w:rPr>
                <w:b w:val="0"/>
                <w:bCs w:val="0"/>
                <w:color w:val="auto"/>
                <w:spacing w:val="-6"/>
                <w:position w:val="-2"/>
                <w:u w:val="none" w:color="auto"/>
              </w:rPr>
              <w:t>：（</w:t>
            </w:r>
            <w:r>
              <w:rPr>
                <w:rFonts w:ascii="Times New Roman" w:hAnsi="Times New Roman" w:eastAsia="Times New Roman" w:cs="Times New Roman"/>
                <w:b w:val="0"/>
                <w:bCs w:val="0"/>
                <w:color w:val="auto"/>
                <w:spacing w:val="10"/>
                <w:position w:val="-2"/>
                <w:u w:val="none" w:color="auto"/>
              </w:rPr>
              <w:t>H</w:t>
            </w:r>
            <w:r>
              <w:rPr>
                <w:rFonts w:ascii="Times New Roman" w:hAnsi="Times New Roman" w:eastAsia="Times New Roman" w:cs="Times New Roman"/>
                <w:b w:val="0"/>
                <w:bCs w:val="0"/>
                <w:color w:val="auto"/>
                <w:spacing w:val="10"/>
                <w:position w:val="-3"/>
                <w:sz w:val="13"/>
                <w:szCs w:val="13"/>
                <w:u w:val="none" w:color="auto"/>
              </w:rPr>
              <w:t>2</w:t>
            </w:r>
            <w:r>
              <w:rPr>
                <w:rFonts w:ascii="Times New Roman" w:hAnsi="Times New Roman" w:eastAsia="Times New Roman" w:cs="Times New Roman"/>
                <w:b w:val="0"/>
                <w:bCs w:val="0"/>
                <w:color w:val="auto"/>
                <w:spacing w:val="10"/>
                <w:position w:val="-2"/>
                <w:u w:val="none" w:color="auto"/>
              </w:rPr>
              <w:t>S</w:t>
            </w:r>
            <w:r>
              <w:rPr>
                <w:b w:val="0"/>
                <w:bCs w:val="0"/>
                <w:color w:val="auto"/>
                <w:spacing w:val="10"/>
                <w:position w:val="-2"/>
                <w:u w:val="none" w:color="auto"/>
              </w:rPr>
              <w:t>、</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rFonts w:ascii="Times New Roman" w:hAnsi="Times New Roman" w:eastAsia="Times New Roman" w:cs="Times New Roman"/>
                <w:b w:val="0"/>
                <w:bCs w:val="0"/>
                <w:color w:val="auto"/>
                <w:u w:val="none" w:color="auto"/>
              </w:rPr>
              <w:t>NH</w:t>
            </w:r>
            <w:r>
              <w:rPr>
                <w:rFonts w:ascii="Times New Roman" w:hAnsi="Times New Roman" w:eastAsia="Times New Roman" w:cs="Times New Roman"/>
                <w:b w:val="0"/>
                <w:bCs w:val="0"/>
                <w:color w:val="auto"/>
                <w:spacing w:val="4"/>
                <w:position w:val="-1"/>
                <w:sz w:val="13"/>
                <w:szCs w:val="13"/>
                <w:u w:val="none" w:color="auto"/>
              </w:rPr>
              <w:t xml:space="preserve">3 </w:t>
            </w:r>
            <w:r>
              <w:rPr>
                <w:b w:val="0"/>
                <w:bCs w:val="0"/>
                <w:color w:val="auto"/>
                <w:spacing w:val="4"/>
                <w:u w:val="none" w:color="auto"/>
              </w:rPr>
              <w:t>）</w:t>
            </w:r>
          </w:p>
        </w:tc>
        <w:tc>
          <w:tcPr>
            <w:tcW w:w="3964"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9"/>
                <w:u w:val="none" w:color="auto"/>
              </w:rPr>
              <w:t>监测点位数（</w:t>
            </w:r>
            <w:r>
              <w:rPr>
                <w:rFonts w:ascii="Times New Roman" w:hAnsi="Times New Roman" w:eastAsia="Times New Roman" w:cs="Times New Roman"/>
                <w:b w:val="0"/>
                <w:bCs w:val="0"/>
                <w:color w:val="auto"/>
                <w:spacing w:val="9"/>
                <w:u w:val="none" w:color="auto"/>
              </w:rPr>
              <w:t>1</w:t>
            </w:r>
            <w:r>
              <w:rPr>
                <w:b w:val="0"/>
                <w:bCs w:val="0"/>
                <w:color w:val="auto"/>
                <w:spacing w:val="9"/>
                <w:u w:val="none" w:color="auto"/>
              </w:rPr>
              <w:t>）</w:t>
            </w:r>
          </w:p>
        </w:tc>
        <w:tc>
          <w:tcPr>
            <w:tcW w:w="1610"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7"/>
                <w:u w:val="none" w:color="auto"/>
              </w:rPr>
              <w:t>无监测</w:t>
            </w:r>
            <w:r>
              <w:rPr>
                <w:rFonts w:ascii="Times New Roman" w:hAnsi="Times New Roman" w:eastAsia="Times New Roman" w:cs="Times New Roman"/>
                <w:b w:val="0"/>
                <w:bCs w:val="0"/>
                <w:color w:val="auto"/>
                <w:spacing w:val="7"/>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6"/>
                <w:u w:val="none" w:color="auto"/>
              </w:rPr>
              <w:t>评价</w:t>
            </w:r>
            <w:r>
              <w:rPr>
                <w:b w:val="0"/>
                <w:bCs w:val="0"/>
                <w:color w:val="auto"/>
                <w:u w:val="none" w:color="auto"/>
              </w:rPr>
              <w:t xml:space="preserve"> </w:t>
            </w:r>
            <w:r>
              <w:rPr>
                <w:b w:val="0"/>
                <w:bCs w:val="0"/>
                <w:color w:val="auto"/>
                <w:spacing w:val="3"/>
                <w:u w:val="none" w:color="auto"/>
              </w:rPr>
              <w:t>结论</w:t>
            </w: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环境影响</w:t>
            </w:r>
          </w:p>
        </w:tc>
        <w:tc>
          <w:tcPr>
            <w:tcW w:w="7955" w:type="dxa"/>
            <w:gridSpan w:val="9"/>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9"/>
                <w:u w:val="none" w:color="auto"/>
              </w:rPr>
              <w:t>可以接受</w:t>
            </w:r>
            <w:r>
              <w:rPr>
                <w:b w:val="0"/>
                <w:bCs w:val="0"/>
                <w:color w:val="auto"/>
                <w:u w:val="none" w:color="auto"/>
              </w:rPr>
              <w:drawing>
                <wp:inline distT="0" distB="0" distL="0" distR="0">
                  <wp:extent cx="118110" cy="10223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148"/>
                          <a:stretch>
                            <a:fillRect/>
                          </a:stretch>
                        </pic:blipFill>
                        <pic:spPr>
                          <a:xfrm>
                            <a:off x="0" y="0"/>
                            <a:ext cx="118144" cy="102588"/>
                          </a:xfrm>
                          <a:prstGeom prst="rect">
                            <a:avLst/>
                          </a:prstGeom>
                        </pic:spPr>
                      </pic:pic>
                    </a:graphicData>
                  </a:graphic>
                </wp:inline>
              </w:drawing>
            </w:r>
            <w:r>
              <w:rPr>
                <w:b w:val="0"/>
                <w:bCs w:val="0"/>
                <w:color w:val="auto"/>
                <w:spacing w:val="9"/>
                <w:u w:val="none" w:color="auto"/>
              </w:rPr>
              <w:t>不可以接受</w:t>
            </w:r>
            <w:r>
              <w:rPr>
                <w:rFonts w:ascii="Times New Roman" w:hAnsi="Times New Roman" w:eastAsia="Times New Roman" w:cs="Times New Roman"/>
                <w:b w:val="0"/>
                <w:bCs w:val="0"/>
                <w:color w:val="auto"/>
                <w:spacing w:val="9"/>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大气环境防</w:t>
            </w:r>
            <w:r>
              <w:rPr>
                <w:b w:val="0"/>
                <w:bCs w:val="0"/>
                <w:color w:val="auto"/>
                <w:u w:val="none" w:color="auto"/>
              </w:rPr>
              <w:t xml:space="preserve"> </w:t>
            </w:r>
            <w:r>
              <w:rPr>
                <w:b w:val="0"/>
                <w:bCs w:val="0"/>
                <w:color w:val="auto"/>
                <w:spacing w:val="7"/>
                <w:u w:val="none" w:color="auto"/>
              </w:rPr>
              <w:t>护距离</w:t>
            </w:r>
          </w:p>
        </w:tc>
        <w:tc>
          <w:tcPr>
            <w:tcW w:w="7955" w:type="dxa"/>
            <w:gridSpan w:val="9"/>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5"/>
                <w:u w:val="none" w:color="auto"/>
              </w:rPr>
              <w:t>距</w:t>
            </w:r>
            <w:r>
              <w:rPr>
                <w:b w:val="0"/>
                <w:bCs w:val="0"/>
                <w:color w:val="auto"/>
                <w:spacing w:val="-10"/>
                <w:u w:val="none" w:color="auto"/>
              </w:rPr>
              <w:t>（）</w:t>
            </w:r>
            <w:r>
              <w:rPr>
                <w:b w:val="0"/>
                <w:bCs w:val="0"/>
                <w:color w:val="auto"/>
                <w:spacing w:val="-47"/>
                <w:u w:val="none" w:color="auto"/>
              </w:rPr>
              <w:t xml:space="preserve"> </w:t>
            </w:r>
            <w:r>
              <w:rPr>
                <w:b w:val="0"/>
                <w:bCs w:val="0"/>
                <w:color w:val="auto"/>
                <w:spacing w:val="5"/>
                <w:u w:val="none" w:color="auto"/>
              </w:rPr>
              <w:t>厂界最远</w:t>
            </w:r>
            <w:r>
              <w:rPr>
                <w:b w:val="0"/>
                <w:bCs w:val="0"/>
                <w:color w:val="auto"/>
                <w:spacing w:val="-10"/>
                <w:u w:val="none" w:color="auto"/>
              </w:rPr>
              <w:t>（）</w:t>
            </w:r>
            <w:r>
              <w:rPr>
                <w:b w:val="0"/>
                <w:bCs w:val="0"/>
                <w:color w:val="auto"/>
                <w:spacing w:val="-46"/>
                <w:u w:val="none" w:color="auto"/>
              </w:rPr>
              <w:t xml:space="preserve"> </w:t>
            </w:r>
            <w:r>
              <w:rPr>
                <w:rFonts w:ascii="Times New Roman" w:hAnsi="Times New Roman" w:eastAsia="Times New Roman" w:cs="Times New Roman"/>
                <w:b w:val="0"/>
                <w:bCs w:val="0"/>
                <w:color w:val="auto"/>
                <w:spacing w:val="5"/>
                <w:u w:val="none" w:color="auto"/>
              </w:rPr>
              <w:t>m</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42"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color w:val="auto"/>
                <w:sz w:val="21"/>
                <w:u w:val="none" w:color="auto"/>
              </w:rPr>
            </w:pPr>
          </w:p>
        </w:tc>
        <w:tc>
          <w:tcPr>
            <w:tcW w:w="1279"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8"/>
                <w:u w:val="none" w:color="auto"/>
              </w:rPr>
              <w:t>污染源年排</w:t>
            </w:r>
            <w:r>
              <w:rPr>
                <w:b w:val="0"/>
                <w:bCs w:val="0"/>
                <w:color w:val="auto"/>
                <w:u w:val="none" w:color="auto"/>
              </w:rPr>
              <w:t xml:space="preserve"> </w:t>
            </w:r>
            <w:r>
              <w:rPr>
                <w:b w:val="0"/>
                <w:bCs w:val="0"/>
                <w:color w:val="auto"/>
                <w:spacing w:val="6"/>
                <w:u w:val="none" w:color="auto"/>
              </w:rPr>
              <w:t>放量</w:t>
            </w:r>
          </w:p>
        </w:tc>
        <w:tc>
          <w:tcPr>
            <w:tcW w:w="23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rFonts w:ascii="Times New Roman" w:hAnsi="Times New Roman" w:eastAsia="Times New Roman" w:cs="Times New Roman"/>
                <w:b w:val="0"/>
                <w:bCs w:val="0"/>
                <w:color w:val="auto"/>
                <w:u w:val="none" w:color="auto"/>
              </w:rPr>
              <w:t>SO</w:t>
            </w:r>
            <w:r>
              <w:rPr>
                <w:rFonts w:ascii="Times New Roman" w:hAnsi="Times New Roman" w:eastAsia="Times New Roman" w:cs="Times New Roman"/>
                <w:b w:val="0"/>
                <w:bCs w:val="0"/>
                <w:color w:val="auto"/>
                <w:spacing w:val="3"/>
                <w:position w:val="-1"/>
                <w:sz w:val="13"/>
                <w:szCs w:val="13"/>
                <w:u w:val="none" w:color="auto"/>
              </w:rPr>
              <w:t>2</w:t>
            </w:r>
            <w:r>
              <w:rPr>
                <w:rFonts w:ascii="Times New Roman" w:hAnsi="Times New Roman" w:eastAsia="Times New Roman" w:cs="Times New Roman"/>
                <w:b w:val="0"/>
                <w:bCs w:val="0"/>
                <w:color w:val="auto"/>
                <w:spacing w:val="-6"/>
                <w:position w:val="-1"/>
                <w:sz w:val="13"/>
                <w:szCs w:val="13"/>
                <w:u w:val="none" w:color="auto"/>
              </w:rPr>
              <w:t xml:space="preserve"> </w:t>
            </w:r>
            <w:r>
              <w:rPr>
                <w:b w:val="0"/>
                <w:bCs w:val="0"/>
                <w:color w:val="auto"/>
                <w:spacing w:val="-13"/>
                <w:u w:val="none" w:color="auto"/>
              </w:rPr>
              <w:t>：（）</w:t>
            </w:r>
            <w:r>
              <w:rPr>
                <w:b w:val="0"/>
                <w:bCs w:val="0"/>
                <w:color w:val="auto"/>
                <w:spacing w:val="-55"/>
                <w:u w:val="none" w:color="auto"/>
              </w:rPr>
              <w:t xml:space="preserve"> </w:t>
            </w:r>
            <w:r>
              <w:rPr>
                <w:rFonts w:ascii="Times New Roman" w:hAnsi="Times New Roman" w:eastAsia="Times New Roman" w:cs="Times New Roman"/>
                <w:b w:val="0"/>
                <w:bCs w:val="0"/>
                <w:color w:val="auto"/>
                <w:spacing w:val="3"/>
                <w:u w:val="none" w:color="auto"/>
              </w:rPr>
              <w:t>t/a</w:t>
            </w:r>
          </w:p>
        </w:tc>
        <w:tc>
          <w:tcPr>
            <w:tcW w:w="2065"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rFonts w:ascii="Times New Roman" w:hAnsi="Times New Roman" w:eastAsia="Times New Roman" w:cs="Times New Roman"/>
                <w:b w:val="0"/>
                <w:bCs w:val="0"/>
                <w:color w:val="auto"/>
                <w:u w:val="none" w:color="auto"/>
              </w:rPr>
              <w:t>NO</w:t>
            </w:r>
            <w:r>
              <w:rPr>
                <w:rFonts w:ascii="Times New Roman" w:hAnsi="Times New Roman" w:eastAsia="Times New Roman" w:cs="Times New Roman"/>
                <w:b w:val="0"/>
                <w:bCs w:val="0"/>
                <w:color w:val="auto"/>
                <w:position w:val="-1"/>
                <w:sz w:val="13"/>
                <w:szCs w:val="13"/>
                <w:u w:val="none" w:color="auto"/>
              </w:rPr>
              <w:t>x</w:t>
            </w:r>
            <w:r>
              <w:rPr>
                <w:rFonts w:ascii="Times New Roman" w:hAnsi="Times New Roman" w:eastAsia="Times New Roman" w:cs="Times New Roman"/>
                <w:b w:val="0"/>
                <w:bCs w:val="0"/>
                <w:color w:val="auto"/>
                <w:spacing w:val="-4"/>
                <w:position w:val="-1"/>
                <w:sz w:val="13"/>
                <w:szCs w:val="13"/>
                <w:u w:val="none" w:color="auto"/>
              </w:rPr>
              <w:t xml:space="preserve"> </w:t>
            </w:r>
            <w:r>
              <w:rPr>
                <w:b w:val="0"/>
                <w:bCs w:val="0"/>
                <w:color w:val="auto"/>
                <w:spacing w:val="-12"/>
                <w:u w:val="none" w:color="auto"/>
              </w:rPr>
              <w:t>：（）</w:t>
            </w:r>
            <w:r>
              <w:rPr>
                <w:b w:val="0"/>
                <w:bCs w:val="0"/>
                <w:color w:val="auto"/>
                <w:spacing w:val="-55"/>
                <w:u w:val="none" w:color="auto"/>
              </w:rPr>
              <w:t xml:space="preserve"> </w:t>
            </w:r>
            <w:r>
              <w:rPr>
                <w:rFonts w:ascii="Times New Roman" w:hAnsi="Times New Roman" w:eastAsia="Times New Roman" w:cs="Times New Roman"/>
                <w:b w:val="0"/>
                <w:bCs w:val="0"/>
                <w:color w:val="auto"/>
                <w:spacing w:val="6"/>
                <w:u w:val="none" w:color="auto"/>
              </w:rPr>
              <w:t>t/a</w:t>
            </w:r>
          </w:p>
        </w:tc>
        <w:tc>
          <w:tcPr>
            <w:tcW w:w="1899"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b w:val="0"/>
                <w:bCs w:val="0"/>
                <w:color w:val="auto"/>
                <w:spacing w:val="4"/>
                <w:u w:val="none" w:color="auto"/>
              </w:rPr>
              <w:t>颗粒物</w:t>
            </w:r>
            <w:r>
              <w:rPr>
                <w:b w:val="0"/>
                <w:bCs w:val="0"/>
                <w:color w:val="auto"/>
                <w:spacing w:val="-2"/>
                <w:u w:val="none" w:color="auto"/>
              </w:rPr>
              <w:t>：（）</w:t>
            </w:r>
            <w:r>
              <w:rPr>
                <w:b w:val="0"/>
                <w:bCs w:val="0"/>
                <w:color w:val="auto"/>
                <w:spacing w:val="-52"/>
                <w:u w:val="none" w:color="auto"/>
              </w:rPr>
              <w:t xml:space="preserve"> </w:t>
            </w:r>
            <w:r>
              <w:rPr>
                <w:rFonts w:ascii="Times New Roman" w:hAnsi="Times New Roman" w:eastAsia="Times New Roman" w:cs="Times New Roman"/>
                <w:b w:val="0"/>
                <w:bCs w:val="0"/>
                <w:color w:val="auto"/>
                <w:spacing w:val="4"/>
                <w:u w:val="none" w:color="auto"/>
              </w:rPr>
              <w:t>t/a</w:t>
            </w:r>
          </w:p>
        </w:tc>
        <w:tc>
          <w:tcPr>
            <w:tcW w:w="1610"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color w:val="auto"/>
                <w:u w:val="none" w:color="auto"/>
              </w:rPr>
            </w:pPr>
            <w:r>
              <w:rPr>
                <w:rFonts w:ascii="Times New Roman" w:hAnsi="Times New Roman" w:eastAsia="Times New Roman" w:cs="Times New Roman"/>
                <w:b w:val="0"/>
                <w:bCs w:val="0"/>
                <w:color w:val="auto"/>
                <w:u w:val="none" w:color="auto"/>
              </w:rPr>
              <w:t>VOCs</w:t>
            </w:r>
            <w:r>
              <w:rPr>
                <w:b w:val="0"/>
                <w:bCs w:val="0"/>
                <w:color w:val="auto"/>
                <w:spacing w:val="-4"/>
                <w:u w:val="none" w:color="auto"/>
              </w:rPr>
              <w:t>：（）</w:t>
            </w:r>
            <w:r>
              <w:rPr>
                <w:b w:val="0"/>
                <w:bCs w:val="0"/>
                <w:color w:val="auto"/>
                <w:spacing w:val="-50"/>
                <w:u w:val="none" w:color="auto"/>
              </w:rPr>
              <w:t xml:space="preserve"> </w:t>
            </w:r>
            <w:r>
              <w:rPr>
                <w:rFonts w:ascii="Times New Roman" w:hAnsi="Times New Roman" w:eastAsia="Times New Roman" w:cs="Times New Roman"/>
                <w:b w:val="0"/>
                <w:bCs w:val="0"/>
                <w:color w:val="auto"/>
                <w:spacing w:val="9"/>
                <w:u w:val="none" w:color="auto"/>
              </w:rPr>
              <w:t>t/a</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9776" w:type="dxa"/>
            <w:gridSpan w:val="11"/>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color w:val="auto"/>
                <w:u w:val="none" w:color="auto"/>
              </w:rPr>
            </w:pPr>
            <w:r>
              <w:rPr>
                <w:b w:val="0"/>
                <w:bCs w:val="0"/>
                <w:color w:val="auto"/>
                <w:spacing w:val="3"/>
                <w:position w:val="1"/>
                <w:u w:val="none" w:color="auto"/>
              </w:rPr>
              <w:t>注：</w:t>
            </w:r>
            <w:r>
              <w:rPr>
                <w:b w:val="0"/>
                <w:bCs w:val="0"/>
                <w:color w:val="auto"/>
                <w:spacing w:val="-78"/>
                <w:position w:val="1"/>
                <w:u w:val="none" w:color="auto"/>
              </w:rPr>
              <w:t xml:space="preserve"> </w:t>
            </w:r>
            <w:r>
              <w:rPr>
                <w:b w:val="0"/>
                <w:bCs w:val="0"/>
                <w:color w:val="auto"/>
                <w:spacing w:val="3"/>
                <w:position w:val="1"/>
                <w:u w:val="none" w:color="auto"/>
              </w:rPr>
              <w:t>“</w:t>
            </w:r>
            <w:r>
              <w:rPr>
                <w:rFonts w:ascii="Times New Roman" w:hAnsi="Times New Roman" w:eastAsia="Times New Roman" w:cs="Times New Roman"/>
                <w:b w:val="0"/>
                <w:bCs w:val="0"/>
                <w:color w:val="auto"/>
                <w:spacing w:val="3"/>
                <w:position w:val="1"/>
                <w:u w:val="none" w:color="auto"/>
              </w:rPr>
              <w:t>□</w:t>
            </w:r>
            <w:r>
              <w:rPr>
                <w:rFonts w:ascii="Times New Roman" w:hAnsi="Times New Roman" w:eastAsia="Times New Roman" w:cs="Times New Roman"/>
                <w:b w:val="0"/>
                <w:bCs w:val="0"/>
                <w:color w:val="auto"/>
                <w:spacing w:val="-21"/>
                <w:position w:val="1"/>
                <w:u w:val="none" w:color="auto"/>
              </w:rPr>
              <w:t xml:space="preserve"> </w:t>
            </w:r>
            <w:r>
              <w:rPr>
                <w:b w:val="0"/>
                <w:bCs w:val="0"/>
                <w:color w:val="auto"/>
                <w:spacing w:val="3"/>
                <w:position w:val="1"/>
                <w:u w:val="none" w:color="auto"/>
              </w:rPr>
              <w:t>”，填“</w:t>
            </w:r>
            <w:r>
              <w:rPr>
                <w:rFonts w:ascii="Times New Roman" w:hAnsi="Times New Roman" w:eastAsia="Times New Roman" w:cs="Times New Roman"/>
                <w:b w:val="0"/>
                <w:bCs w:val="0"/>
                <w:color w:val="auto"/>
                <w:spacing w:val="3"/>
                <w:position w:val="1"/>
                <w:u w:val="none" w:color="auto"/>
              </w:rPr>
              <w:t>√</w:t>
            </w:r>
            <w:r>
              <w:rPr>
                <w:rFonts w:ascii="Times New Roman" w:hAnsi="Times New Roman" w:eastAsia="Times New Roman" w:cs="Times New Roman"/>
                <w:b w:val="0"/>
                <w:bCs w:val="0"/>
                <w:color w:val="auto"/>
                <w:spacing w:val="-22"/>
                <w:position w:val="1"/>
                <w:u w:val="none" w:color="auto"/>
              </w:rPr>
              <w:t xml:space="preserve"> </w:t>
            </w:r>
            <w:r>
              <w:rPr>
                <w:b w:val="0"/>
                <w:bCs w:val="0"/>
                <w:color w:val="auto"/>
                <w:spacing w:val="3"/>
                <w:position w:val="1"/>
                <w:u w:val="none" w:color="auto"/>
              </w:rPr>
              <w:t>”；“</w:t>
            </w:r>
            <w:r>
              <w:rPr>
                <w:b w:val="0"/>
                <w:bCs w:val="0"/>
                <w:color w:val="auto"/>
                <w:spacing w:val="-1"/>
                <w:position w:val="1"/>
                <w:u w:val="none" w:color="auto"/>
              </w:rPr>
              <w:t>（）</w:t>
            </w:r>
            <w:r>
              <w:rPr>
                <w:b w:val="0"/>
                <w:bCs w:val="0"/>
                <w:color w:val="auto"/>
                <w:spacing w:val="-28"/>
                <w:position w:val="1"/>
                <w:u w:val="none" w:color="auto"/>
              </w:rPr>
              <w:t xml:space="preserve"> </w:t>
            </w:r>
            <w:r>
              <w:rPr>
                <w:b w:val="0"/>
                <w:bCs w:val="0"/>
                <w:color w:val="auto"/>
                <w:spacing w:val="3"/>
                <w:position w:val="1"/>
                <w:u w:val="none" w:color="auto"/>
              </w:rPr>
              <w:t>”为内容填写项</w:t>
            </w:r>
          </w:p>
        </w:tc>
      </w:tr>
    </w:tbl>
    <w:p>
      <w:pPr>
        <w:pStyle w:val="8"/>
      </w:pPr>
    </w:p>
    <w:p>
      <w:pPr>
        <w:sectPr>
          <w:footerReference r:id="rId23" w:type="default"/>
          <w:pgSz w:w="11906" w:h="16839"/>
          <w:pgMar w:top="1440" w:right="1080" w:bottom="1440" w:left="1080" w:header="0" w:footer="1116" w:gutter="0"/>
          <w:pgBorders>
            <w:top w:val="none" w:sz="0" w:space="0"/>
            <w:left w:val="none" w:sz="0" w:space="0"/>
            <w:bottom w:val="none" w:sz="0" w:space="0"/>
            <w:right w:val="none" w:sz="0" w:space="0"/>
          </w:pgBorders>
          <w:pgNumType w:fmt="numberInDash"/>
          <w:cols w:space="720" w:num="1"/>
        </w:sectPr>
      </w:pPr>
    </w:p>
    <w:p>
      <w:pPr>
        <w:spacing w:before="78" w:line="223" w:lineRule="auto"/>
        <w:jc w:val="left"/>
        <w:rPr>
          <w:rFonts w:ascii="黑体" w:hAnsi="黑体" w:eastAsia="黑体" w:cs="黑体"/>
          <w:sz w:val="24"/>
          <w:szCs w:val="24"/>
        </w:rPr>
      </w:pPr>
      <w:r>
        <w:rPr>
          <w:rFonts w:ascii="黑体" w:hAnsi="黑体" w:eastAsia="黑体" w:cs="黑体"/>
          <w:spacing w:val="-8"/>
          <w:sz w:val="24"/>
          <w:szCs w:val="24"/>
        </w:rPr>
        <w:t>附表二</w:t>
      </w:r>
    </w:p>
    <w:p>
      <w:pPr>
        <w:keepNext w:val="0"/>
        <w:keepLines w:val="0"/>
        <w:pageBreakBefore w:val="0"/>
        <w:widowControl/>
        <w:kinsoku w:val="0"/>
        <w:wordWrap/>
        <w:overflowPunct/>
        <w:topLinePunct w:val="0"/>
        <w:autoSpaceDE w:val="0"/>
        <w:autoSpaceDN w:val="0"/>
        <w:bidi w:val="0"/>
        <w:adjustRightInd w:val="0"/>
        <w:snapToGrid w:val="0"/>
        <w:spacing w:line="240" w:lineRule="auto"/>
        <w:ind w:left="3067"/>
        <w:textAlignment w:val="baseline"/>
      </w:pPr>
      <w:r>
        <w:rPr>
          <w:rFonts w:ascii="宋体" w:hAnsi="宋体" w:eastAsia="宋体" w:cs="宋体"/>
          <w:sz w:val="24"/>
          <w:szCs w:val="24"/>
          <w:u w:val="none" w:color="auto"/>
          <w14:textOutline w14:w="4358" w14:cap="sq" w14:cmpd="sng">
            <w14:solidFill>
              <w14:srgbClr w14:val="000000"/>
            </w14:solidFill>
            <w14:prstDash w14:val="solid"/>
            <w14:bevel/>
          </w14:textOutline>
        </w:rPr>
        <w:t>地表水环境影响评价自查表</w:t>
      </w:r>
    </w:p>
    <w:tbl>
      <w:tblPr>
        <w:tblStyle w:val="24"/>
        <w:tblW w:w="9835" w:type="dxa"/>
        <w:jc w:val="center"/>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1665"/>
        <w:gridCol w:w="1480"/>
        <w:gridCol w:w="369"/>
        <w:gridCol w:w="62"/>
        <w:gridCol w:w="556"/>
        <w:gridCol w:w="494"/>
        <w:gridCol w:w="737"/>
        <w:gridCol w:w="742"/>
        <w:gridCol w:w="216"/>
        <w:gridCol w:w="278"/>
        <w:gridCol w:w="987"/>
        <w:gridCol w:w="156"/>
        <w:gridCol w:w="105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2702"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工作内容</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u w:val="none" w:color="auto"/>
              </w:rPr>
              <w:t>自查项目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position w:val="4"/>
                <w:u w:val="none" w:color="auto"/>
              </w:rPr>
              <w:t>影 响 识 别</w:t>
            </w:r>
            <w:r>
              <w:rPr>
                <w:b w:val="0"/>
                <w:bCs w:val="0"/>
                <w:position w:val="-7"/>
                <w:u w:val="none" w:color="auto"/>
              </w:rPr>
              <w:drawing>
                <wp:inline distT="0" distB="0" distL="0" distR="0">
                  <wp:extent cx="132080" cy="0"/>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149"/>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150"/>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151"/>
                          <a:stretch>
                            <a:fillRect/>
                          </a:stretch>
                        </pic:blipFill>
                        <pic:spPr>
                          <a:xfrm>
                            <a:off x="0" y="0"/>
                            <a:ext cx="132080" cy="0"/>
                          </a:xfrm>
                          <a:prstGeom prst="rect">
                            <a:avLst/>
                          </a:prstGeom>
                        </pic:spPr>
                      </pic:pic>
                    </a:graphicData>
                  </a:graphic>
                </wp:inline>
              </w:drawing>
            </w: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影响类型</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水污染影响型</w:t>
            </w:r>
            <w:r>
              <w:rPr>
                <w:rFonts w:ascii="MS Gothic" w:hAnsi="MS Gothic" w:eastAsia="MS Gothic" w:cs="MS Gothic"/>
                <w:b w:val="0"/>
                <w:bCs w:val="0"/>
                <w:spacing w:val="5"/>
                <w:u w:val="none" w:color="auto"/>
              </w:rPr>
              <w:t>☑</w:t>
            </w:r>
            <w:r>
              <w:rPr>
                <w:b w:val="0"/>
                <w:bCs w:val="0"/>
                <w:spacing w:val="5"/>
                <w:u w:val="none" w:color="auto"/>
              </w:rPr>
              <w:t>;</w:t>
            </w:r>
            <w:r>
              <w:rPr>
                <w:b w:val="0"/>
                <w:bCs w:val="0"/>
                <w:spacing w:val="78"/>
                <w:u w:val="none" w:color="auto"/>
              </w:rPr>
              <w:t xml:space="preserve"> </w:t>
            </w:r>
            <w:r>
              <w:rPr>
                <w:b w:val="0"/>
                <w:bCs w:val="0"/>
                <w:spacing w:val="5"/>
                <w:u w:val="none" w:color="auto"/>
              </w:rPr>
              <w:t>水文要素影响型□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水环境保护目</w:t>
            </w:r>
            <w:r>
              <w:rPr>
                <w:b w:val="0"/>
                <w:bCs w:val="0"/>
                <w:u w:val="none" w:color="auto"/>
              </w:rPr>
              <w:t>标</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饮用水水源保护区□;饮用水取水口□;涉水的自然保护区□;</w:t>
            </w:r>
            <w:r>
              <w:rPr>
                <w:b w:val="0"/>
                <w:bCs w:val="0"/>
                <w:spacing w:val="60"/>
                <w:u w:val="none" w:color="auto"/>
              </w:rPr>
              <w:t xml:space="preserve"> </w:t>
            </w:r>
            <w:r>
              <w:rPr>
                <w:b w:val="0"/>
                <w:bCs w:val="0"/>
                <w:spacing w:val="4"/>
                <w:u w:val="none" w:color="auto"/>
              </w:rPr>
              <w:t>重要</w:t>
            </w:r>
            <w:r>
              <w:rPr>
                <w:b w:val="0"/>
                <w:bCs w:val="0"/>
                <w:spacing w:val="6"/>
                <w:u w:val="none" w:color="auto"/>
              </w:rPr>
              <w:t>湿地□;重点保护与珍稀水生生物的栖息地</w:t>
            </w:r>
            <w:r>
              <w:rPr>
                <w:rFonts w:hint="eastAsia"/>
                <w:b w:val="0"/>
                <w:bCs w:val="0"/>
                <w:spacing w:val="6"/>
                <w:u w:val="none" w:color="auto"/>
                <w:lang w:eastAsia="zh-CN"/>
              </w:rPr>
              <w:t>□</w:t>
            </w:r>
            <w:r>
              <w:rPr>
                <w:b w:val="0"/>
                <w:bCs w:val="0"/>
                <w:spacing w:val="6"/>
                <w:u w:val="none" w:color="auto"/>
              </w:rPr>
              <w:t>;重要水生生物的自然</w:t>
            </w:r>
            <w:r>
              <w:rPr>
                <w:b w:val="0"/>
                <w:bCs w:val="0"/>
                <w:spacing w:val="8"/>
                <w:u w:val="none" w:color="auto"/>
              </w:rPr>
              <w:t>产卵场及索饵场、越冬场和洄游通道、天然渔场等渔业水体</w:t>
            </w:r>
            <w:r>
              <w:rPr>
                <w:rFonts w:hint="eastAsia"/>
                <w:b w:val="0"/>
                <w:bCs w:val="0"/>
                <w:spacing w:val="8"/>
                <w:u w:val="none" w:color="auto"/>
                <w:lang w:eastAsia="zh-CN"/>
              </w:rPr>
              <w:t>□</w:t>
            </w:r>
            <w:r>
              <w:rPr>
                <w:b w:val="0"/>
                <w:bCs w:val="0"/>
                <w:spacing w:val="7"/>
                <w:u w:val="none" w:color="auto"/>
              </w:rPr>
              <w:t>;涉水</w:t>
            </w:r>
            <w:r>
              <w:rPr>
                <w:b w:val="0"/>
                <w:bCs w:val="0"/>
                <w:spacing w:val="2"/>
                <w:u w:val="none" w:color="auto"/>
              </w:rPr>
              <w:t>的风景名胜区□;其他□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影响途径</w:t>
            </w: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水污染影响型</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水文要素影响型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u w:val="none" w:color="auto"/>
              </w:rPr>
              <w:t>直接排放□;间接排放</w:t>
            </w:r>
            <w:r>
              <w:rPr>
                <w:rFonts w:ascii="MS Gothic" w:hAnsi="MS Gothic" w:eastAsia="MS Gothic" w:cs="MS Gothic"/>
                <w:b w:val="0"/>
                <w:bCs w:val="0"/>
                <w:u w:val="none" w:color="auto"/>
              </w:rPr>
              <w:t>☑</w:t>
            </w:r>
            <w:r>
              <w:rPr>
                <w:b w:val="0"/>
                <w:bCs w:val="0"/>
                <w:u w:val="none" w:color="auto"/>
              </w:rPr>
              <w:t>;其他□</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
                <w:u w:val="none" w:color="auto"/>
              </w:rPr>
              <w:t>水温□;径流□;水域面积□</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影响因子</w:t>
            </w: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持久性污染物□;有毒有害污染物</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MS Gothic" w:hAnsi="MS Gothic" w:eastAsia="MS Gothic" w:cs="MS Gothic"/>
                <w:b w:val="0"/>
                <w:bCs w:val="0"/>
                <w:u w:val="none" w:color="auto"/>
              </w:rPr>
            </w:pPr>
            <w:r>
              <w:rPr>
                <w:b w:val="0"/>
                <w:bCs w:val="0"/>
                <w:spacing w:val="-4"/>
                <w:u w:val="none" w:color="auto"/>
              </w:rPr>
              <w:t>□;非持久性污染物</w:t>
            </w:r>
            <w:r>
              <w:rPr>
                <w:rFonts w:ascii="MS Gothic" w:hAnsi="MS Gothic" w:eastAsia="MS Gothic" w:cs="MS Gothic"/>
                <w:b w:val="0"/>
                <w:bCs w:val="0"/>
                <w:spacing w:val="-4"/>
                <w:u w:val="none" w:color="auto"/>
              </w:rPr>
              <w:t>☑</w:t>
            </w:r>
            <w:r>
              <w:rPr>
                <w:b w:val="0"/>
                <w:bCs w:val="0"/>
                <w:spacing w:val="-4"/>
                <w:u w:val="none" w:color="auto"/>
              </w:rPr>
              <w:t>;</w:t>
            </w:r>
            <w:r>
              <w:rPr>
                <w:rFonts w:ascii="Times New Roman" w:hAnsi="Times New Roman" w:eastAsia="Times New Roman" w:cs="Times New Roman"/>
                <w:b w:val="0"/>
                <w:bCs w:val="0"/>
                <w:spacing w:val="-1"/>
                <w:u w:val="none" w:color="auto"/>
              </w:rPr>
              <w:t>pH</w:t>
            </w:r>
            <w:r>
              <w:rPr>
                <w:rFonts w:ascii="Times New Roman" w:hAnsi="Times New Roman" w:eastAsia="Times New Roman" w:cs="Times New Roman"/>
                <w:b w:val="0"/>
                <w:bCs w:val="0"/>
                <w:spacing w:val="26"/>
                <w:u w:val="none" w:color="auto"/>
              </w:rPr>
              <w:t xml:space="preserve"> </w:t>
            </w:r>
            <w:r>
              <w:rPr>
                <w:b w:val="0"/>
                <w:bCs w:val="0"/>
                <w:spacing w:val="-1"/>
                <w:u w:val="none" w:color="auto"/>
              </w:rPr>
              <w:t>值□;</w:t>
            </w:r>
            <w:r>
              <w:rPr>
                <w:b w:val="0"/>
                <w:bCs w:val="0"/>
                <w:spacing w:val="61"/>
                <w:u w:val="none" w:color="auto"/>
              </w:rPr>
              <w:t xml:space="preserve"> </w:t>
            </w:r>
            <w:r>
              <w:rPr>
                <w:b w:val="0"/>
                <w:bCs w:val="0"/>
                <w:spacing w:val="-1"/>
                <w:u w:val="none" w:color="auto"/>
              </w:rPr>
              <w:t>热污染□;</w:t>
            </w:r>
            <w:r>
              <w:rPr>
                <w:b w:val="0"/>
                <w:bCs w:val="0"/>
                <w:spacing w:val="69"/>
                <w:u w:val="none" w:color="auto"/>
              </w:rPr>
              <w:t xml:space="preserve"> </w:t>
            </w:r>
            <w:r>
              <w:rPr>
                <w:b w:val="0"/>
                <w:bCs w:val="0"/>
                <w:spacing w:val="-1"/>
                <w:u w:val="none" w:color="auto"/>
              </w:rPr>
              <w:t>富营养化□;</w:t>
            </w:r>
            <w:r>
              <w:rPr>
                <w:b w:val="0"/>
                <w:bCs w:val="0"/>
                <w:spacing w:val="6"/>
                <w:u w:val="none" w:color="auto"/>
              </w:rPr>
              <w:t>其他</w:t>
            </w:r>
            <w:r>
              <w:rPr>
                <w:rFonts w:ascii="MS Gothic" w:hAnsi="MS Gothic" w:eastAsia="MS Gothic" w:cs="MS Gothic"/>
                <w:b w:val="0"/>
                <w:bCs w:val="0"/>
                <w:spacing w:val="6"/>
                <w:u w:val="none" w:color="auto"/>
              </w:rPr>
              <w:t>☑</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3"/>
                <w:u w:val="none" w:color="auto"/>
              </w:rPr>
              <w:t>水温□;水位（水深）</w:t>
            </w:r>
            <w:r>
              <w:rPr>
                <w:rFonts w:hint="eastAsia"/>
                <w:b w:val="0"/>
                <w:bCs w:val="0"/>
                <w:spacing w:val="-3"/>
                <w:u w:val="none" w:color="auto"/>
                <w:lang w:eastAsia="zh-CN"/>
              </w:rPr>
              <w:t>□</w:t>
            </w:r>
            <w:r>
              <w:rPr>
                <w:b w:val="0"/>
                <w:bCs w:val="0"/>
                <w:spacing w:val="-3"/>
                <w:u w:val="none" w:color="auto"/>
              </w:rPr>
              <w:t>;流速</w:t>
            </w:r>
            <w:r>
              <w:rPr>
                <w:b w:val="0"/>
                <w:bCs w:val="0"/>
                <w:u w:val="none" w:color="auto"/>
              </w:rPr>
              <w:t xml:space="preserve"> </w:t>
            </w:r>
            <w:r>
              <w:rPr>
                <w:b w:val="0"/>
                <w:bCs w:val="0"/>
                <w:spacing w:val="-8"/>
                <w:u w:val="none" w:color="auto"/>
              </w:rPr>
              <w:t>□;流量□;</w:t>
            </w:r>
            <w:r>
              <w:rPr>
                <w:b w:val="0"/>
                <w:bCs w:val="0"/>
                <w:spacing w:val="65"/>
                <w:u w:val="none" w:color="auto"/>
              </w:rPr>
              <w:t xml:space="preserve"> </w:t>
            </w:r>
            <w:r>
              <w:rPr>
                <w:b w:val="0"/>
                <w:bCs w:val="0"/>
                <w:spacing w:val="-8"/>
                <w:u w:val="none" w:color="auto"/>
              </w:rPr>
              <w:t>其他□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2702" w:type="dxa"/>
            <w:gridSpan w:val="2"/>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评价等级</w:t>
            </w: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水污染影响型</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水文要素影响型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2702" w:type="dxa"/>
            <w:gridSpan w:val="2"/>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MS Gothic" w:hAnsi="MS Gothic" w:eastAsia="MS Gothic" w:cs="MS Gothic"/>
                <w:b w:val="0"/>
                <w:bCs w:val="0"/>
                <w:u w:val="none" w:color="auto"/>
              </w:rPr>
            </w:pPr>
            <w:r>
              <w:rPr>
                <w:b w:val="0"/>
                <w:bCs w:val="0"/>
                <w:spacing w:val="-5"/>
                <w:u w:val="none" w:color="auto"/>
              </w:rPr>
              <w:t>一级□;</w:t>
            </w:r>
            <w:r>
              <w:rPr>
                <w:b w:val="0"/>
                <w:bCs w:val="0"/>
                <w:spacing w:val="68"/>
                <w:u w:val="none" w:color="auto"/>
              </w:rPr>
              <w:t xml:space="preserve"> </w:t>
            </w:r>
            <w:r>
              <w:rPr>
                <w:b w:val="0"/>
                <w:bCs w:val="0"/>
                <w:spacing w:val="-5"/>
                <w:u w:val="none" w:color="auto"/>
              </w:rPr>
              <w:t>二级□;三级</w:t>
            </w:r>
            <w:r>
              <w:rPr>
                <w:b w:val="0"/>
                <w:bCs w:val="0"/>
                <w:spacing w:val="-45"/>
                <w:u w:val="none" w:color="auto"/>
              </w:rPr>
              <w:t xml:space="preserve"> </w:t>
            </w:r>
            <w:r>
              <w:rPr>
                <w:rFonts w:ascii="Times New Roman" w:hAnsi="Times New Roman" w:eastAsia="Times New Roman" w:cs="Times New Roman"/>
                <w:b w:val="0"/>
                <w:bCs w:val="0"/>
                <w:spacing w:val="-5"/>
                <w:u w:val="none" w:color="auto"/>
              </w:rPr>
              <w:t>A</w:t>
            </w:r>
            <w:r>
              <w:rPr>
                <w:b w:val="0"/>
                <w:bCs w:val="0"/>
                <w:spacing w:val="-5"/>
                <w:u w:val="none" w:color="auto"/>
              </w:rPr>
              <w:t>□;</w:t>
            </w:r>
            <w:r>
              <w:rPr>
                <w:b w:val="0"/>
                <w:bCs w:val="0"/>
                <w:spacing w:val="4"/>
                <w:u w:val="none" w:color="auto"/>
              </w:rPr>
              <w:t>三级</w:t>
            </w:r>
            <w:r>
              <w:rPr>
                <w:b w:val="0"/>
                <w:bCs w:val="0"/>
                <w:spacing w:val="-39"/>
                <w:u w:val="none" w:color="auto"/>
              </w:rPr>
              <w:t xml:space="preserve"> </w:t>
            </w:r>
            <w:r>
              <w:rPr>
                <w:rFonts w:ascii="Times New Roman" w:hAnsi="Times New Roman" w:eastAsia="Times New Roman" w:cs="Times New Roman"/>
                <w:b w:val="0"/>
                <w:bCs w:val="0"/>
                <w:spacing w:val="4"/>
                <w:u w:val="none" w:color="auto"/>
              </w:rPr>
              <w:t>B</w:t>
            </w:r>
            <w:r>
              <w:rPr>
                <w:rFonts w:ascii="MS Gothic" w:hAnsi="MS Gothic" w:eastAsia="MS Gothic" w:cs="MS Gothic"/>
                <w:b w:val="0"/>
                <w:bCs w:val="0"/>
                <w:spacing w:val="4"/>
                <w:u w:val="none" w:color="auto"/>
              </w:rPr>
              <w:t>☑</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3"/>
                <w:u w:val="none" w:color="auto"/>
              </w:rPr>
              <w:t>一级□;二级□;</w:t>
            </w:r>
            <w:r>
              <w:rPr>
                <w:b w:val="0"/>
                <w:bCs w:val="0"/>
                <w:spacing w:val="64"/>
                <w:u w:val="none" w:color="auto"/>
              </w:rPr>
              <w:t xml:space="preserve"> </w:t>
            </w:r>
            <w:r>
              <w:rPr>
                <w:b w:val="0"/>
                <w:bCs w:val="0"/>
                <w:spacing w:val="-3"/>
                <w:u w:val="none" w:color="auto"/>
              </w:rPr>
              <w:t>三级□</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position w:val="3"/>
                <w:u w:val="none" w:color="auto"/>
              </w:rPr>
              <w:t>现 状 调 查</w:t>
            </w:r>
            <w:r>
              <w:rPr>
                <w:b w:val="0"/>
                <w:bCs w:val="0"/>
                <w:position w:val="-7"/>
                <w:u w:val="none" w:color="auto"/>
              </w:rPr>
              <w:drawing>
                <wp:inline distT="0" distB="0" distL="0" distR="0">
                  <wp:extent cx="132080" cy="0"/>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152"/>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153"/>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154"/>
                          <a:stretch>
                            <a:fillRect/>
                          </a:stretch>
                        </pic:blipFill>
                        <pic:spPr>
                          <a:xfrm>
                            <a:off x="0" y="0"/>
                            <a:ext cx="132080" cy="0"/>
                          </a:xfrm>
                          <a:prstGeom prst="rect">
                            <a:avLst/>
                          </a:prstGeom>
                        </pic:spPr>
                      </pic:pic>
                    </a:graphicData>
                  </a:graphic>
                </wp:inline>
              </w:drawing>
            </w:r>
          </w:p>
        </w:tc>
        <w:tc>
          <w:tcPr>
            <w:tcW w:w="16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区域污染源</w:t>
            </w: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调查项目</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数据来源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849"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
                <w:u w:val="none" w:color="auto"/>
              </w:rPr>
              <w:t>已建□;在建□;</w:t>
            </w:r>
            <w:r>
              <w:rPr>
                <w:b w:val="0"/>
                <w:bCs w:val="0"/>
                <w:spacing w:val="4"/>
                <w:u w:val="none" w:color="auto"/>
              </w:rPr>
              <w:t xml:space="preserve"> </w:t>
            </w:r>
            <w:r>
              <w:rPr>
                <w:b w:val="0"/>
                <w:bCs w:val="0"/>
                <w:spacing w:val="-2"/>
                <w:u w:val="none" w:color="auto"/>
              </w:rPr>
              <w:t>拟建□;</w:t>
            </w:r>
            <w:r>
              <w:rPr>
                <w:b w:val="0"/>
                <w:bCs w:val="0"/>
                <w:spacing w:val="67"/>
                <w:u w:val="none" w:color="auto"/>
              </w:rPr>
              <w:t xml:space="preserve"> </w:t>
            </w:r>
            <w:r>
              <w:rPr>
                <w:b w:val="0"/>
                <w:bCs w:val="0"/>
                <w:spacing w:val="-2"/>
                <w:u w:val="none" w:color="auto"/>
              </w:rPr>
              <w:t>其他</w:t>
            </w:r>
            <w:r>
              <w:rPr>
                <w:b w:val="0"/>
                <w:bCs w:val="0"/>
                <w:position w:val="-4"/>
                <w:u w:val="none" w:color="auto"/>
              </w:rPr>
              <w:drawing>
                <wp:inline distT="0" distB="0" distL="0" distR="0">
                  <wp:extent cx="114300" cy="139700"/>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155"/>
                          <a:stretch>
                            <a:fillRect/>
                          </a:stretch>
                        </pic:blipFill>
                        <pic:spPr>
                          <a:xfrm>
                            <a:off x="0" y="0"/>
                            <a:ext cx="114420" cy="139748"/>
                          </a:xfrm>
                          <a:prstGeom prst="rect">
                            <a:avLst/>
                          </a:prstGeom>
                        </pic:spPr>
                      </pic:pic>
                    </a:graphicData>
                  </a:graphic>
                </wp:inline>
              </w:drawing>
            </w:r>
          </w:p>
        </w:tc>
        <w:tc>
          <w:tcPr>
            <w:tcW w:w="1849"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拟替代的污染源</w:t>
            </w:r>
            <w:r>
              <w:rPr>
                <w:b w:val="0"/>
                <w:bCs w:val="0"/>
                <w:spacing w:val="1"/>
                <w:u w:val="none" w:color="auto"/>
              </w:rPr>
              <w:t xml:space="preserve"> </w:t>
            </w:r>
            <w:r>
              <w:rPr>
                <w:b w:val="0"/>
                <w:bCs w:val="0"/>
                <w:u w:val="none" w:color="auto"/>
              </w:rPr>
              <w:t>□</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
                <w:u w:val="none" w:color="auto"/>
              </w:rPr>
              <w:t>排污许可证□;</w:t>
            </w:r>
            <w:r>
              <w:rPr>
                <w:b w:val="0"/>
                <w:bCs w:val="0"/>
                <w:spacing w:val="49"/>
                <w:u w:val="none" w:color="auto"/>
              </w:rPr>
              <w:t xml:space="preserve"> </w:t>
            </w:r>
            <w:r>
              <w:rPr>
                <w:b w:val="0"/>
                <w:bCs w:val="0"/>
                <w:spacing w:val="1"/>
                <w:u w:val="none" w:color="auto"/>
              </w:rPr>
              <w:t>环评□;</w:t>
            </w:r>
            <w:r>
              <w:rPr>
                <w:b w:val="0"/>
                <w:bCs w:val="0"/>
                <w:spacing w:val="49"/>
                <w:u w:val="none" w:color="auto"/>
              </w:rPr>
              <w:t xml:space="preserve"> </w:t>
            </w:r>
            <w:r>
              <w:rPr>
                <w:b w:val="0"/>
                <w:bCs w:val="0"/>
                <w:spacing w:val="1"/>
                <w:u w:val="none" w:color="auto"/>
              </w:rPr>
              <w:t>环保验</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
                <w:u w:val="none" w:color="auto"/>
              </w:rPr>
              <w:t>收□; 既有实测□; 现场监测□;</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入河排放口数据□;</w:t>
            </w:r>
            <w:r>
              <w:rPr>
                <w:b w:val="0"/>
                <w:bCs w:val="0"/>
                <w:spacing w:val="71"/>
                <w:u w:val="none" w:color="auto"/>
              </w:rPr>
              <w:t xml:space="preserve"> </w:t>
            </w:r>
            <w:r>
              <w:rPr>
                <w:b w:val="0"/>
                <w:bCs w:val="0"/>
                <w:spacing w:val="4"/>
                <w:u w:val="none" w:color="auto"/>
              </w:rPr>
              <w:t>其他□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受影响水体水</w:t>
            </w:r>
            <w:r>
              <w:rPr>
                <w:b w:val="0"/>
                <w:bCs w:val="0"/>
                <w:spacing w:val="1"/>
                <w:u w:val="none" w:color="auto"/>
              </w:rPr>
              <w:t xml:space="preserve"> </w:t>
            </w:r>
            <w:r>
              <w:rPr>
                <w:b w:val="0"/>
                <w:bCs w:val="0"/>
                <w:spacing w:val="8"/>
                <w:u w:val="none" w:color="auto"/>
              </w:rPr>
              <w:t>环境质量</w:t>
            </w: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调查时期</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数据来源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丰水期</w:t>
            </w:r>
            <w:r>
              <w:rPr>
                <w:b w:val="0"/>
                <w:bCs w:val="0"/>
                <w:position w:val="-4"/>
                <w:u w:val="none" w:color="auto"/>
              </w:rPr>
              <w:drawing>
                <wp:inline distT="0" distB="0" distL="0" distR="0">
                  <wp:extent cx="114935" cy="139700"/>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156"/>
                          <a:stretch>
                            <a:fillRect/>
                          </a:stretch>
                        </pic:blipFill>
                        <pic:spPr>
                          <a:xfrm>
                            <a:off x="0" y="0"/>
                            <a:ext cx="114938" cy="139748"/>
                          </a:xfrm>
                          <a:prstGeom prst="rect">
                            <a:avLst/>
                          </a:prstGeom>
                        </pic:spPr>
                      </pic:pic>
                    </a:graphicData>
                  </a:graphic>
                </wp:inline>
              </w:drawing>
            </w:r>
            <w:r>
              <w:rPr>
                <w:b w:val="0"/>
                <w:bCs w:val="0"/>
                <w:spacing w:val="-61"/>
                <w:u w:val="none" w:color="auto"/>
              </w:rPr>
              <w:t xml:space="preserve"> </w:t>
            </w:r>
            <w:r>
              <w:rPr>
                <w:b w:val="0"/>
                <w:bCs w:val="0"/>
                <w:spacing w:val="4"/>
                <w:u w:val="none" w:color="auto"/>
              </w:rPr>
              <w:t>；平水期</w:t>
            </w:r>
            <w:r>
              <w:rPr>
                <w:b w:val="0"/>
                <w:bCs w:val="0"/>
                <w:position w:val="-4"/>
                <w:u w:val="none" w:color="auto"/>
              </w:rPr>
              <w:drawing>
                <wp:inline distT="0" distB="0" distL="0" distR="0">
                  <wp:extent cx="114935" cy="13970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157"/>
                          <a:stretch>
                            <a:fillRect/>
                          </a:stretch>
                        </pic:blipFill>
                        <pic:spPr>
                          <a:xfrm>
                            <a:off x="0" y="0"/>
                            <a:ext cx="114938" cy="139748"/>
                          </a:xfrm>
                          <a:prstGeom prst="rect">
                            <a:avLst/>
                          </a:prstGeom>
                        </pic:spPr>
                      </pic:pic>
                    </a:graphicData>
                  </a:graphic>
                </wp:inline>
              </w:drawing>
            </w:r>
            <w:r>
              <w:rPr>
                <w:b w:val="0"/>
                <w:bCs w:val="0"/>
                <w:spacing w:val="-67"/>
                <w:u w:val="none" w:color="auto"/>
              </w:rPr>
              <w:t xml:space="preserve"> </w:t>
            </w:r>
            <w:r>
              <w:rPr>
                <w:b w:val="0"/>
                <w:bCs w:val="0"/>
                <w:spacing w:val="4"/>
                <w:u w:val="none" w:color="auto"/>
              </w:rPr>
              <w:t>；枯水期</w:t>
            </w:r>
            <w:r>
              <w:rPr>
                <w:b w:val="0"/>
                <w:bCs w:val="0"/>
                <w:position w:val="-4"/>
                <w:u w:val="none" w:color="auto"/>
              </w:rPr>
              <w:drawing>
                <wp:inline distT="0" distB="0" distL="0" distR="0">
                  <wp:extent cx="114935" cy="13970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158"/>
                          <a:stretch>
                            <a:fillRect/>
                          </a:stretch>
                        </pic:blipFill>
                        <pic:spPr>
                          <a:xfrm>
                            <a:off x="0" y="0"/>
                            <a:ext cx="114938" cy="139748"/>
                          </a:xfrm>
                          <a:prstGeom prst="rect">
                            <a:avLst/>
                          </a:prstGeom>
                        </pic:spPr>
                      </pic:pic>
                    </a:graphicData>
                  </a:graphic>
                </wp:inline>
              </w:drawing>
            </w:r>
            <w:r>
              <w:rPr>
                <w:b w:val="0"/>
                <w:bCs w:val="0"/>
                <w:spacing w:val="-67"/>
                <w:u w:val="none" w:color="auto"/>
              </w:rPr>
              <w:t xml:space="preserve"> </w:t>
            </w:r>
            <w:r>
              <w:rPr>
                <w:b w:val="0"/>
                <w:bCs w:val="0"/>
                <w:spacing w:val="4"/>
                <w:u w:val="none" w:color="auto"/>
              </w:rPr>
              <w:t>；</w:t>
            </w:r>
            <w:r>
              <w:rPr>
                <w:b w:val="0"/>
                <w:bCs w:val="0"/>
                <w:spacing w:val="8"/>
                <w:u w:val="none" w:color="auto"/>
              </w:rPr>
              <w:t>冰封期□</w:t>
            </w:r>
            <w:r>
              <w:rPr>
                <w:b w:val="0"/>
                <w:bCs w:val="0"/>
                <w:spacing w:val="-3"/>
                <w:u w:val="none" w:color="auto"/>
              </w:rPr>
              <w:t>春季□;夏季□;秋季□;冬季□</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生态环境保护主管部门</w:t>
            </w:r>
            <w:r>
              <w:rPr>
                <w:b w:val="0"/>
                <w:bCs w:val="0"/>
                <w:position w:val="-4"/>
                <w:u w:val="none" w:color="auto"/>
              </w:rPr>
              <w:drawing>
                <wp:inline distT="0" distB="0" distL="0" distR="0">
                  <wp:extent cx="115570" cy="139700"/>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159"/>
                          <a:stretch>
                            <a:fillRect/>
                          </a:stretch>
                        </pic:blipFill>
                        <pic:spPr>
                          <a:xfrm>
                            <a:off x="0" y="0"/>
                            <a:ext cx="116005" cy="139748"/>
                          </a:xfrm>
                          <a:prstGeom prst="rect">
                            <a:avLst/>
                          </a:prstGeom>
                        </pic:spPr>
                      </pic:pic>
                    </a:graphicData>
                  </a:graphic>
                </wp:inline>
              </w:drawing>
            </w:r>
            <w:r>
              <w:rPr>
                <w:b w:val="0"/>
                <w:bCs w:val="0"/>
                <w:spacing w:val="-64"/>
                <w:u w:val="none" w:color="auto"/>
              </w:rPr>
              <w:t xml:space="preserve"> </w:t>
            </w:r>
            <w:r>
              <w:rPr>
                <w:b w:val="0"/>
                <w:bCs w:val="0"/>
                <w:spacing w:val="7"/>
                <w:u w:val="none" w:color="auto"/>
              </w:rPr>
              <w:t>；补充</w:t>
            </w:r>
            <w:r>
              <w:rPr>
                <w:b w:val="0"/>
                <w:bCs w:val="0"/>
                <w:u w:val="none" w:color="auto"/>
              </w:rPr>
              <w:t xml:space="preserve"> </w:t>
            </w:r>
            <w:r>
              <w:rPr>
                <w:b w:val="0"/>
                <w:bCs w:val="0"/>
                <w:spacing w:val="-2"/>
                <w:u w:val="none" w:color="auto"/>
              </w:rPr>
              <w:t>监测□;其他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u w:val="none" w:color="auto"/>
              </w:rPr>
              <w:t>区域水资源开</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发利用状况</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3"/>
                <w:u w:val="none" w:color="auto"/>
              </w:rPr>
              <w:t>未开发□;开发量</w:t>
            </w:r>
            <w:r>
              <w:rPr>
                <w:b w:val="0"/>
                <w:bCs w:val="0"/>
                <w:spacing w:val="-40"/>
                <w:u w:val="none" w:color="auto"/>
              </w:rPr>
              <w:t xml:space="preserve"> </w:t>
            </w:r>
            <w:r>
              <w:rPr>
                <w:rFonts w:ascii="Times New Roman" w:hAnsi="Times New Roman" w:eastAsia="Times New Roman" w:cs="Times New Roman"/>
                <w:b w:val="0"/>
                <w:bCs w:val="0"/>
                <w:spacing w:val="3"/>
                <w:u w:val="none" w:color="auto"/>
              </w:rPr>
              <w:t>40%</w:t>
            </w:r>
            <w:r>
              <w:rPr>
                <w:b w:val="0"/>
                <w:bCs w:val="0"/>
                <w:spacing w:val="3"/>
                <w:u w:val="none" w:color="auto"/>
              </w:rPr>
              <w:t>以下</w:t>
            </w:r>
            <w:r>
              <w:rPr>
                <w:rFonts w:hint="eastAsia"/>
                <w:b w:val="0"/>
                <w:bCs w:val="0"/>
                <w:spacing w:val="3"/>
                <w:u w:val="none" w:color="auto"/>
                <w:lang w:eastAsia="zh-CN"/>
              </w:rPr>
              <w:t>☑</w:t>
            </w:r>
            <w:r>
              <w:rPr>
                <w:b w:val="0"/>
                <w:bCs w:val="0"/>
                <w:spacing w:val="3"/>
                <w:u w:val="none" w:color="auto"/>
              </w:rPr>
              <w:t>;开发量</w:t>
            </w:r>
            <w:r>
              <w:rPr>
                <w:b w:val="0"/>
                <w:bCs w:val="0"/>
                <w:spacing w:val="-42"/>
                <w:u w:val="none" w:color="auto"/>
              </w:rPr>
              <w:t xml:space="preserve"> </w:t>
            </w:r>
            <w:r>
              <w:rPr>
                <w:rFonts w:ascii="Times New Roman" w:hAnsi="Times New Roman" w:eastAsia="Times New Roman" w:cs="Times New Roman"/>
                <w:b w:val="0"/>
                <w:bCs w:val="0"/>
                <w:spacing w:val="3"/>
                <w:u w:val="none" w:color="auto"/>
              </w:rPr>
              <w:t>40</w:t>
            </w:r>
            <w:r>
              <w:rPr>
                <w:rFonts w:ascii="Times New Roman" w:hAnsi="Times New Roman" w:eastAsia="Times New Roman" w:cs="Times New Roman"/>
                <w:b w:val="0"/>
                <w:bCs w:val="0"/>
                <w:spacing w:val="2"/>
                <w:u w:val="none" w:color="auto"/>
              </w:rPr>
              <w:t>%</w:t>
            </w:r>
            <w:r>
              <w:rPr>
                <w:b w:val="0"/>
                <w:bCs w:val="0"/>
                <w:spacing w:val="2"/>
                <w:u w:val="none" w:color="auto"/>
              </w:rPr>
              <w:t>以上</w:t>
            </w:r>
            <w:r>
              <w:rPr>
                <w:b w:val="0"/>
                <w:bCs w:val="0"/>
                <w:spacing w:val="-2"/>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水文情势调查</w:t>
            </w: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调查时期</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数据来源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3698"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u w:val="none" w:color="auto"/>
              </w:rPr>
              <w:t>丰水期□;平水期□;枯水期</w:t>
            </w:r>
            <w:r>
              <w:rPr>
                <w:b w:val="0"/>
                <w:bCs w:val="0"/>
                <w:position w:val="-4"/>
                <w:u w:val="none" w:color="auto"/>
              </w:rPr>
              <w:drawing>
                <wp:inline distT="0" distB="0" distL="0" distR="0">
                  <wp:extent cx="107950" cy="139700"/>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160"/>
                          <a:stretch>
                            <a:fillRect/>
                          </a:stretch>
                        </pic:blipFill>
                        <pic:spPr>
                          <a:xfrm>
                            <a:off x="0" y="0"/>
                            <a:ext cx="108520" cy="139748"/>
                          </a:xfrm>
                          <a:prstGeom prst="rect">
                            <a:avLst/>
                          </a:prstGeom>
                        </pic:spPr>
                      </pic:pic>
                    </a:graphicData>
                  </a:graphic>
                </wp:inline>
              </w:drawing>
            </w:r>
            <w:r>
              <w:rPr>
                <w:b w:val="0"/>
                <w:bCs w:val="0"/>
                <w:spacing w:val="-55"/>
                <w:u w:val="none" w:color="auto"/>
              </w:rPr>
              <w:t xml:space="preserve"> </w:t>
            </w:r>
            <w:r>
              <w:rPr>
                <w:b w:val="0"/>
                <w:bCs w:val="0"/>
                <w:u w:val="none" w:color="auto"/>
              </w:rPr>
              <w:t>；</w:t>
            </w:r>
            <w:r>
              <w:rPr>
                <w:b w:val="0"/>
                <w:bCs w:val="0"/>
                <w:spacing w:val="7"/>
                <w:u w:val="none" w:color="auto"/>
              </w:rPr>
              <w:t>冰封期</w:t>
            </w:r>
            <w:r>
              <w:rPr>
                <w:b w:val="0"/>
                <w:bCs w:val="0"/>
                <w:spacing w:val="-1"/>
                <w:u w:val="none" w:color="auto"/>
              </w:rPr>
              <w:t>春季□;夏季□;秋季</w:t>
            </w:r>
            <w:r>
              <w:rPr>
                <w:b w:val="0"/>
                <w:bCs w:val="0"/>
                <w:position w:val="-4"/>
                <w:u w:val="none" w:color="auto"/>
              </w:rPr>
              <w:drawing>
                <wp:inline distT="0" distB="0" distL="0" distR="0">
                  <wp:extent cx="106680" cy="13970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161"/>
                          <a:stretch>
                            <a:fillRect/>
                          </a:stretch>
                        </pic:blipFill>
                        <pic:spPr>
                          <a:xfrm>
                            <a:off x="0" y="0"/>
                            <a:ext cx="106988" cy="139749"/>
                          </a:xfrm>
                          <a:prstGeom prst="rect">
                            <a:avLst/>
                          </a:prstGeom>
                        </pic:spPr>
                      </pic:pic>
                    </a:graphicData>
                  </a:graphic>
                </wp:inline>
              </w:drawing>
            </w:r>
            <w:r>
              <w:rPr>
                <w:b w:val="0"/>
                <w:bCs w:val="0"/>
                <w:spacing w:val="-1"/>
                <w:u w:val="none" w:color="auto"/>
              </w:rPr>
              <w:t>；冬季□</w:t>
            </w:r>
          </w:p>
        </w:tc>
        <w:tc>
          <w:tcPr>
            <w:tcW w:w="3435" w:type="dxa"/>
            <w:gridSpan w:val="6"/>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
                <w:u w:val="none" w:color="auto"/>
              </w:rPr>
              <w:t>水行政主管部门</w:t>
            </w:r>
            <w:r>
              <w:rPr>
                <w:b w:val="0"/>
                <w:bCs w:val="0"/>
                <w:position w:val="-4"/>
                <w:u w:val="none" w:color="auto"/>
              </w:rPr>
              <w:drawing>
                <wp:inline distT="0" distB="0" distL="0" distR="0">
                  <wp:extent cx="107950" cy="139700"/>
                  <wp:effectExtent l="0" t="0" r="6350" b="1270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162"/>
                          <a:stretch>
                            <a:fillRect/>
                          </a:stretch>
                        </pic:blipFill>
                        <pic:spPr>
                          <a:xfrm>
                            <a:off x="0" y="0"/>
                            <a:ext cx="108535" cy="139748"/>
                          </a:xfrm>
                          <a:prstGeom prst="rect">
                            <a:avLst/>
                          </a:prstGeom>
                        </pic:spPr>
                      </pic:pic>
                    </a:graphicData>
                  </a:graphic>
                </wp:inline>
              </w:drawing>
            </w:r>
            <w:r>
              <w:rPr>
                <w:b w:val="0"/>
                <w:bCs w:val="0"/>
                <w:spacing w:val="1"/>
                <w:u w:val="none" w:color="auto"/>
              </w:rPr>
              <w:t>；补充监测</w:t>
            </w:r>
            <w:r>
              <w:rPr>
                <w:b w:val="0"/>
                <w:bCs w:val="0"/>
                <w:position w:val="-4"/>
                <w:u w:val="none" w:color="auto"/>
              </w:rPr>
              <w:drawing>
                <wp:inline distT="0" distB="0" distL="0" distR="0">
                  <wp:extent cx="107950" cy="13970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163"/>
                          <a:stretch>
                            <a:fillRect/>
                          </a:stretch>
                        </pic:blipFill>
                        <pic:spPr>
                          <a:xfrm>
                            <a:off x="0" y="0"/>
                            <a:ext cx="108535" cy="139748"/>
                          </a:xfrm>
                          <a:prstGeom prst="rect">
                            <a:avLst/>
                          </a:prstGeom>
                        </pic:spPr>
                      </pic:pic>
                    </a:graphicData>
                  </a:graphic>
                </wp:inline>
              </w:drawing>
            </w:r>
            <w:r>
              <w:rPr>
                <w:b w:val="0"/>
                <w:bCs w:val="0"/>
                <w:spacing w:val="1"/>
                <w:u w:val="none" w:color="auto"/>
              </w:rPr>
              <w:t>；</w:t>
            </w:r>
            <w:r>
              <w:rPr>
                <w:b w:val="0"/>
                <w:bCs w:val="0"/>
                <w:spacing w:val="6"/>
                <w:u w:val="none" w:color="auto"/>
              </w:rPr>
              <w:t xml:space="preserve"> </w:t>
            </w:r>
            <w:r>
              <w:rPr>
                <w:b w:val="0"/>
                <w:bCs w:val="0"/>
                <w:spacing w:val="5"/>
                <w:u w:val="none" w:color="auto"/>
              </w:rPr>
              <w:t>其他</w:t>
            </w:r>
            <w:r>
              <w:rPr>
                <w:b w:val="0"/>
                <w:bCs w:val="0"/>
                <w:position w:val="-4"/>
                <w:u w:val="none" w:color="auto"/>
              </w:rPr>
              <w:drawing>
                <wp:inline distT="0" distB="0" distL="0" distR="0">
                  <wp:extent cx="106680" cy="139700"/>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164"/>
                          <a:stretch>
                            <a:fillRect/>
                          </a:stretch>
                        </pic:blipFill>
                        <pic:spPr>
                          <a:xfrm>
                            <a:off x="0" y="0"/>
                            <a:ext cx="106981" cy="13974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补充监测</w:t>
            </w:r>
          </w:p>
        </w:tc>
        <w:tc>
          <w:tcPr>
            <w:tcW w:w="2467"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监测时期</w:t>
            </w:r>
          </w:p>
        </w:tc>
        <w:tc>
          <w:tcPr>
            <w:tcW w:w="2467" w:type="dxa"/>
            <w:gridSpan w:val="5"/>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监测因子</w:t>
            </w:r>
          </w:p>
        </w:tc>
        <w:tc>
          <w:tcPr>
            <w:tcW w:w="2199"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监测断面或点位</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2467"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2"/>
                <w:u w:val="none" w:color="auto"/>
              </w:rPr>
              <w:t>丰水期□;平水期□;</w:t>
            </w:r>
            <w:r>
              <w:rPr>
                <w:b w:val="0"/>
                <w:bCs w:val="0"/>
                <w:spacing w:val="2"/>
                <w:u w:val="none" w:color="auto"/>
              </w:rPr>
              <w:t>枯水期□;冰封期□</w:t>
            </w:r>
            <w:r>
              <w:rPr>
                <w:b w:val="0"/>
                <w:bCs w:val="0"/>
                <w:spacing w:val="-3"/>
                <w:u w:val="none" w:color="auto"/>
              </w:rPr>
              <w:t>春季□;夏季□;秋季</w:t>
            </w:r>
            <w:r>
              <w:rPr>
                <w:b w:val="0"/>
                <w:bCs w:val="0"/>
                <w:position w:val="-4"/>
                <w:u w:val="none" w:color="auto"/>
              </w:rPr>
              <w:drawing>
                <wp:inline distT="0" distB="0" distL="0" distR="0">
                  <wp:extent cx="95885" cy="139700"/>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165"/>
                          <a:stretch>
                            <a:fillRect/>
                          </a:stretch>
                        </pic:blipFill>
                        <pic:spPr>
                          <a:xfrm>
                            <a:off x="0" y="0"/>
                            <a:ext cx="95953" cy="139749"/>
                          </a:xfrm>
                          <a:prstGeom prst="rect">
                            <a:avLst/>
                          </a:prstGeom>
                        </pic:spPr>
                      </pic:pic>
                    </a:graphicData>
                  </a:graphic>
                </wp:inline>
              </w:drawing>
            </w:r>
            <w:r>
              <w:rPr>
                <w:b w:val="0"/>
                <w:bCs w:val="0"/>
                <w:spacing w:val="-14"/>
                <w:u w:val="none" w:color="auto"/>
              </w:rPr>
              <w:t>;冬季□</w:t>
            </w:r>
          </w:p>
        </w:tc>
        <w:tc>
          <w:tcPr>
            <w:tcW w:w="2467" w:type="dxa"/>
            <w:gridSpan w:val="5"/>
            <w:tcBorders>
              <w:tl2br w:val="nil"/>
              <w:tr2bl w:val="nil"/>
            </w:tcBorders>
            <w:vAlign w:val="center"/>
          </w:tcPr>
          <w:p>
            <w:pPr>
              <w:pStyle w:val="25"/>
              <w:keepNext w:val="0"/>
              <w:keepLines w:val="0"/>
              <w:pageBreakBefore w:val="0"/>
              <w:widowControl/>
              <w:tabs>
                <w:tab w:val="left" w:pos="1034"/>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w:t>
            </w:r>
            <w:r>
              <w:rPr>
                <w:rFonts w:hint="eastAsia"/>
                <w:b w:val="0"/>
                <w:bCs w:val="0"/>
                <w:spacing w:val="-8"/>
                <w:u w:val="none" w:color="auto"/>
                <w:lang w:val="en-US" w:eastAsia="zh-CN"/>
              </w:rPr>
              <w:t xml:space="preserve">  </w:t>
            </w:r>
            <w:r>
              <w:rPr>
                <w:b w:val="0"/>
                <w:bCs w:val="0"/>
                <w:spacing w:val="-8"/>
                <w:u w:val="none" w:color="auto"/>
              </w:rPr>
              <w:t>)</w:t>
            </w:r>
          </w:p>
        </w:tc>
        <w:tc>
          <w:tcPr>
            <w:tcW w:w="2199"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监测断面或点位个</w:t>
            </w:r>
            <w:r>
              <w:rPr>
                <w:b w:val="0"/>
                <w:bCs w:val="0"/>
                <w:spacing w:val="7"/>
                <w:u w:val="none" w:color="auto"/>
              </w:rPr>
              <w:t>数（）个</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position w:val="3"/>
                <w:u w:val="none" w:color="auto"/>
              </w:rPr>
              <w:t>现状评价</w:t>
            </w:r>
            <w:r>
              <w:rPr>
                <w:b w:val="0"/>
                <w:bCs w:val="0"/>
                <w:position w:val="-7"/>
                <w:u w:val="none" w:color="auto"/>
              </w:rPr>
              <w:drawing>
                <wp:inline distT="0" distB="0" distL="0" distR="0">
                  <wp:extent cx="132080" cy="0"/>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166"/>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152"/>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153"/>
                          <a:stretch>
                            <a:fillRect/>
                          </a:stretch>
                        </pic:blipFill>
                        <pic:spPr>
                          <a:xfrm>
                            <a:off x="0" y="0"/>
                            <a:ext cx="132080" cy="0"/>
                          </a:xfrm>
                          <a:prstGeom prst="rect">
                            <a:avLst/>
                          </a:prstGeom>
                        </pic:spPr>
                      </pic:pic>
                    </a:graphicData>
                  </a:graphic>
                </wp:inline>
              </w:drawing>
            </w: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评价范围</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3"/>
                <w:szCs w:val="13"/>
                <w:u w:val="none" w:color="auto"/>
              </w:rPr>
            </w:pPr>
            <w:r>
              <w:rPr>
                <w:b w:val="0"/>
                <w:bCs w:val="0"/>
                <w:spacing w:val="10"/>
                <w:u w:val="none" w:color="auto"/>
              </w:rPr>
              <w:t>河流：长度</w:t>
            </w:r>
            <w:r>
              <w:rPr>
                <w:b w:val="0"/>
                <w:bCs w:val="0"/>
                <w:spacing w:val="-3"/>
                <w:u w:val="none" w:color="auto"/>
              </w:rPr>
              <w:t>（）</w:t>
            </w:r>
            <w:r>
              <w:rPr>
                <w:b w:val="0"/>
                <w:bCs w:val="0"/>
                <w:spacing w:val="-49"/>
                <w:u w:val="none" w:color="auto"/>
              </w:rPr>
              <w:t xml:space="preserve"> </w:t>
            </w:r>
            <w:r>
              <w:rPr>
                <w:rFonts w:ascii="Times New Roman" w:hAnsi="Times New Roman" w:eastAsia="Times New Roman" w:cs="Times New Roman"/>
                <w:b w:val="0"/>
                <w:bCs w:val="0"/>
                <w:u w:val="none" w:color="auto"/>
              </w:rPr>
              <w:t>km</w:t>
            </w:r>
            <w:r>
              <w:rPr>
                <w:b w:val="0"/>
                <w:bCs w:val="0"/>
                <w:spacing w:val="10"/>
                <w:u w:val="none" w:color="auto"/>
              </w:rPr>
              <w:t>；湖库、河口及近岸海域：面积（</w:t>
            </w:r>
            <w:r>
              <w:rPr>
                <w:rFonts w:ascii="Times New Roman" w:hAnsi="Times New Roman" w:eastAsia="Times New Roman" w:cs="Times New Roman"/>
                <w:b w:val="0"/>
                <w:bCs w:val="0"/>
                <w:spacing w:val="10"/>
                <w:u w:val="none" w:color="auto"/>
              </w:rPr>
              <w:t>/</w:t>
            </w:r>
            <w:r>
              <w:rPr>
                <w:b w:val="0"/>
                <w:bCs w:val="0"/>
                <w:spacing w:val="10"/>
                <w:u w:val="none" w:color="auto"/>
              </w:rPr>
              <w:t>）</w:t>
            </w:r>
            <w:r>
              <w:rPr>
                <w:rFonts w:ascii="Times New Roman" w:hAnsi="Times New Roman" w:eastAsia="Times New Roman" w:cs="Times New Roman"/>
                <w:b w:val="0"/>
                <w:bCs w:val="0"/>
                <w:u w:val="none" w:color="auto"/>
              </w:rPr>
              <w:t>km</w:t>
            </w:r>
            <w:r>
              <w:rPr>
                <w:rFonts w:ascii="Times New Roman" w:hAnsi="Times New Roman" w:eastAsia="Times New Roman" w:cs="Times New Roman"/>
                <w:b w:val="0"/>
                <w:bCs w:val="0"/>
                <w:spacing w:val="10"/>
                <w:position w:val="6"/>
                <w:sz w:val="13"/>
                <w:szCs w:val="13"/>
                <w:u w:val="none" w:color="auto"/>
              </w:rPr>
              <w:t>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评价因子</w:t>
            </w:r>
          </w:p>
        </w:tc>
        <w:tc>
          <w:tcPr>
            <w:tcW w:w="7133" w:type="dxa"/>
            <w:gridSpan w:val="12"/>
            <w:tcBorders>
              <w:tl2br w:val="nil"/>
              <w:tr2bl w:val="nil"/>
            </w:tcBorders>
            <w:vAlign w:val="center"/>
          </w:tcPr>
          <w:p>
            <w:pPr>
              <w:pStyle w:val="25"/>
              <w:keepNext w:val="0"/>
              <w:keepLines w:val="0"/>
              <w:pageBreakBefore w:val="0"/>
              <w:widowControl/>
              <w:tabs>
                <w:tab w:val="left" w:pos="918"/>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rFonts w:hint="default" w:ascii="Times New Roman" w:hAnsi="Times New Roman" w:cs="Times New Roman"/>
                <w:b w:val="0"/>
                <w:bCs w:val="0"/>
                <w:spacing w:val="4"/>
                <w:u w:val="none" w:color="auto"/>
              </w:rPr>
              <w:t>（</w:t>
            </w:r>
            <w:r>
              <w:rPr>
                <w:rFonts w:hint="default" w:ascii="Times New Roman" w:hAnsi="Times New Roman" w:eastAsia="Times New Roman" w:cs="Times New Roman"/>
                <w:b w:val="0"/>
                <w:bCs w:val="0"/>
                <w:u w:val="none" w:color="auto"/>
              </w:rPr>
              <w:t>pH</w:t>
            </w:r>
            <w:r>
              <w:rPr>
                <w:rFonts w:hint="default" w:ascii="Times New Roman" w:hAnsi="Times New Roman" w:cs="Times New Roman"/>
                <w:b w:val="0"/>
                <w:bCs w:val="0"/>
                <w:spacing w:val="4"/>
                <w:u w:val="none" w:color="auto"/>
              </w:rPr>
              <w:t>、</w:t>
            </w:r>
            <w:r>
              <w:rPr>
                <w:rFonts w:hint="default" w:ascii="Times New Roman" w:hAnsi="Times New Roman" w:cs="Times New Roman"/>
                <w:b w:val="0"/>
                <w:bCs w:val="0"/>
                <w:spacing w:val="4"/>
                <w:u w:val="none" w:color="auto"/>
                <w:lang w:val="en-US" w:eastAsia="zh-CN"/>
              </w:rPr>
              <w:t>COD</w:t>
            </w:r>
            <w:r>
              <w:rPr>
                <w:rFonts w:hint="default" w:ascii="Times New Roman" w:hAnsi="Times New Roman" w:cs="Times New Roman"/>
                <w:b w:val="0"/>
                <w:bCs w:val="0"/>
                <w:spacing w:val="4"/>
                <w:u w:val="none" w:color="auto"/>
              </w:rPr>
              <w:t>、</w:t>
            </w:r>
            <w:r>
              <w:rPr>
                <w:rFonts w:hint="default" w:ascii="Times New Roman" w:hAnsi="Times New Roman" w:cs="Times New Roman"/>
                <w:b w:val="0"/>
                <w:bCs w:val="0"/>
                <w:spacing w:val="4"/>
                <w:u w:val="none" w:color="auto"/>
                <w:lang w:val="en-US" w:eastAsia="zh-CN"/>
              </w:rPr>
              <w:t>BOD</w:t>
            </w:r>
            <w:r>
              <w:rPr>
                <w:rFonts w:hint="default" w:ascii="Times New Roman" w:hAnsi="Times New Roman" w:cs="Times New Roman"/>
                <w:b w:val="0"/>
                <w:bCs w:val="0"/>
                <w:spacing w:val="4"/>
                <w:u w:val="none" w:color="auto"/>
              </w:rPr>
              <w:t>、</w:t>
            </w:r>
            <w:r>
              <w:rPr>
                <w:rFonts w:hint="eastAsia" w:ascii="Times New Roman" w:hAnsi="Times New Roman" w:cs="Times New Roman"/>
                <w:b w:val="0"/>
                <w:bCs w:val="0"/>
                <w:spacing w:val="4"/>
                <w:u w:val="none" w:color="auto"/>
                <w:lang w:val="en-US" w:eastAsia="zh-CN"/>
              </w:rPr>
              <w:t>SS、NH</w:t>
            </w:r>
            <w:r>
              <w:rPr>
                <w:rFonts w:hint="eastAsia" w:ascii="Times New Roman" w:hAnsi="Times New Roman" w:cs="Times New Roman"/>
                <w:b w:val="0"/>
                <w:bCs w:val="0"/>
                <w:spacing w:val="4"/>
                <w:u w:val="none" w:color="auto"/>
                <w:vertAlign w:val="subscript"/>
                <w:lang w:val="en-US" w:eastAsia="zh-CN"/>
              </w:rPr>
              <w:t>3</w:t>
            </w:r>
            <w:r>
              <w:rPr>
                <w:rFonts w:hint="eastAsia" w:ascii="Times New Roman" w:hAnsi="Times New Roman" w:cs="Times New Roman"/>
                <w:b w:val="0"/>
                <w:bCs w:val="0"/>
                <w:spacing w:val="4"/>
                <w:u w:val="none" w:color="auto"/>
                <w:lang w:val="en-US" w:eastAsia="zh-CN"/>
              </w:rPr>
              <w:t>-N</w:t>
            </w:r>
            <w:r>
              <w:rPr>
                <w:rFonts w:hint="default" w:ascii="Times New Roman" w:hAnsi="Times New Roman" w:cs="Times New Roman"/>
                <w:b w:val="0"/>
                <w:bCs w:val="0"/>
                <w:spacing w:val="4"/>
                <w:u w:val="none" w:color="auto"/>
              </w:rPr>
              <w:t>、</w:t>
            </w:r>
            <w:r>
              <w:rPr>
                <w:rFonts w:hint="eastAsia" w:ascii="Times New Roman" w:hAnsi="Times New Roman" w:cs="Times New Roman"/>
                <w:b w:val="0"/>
                <w:bCs w:val="0"/>
                <w:spacing w:val="4"/>
                <w:u w:val="none" w:color="auto"/>
                <w:lang w:val="en-US" w:eastAsia="zh-CN"/>
              </w:rPr>
              <w:t>TP、TN、动植物油、总大肠菌群</w:t>
            </w:r>
            <w:r>
              <w:rPr>
                <w:rFonts w:hint="default" w:ascii="Times New Roman" w:hAnsi="Times New Roman" w:cs="Times New Roman"/>
                <w:b w:val="0"/>
                <w:bCs w:val="0"/>
                <w:spacing w:val="4"/>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评价标准</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河流、湖库、河口： Ⅰ类□;  Ⅱ类□;</w:t>
            </w:r>
            <w:r>
              <w:rPr>
                <w:b w:val="0"/>
                <w:bCs w:val="0"/>
                <w:spacing w:val="63"/>
                <w:u w:val="none" w:color="auto"/>
              </w:rPr>
              <w:t xml:space="preserve"> </w:t>
            </w:r>
            <w:r>
              <w:rPr>
                <w:b w:val="0"/>
                <w:bCs w:val="0"/>
                <w:spacing w:val="-4"/>
                <w:u w:val="none" w:color="auto"/>
              </w:rPr>
              <w:t>Ⅲ类</w:t>
            </w:r>
            <w:r>
              <w:rPr>
                <w:rFonts w:ascii="MS Gothic" w:hAnsi="MS Gothic" w:eastAsia="MS Gothic" w:cs="MS Gothic"/>
                <w:b w:val="0"/>
                <w:bCs w:val="0"/>
                <w:spacing w:val="-4"/>
                <w:u w:val="none" w:color="auto"/>
              </w:rPr>
              <w:t>☑</w:t>
            </w:r>
            <w:r>
              <w:rPr>
                <w:b w:val="0"/>
                <w:bCs w:val="0"/>
                <w:spacing w:val="-5"/>
                <w:u w:val="none" w:color="auto"/>
              </w:rPr>
              <w:t>;</w:t>
            </w:r>
            <w:r>
              <w:rPr>
                <w:b w:val="0"/>
                <w:bCs w:val="0"/>
                <w:spacing w:val="72"/>
                <w:u w:val="none" w:color="auto"/>
              </w:rPr>
              <w:t xml:space="preserve"> </w:t>
            </w:r>
            <w:r>
              <w:rPr>
                <w:b w:val="0"/>
                <w:bCs w:val="0"/>
                <w:spacing w:val="-5"/>
                <w:u w:val="none" w:color="auto"/>
              </w:rPr>
              <w:t>Ⅳ类</w:t>
            </w:r>
            <w:r>
              <w:rPr>
                <w:rFonts w:hint="eastAsia"/>
                <w:b w:val="0"/>
                <w:bCs w:val="0"/>
                <w:spacing w:val="-5"/>
                <w:u w:val="none" w:color="auto"/>
                <w:lang w:eastAsia="zh-CN"/>
              </w:rPr>
              <w:t>☑</w:t>
            </w:r>
            <w:r>
              <w:rPr>
                <w:b w:val="0"/>
                <w:bCs w:val="0"/>
                <w:spacing w:val="-5"/>
                <w:u w:val="none" w:color="auto"/>
              </w:rPr>
              <w:t>;</w:t>
            </w:r>
            <w:r>
              <w:rPr>
                <w:b w:val="0"/>
                <w:bCs w:val="0"/>
                <w:spacing w:val="88"/>
                <w:u w:val="none" w:color="auto"/>
              </w:rPr>
              <w:t xml:space="preserve"> </w:t>
            </w:r>
            <w:r>
              <w:rPr>
                <w:b w:val="0"/>
                <w:bCs w:val="0"/>
                <w:spacing w:val="-5"/>
                <w:u w:val="none" w:color="auto"/>
              </w:rPr>
              <w:t>Ⅴ类□</w:t>
            </w:r>
            <w:r>
              <w:rPr>
                <w:b w:val="0"/>
                <w:bCs w:val="0"/>
                <w:u w:val="none" w:color="auto"/>
              </w:rPr>
              <w:t xml:space="preserve"> </w:t>
            </w:r>
            <w:r>
              <w:rPr>
                <w:b w:val="0"/>
                <w:bCs w:val="0"/>
                <w:spacing w:val="2"/>
                <w:u w:val="none" w:color="auto"/>
              </w:rPr>
              <w:t>近岸海域：第一类□;</w:t>
            </w:r>
            <w:r>
              <w:rPr>
                <w:b w:val="0"/>
                <w:bCs w:val="0"/>
                <w:spacing w:val="73"/>
                <w:u w:val="none" w:color="auto"/>
              </w:rPr>
              <w:t xml:space="preserve"> </w:t>
            </w:r>
            <w:r>
              <w:rPr>
                <w:b w:val="0"/>
                <w:bCs w:val="0"/>
                <w:spacing w:val="2"/>
                <w:u w:val="none" w:color="auto"/>
              </w:rPr>
              <w:t>第二类□;</w:t>
            </w:r>
            <w:r>
              <w:rPr>
                <w:b w:val="0"/>
                <w:bCs w:val="0"/>
                <w:spacing w:val="63"/>
                <w:u w:val="none" w:color="auto"/>
              </w:rPr>
              <w:t xml:space="preserve"> </w:t>
            </w:r>
            <w:r>
              <w:rPr>
                <w:b w:val="0"/>
                <w:bCs w:val="0"/>
                <w:spacing w:val="2"/>
                <w:u w:val="none" w:color="auto"/>
              </w:rPr>
              <w:t>第三类□;</w:t>
            </w:r>
            <w:r>
              <w:rPr>
                <w:b w:val="0"/>
                <w:bCs w:val="0"/>
                <w:spacing w:val="64"/>
                <w:u w:val="none" w:color="auto"/>
              </w:rPr>
              <w:t xml:space="preserve"> </w:t>
            </w:r>
            <w:r>
              <w:rPr>
                <w:b w:val="0"/>
                <w:bCs w:val="0"/>
                <w:spacing w:val="2"/>
                <w:u w:val="none" w:color="auto"/>
              </w:rPr>
              <w:t>第四类□</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规划年评价标准（</w:t>
            </w:r>
            <w:r>
              <w:rPr>
                <w:rFonts w:ascii="Times New Roman" w:hAnsi="Times New Roman" w:eastAsia="Times New Roman" w:cs="Times New Roman"/>
                <w:b w:val="0"/>
                <w:bCs w:val="0"/>
                <w:spacing w:val="9"/>
                <w:u w:val="none" w:color="auto"/>
              </w:rPr>
              <w:t>/</w:t>
            </w:r>
            <w:r>
              <w:rPr>
                <w:b w:val="0"/>
                <w:bCs w:val="0"/>
                <w:spacing w:val="9"/>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评价时期</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2"/>
                <w:u w:val="none" w:color="auto"/>
              </w:rPr>
              <w:t>丰水期</w:t>
            </w:r>
            <w:r>
              <w:rPr>
                <w:b w:val="0"/>
                <w:bCs w:val="0"/>
                <w:position w:val="-4"/>
                <w:u w:val="none" w:color="auto"/>
              </w:rPr>
              <w:drawing>
                <wp:inline distT="0" distB="0" distL="0" distR="0">
                  <wp:extent cx="114300" cy="139700"/>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167"/>
                          <a:stretch>
                            <a:fillRect/>
                          </a:stretch>
                        </pic:blipFill>
                        <pic:spPr>
                          <a:xfrm>
                            <a:off x="0" y="0"/>
                            <a:ext cx="114421" cy="139748"/>
                          </a:xfrm>
                          <a:prstGeom prst="rect">
                            <a:avLst/>
                          </a:prstGeom>
                        </pic:spPr>
                      </pic:pic>
                    </a:graphicData>
                  </a:graphic>
                </wp:inline>
              </w:drawing>
            </w:r>
            <w:r>
              <w:rPr>
                <w:b w:val="0"/>
                <w:bCs w:val="0"/>
                <w:spacing w:val="2"/>
                <w:u w:val="none" w:color="auto"/>
              </w:rPr>
              <w:t>；平水期</w:t>
            </w:r>
            <w:r>
              <w:rPr>
                <w:b w:val="0"/>
                <w:bCs w:val="0"/>
                <w:position w:val="-4"/>
                <w:u w:val="none" w:color="auto"/>
              </w:rPr>
              <w:drawing>
                <wp:inline distT="0" distB="0" distL="0" distR="0">
                  <wp:extent cx="114300" cy="13970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168"/>
                          <a:stretch>
                            <a:fillRect/>
                          </a:stretch>
                        </pic:blipFill>
                        <pic:spPr>
                          <a:xfrm>
                            <a:off x="0" y="0"/>
                            <a:ext cx="114421" cy="139748"/>
                          </a:xfrm>
                          <a:prstGeom prst="rect">
                            <a:avLst/>
                          </a:prstGeom>
                        </pic:spPr>
                      </pic:pic>
                    </a:graphicData>
                  </a:graphic>
                </wp:inline>
              </w:drawing>
            </w:r>
            <w:r>
              <w:rPr>
                <w:b w:val="0"/>
                <w:bCs w:val="0"/>
                <w:spacing w:val="2"/>
                <w:u w:val="none" w:color="auto"/>
              </w:rPr>
              <w:t>；枯水期</w:t>
            </w:r>
            <w:r>
              <w:rPr>
                <w:rFonts w:ascii="MS Gothic" w:hAnsi="MS Gothic" w:eastAsia="MS Gothic" w:cs="MS Gothic"/>
                <w:b w:val="0"/>
                <w:bCs w:val="0"/>
                <w:spacing w:val="2"/>
                <w:u w:val="none" w:color="auto"/>
              </w:rPr>
              <w:t>☑</w:t>
            </w:r>
            <w:r>
              <w:rPr>
                <w:b w:val="0"/>
                <w:bCs w:val="0"/>
                <w:spacing w:val="2"/>
                <w:u w:val="none" w:color="auto"/>
              </w:rPr>
              <w:t>;冰封期</w:t>
            </w:r>
            <w:r>
              <w:rPr>
                <w:b w:val="0"/>
                <w:bCs w:val="0"/>
                <w:spacing w:val="-2"/>
                <w:u w:val="none" w:color="auto"/>
              </w:rPr>
              <w:t>□春季□;夏季□;秋季</w:t>
            </w:r>
            <w:r>
              <w:rPr>
                <w:b w:val="0"/>
                <w:bCs w:val="0"/>
                <w:position w:val="-4"/>
                <w:u w:val="none" w:color="auto"/>
              </w:rPr>
              <w:drawing>
                <wp:inline distT="0" distB="0" distL="0" distR="0">
                  <wp:extent cx="107950" cy="13970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169"/>
                          <a:stretch>
                            <a:fillRect/>
                          </a:stretch>
                        </pic:blipFill>
                        <pic:spPr>
                          <a:xfrm>
                            <a:off x="0" y="0"/>
                            <a:ext cx="108512" cy="139748"/>
                          </a:xfrm>
                          <a:prstGeom prst="rect">
                            <a:avLst/>
                          </a:prstGeom>
                        </pic:spPr>
                      </pic:pic>
                    </a:graphicData>
                  </a:graphic>
                </wp:inline>
              </w:drawing>
            </w:r>
            <w:r>
              <w:rPr>
                <w:b w:val="0"/>
                <w:bCs w:val="0"/>
                <w:spacing w:val="-2"/>
                <w:u w:val="none" w:color="auto"/>
              </w:rPr>
              <w:t>；冬季□</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评价结论</w:t>
            </w:r>
          </w:p>
        </w:tc>
        <w:tc>
          <w:tcPr>
            <w:tcW w:w="6077" w:type="dxa"/>
            <w:gridSpan w:val="11"/>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水环境功能区或水功能区、近岸海域环境功能区水质达</w:t>
            </w:r>
            <w:r>
              <w:rPr>
                <w:b w:val="0"/>
                <w:bCs w:val="0"/>
                <w:spacing w:val="7"/>
                <w:u w:val="none" w:color="auto"/>
              </w:rPr>
              <w:t>标状况：达标</w:t>
            </w:r>
            <w:r>
              <w:rPr>
                <w:b w:val="0"/>
                <w:bCs w:val="0"/>
                <w:position w:val="-4"/>
                <w:u w:val="none" w:color="auto"/>
              </w:rPr>
              <w:drawing>
                <wp:inline distT="0" distB="0" distL="0" distR="0">
                  <wp:extent cx="107950" cy="13970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170"/>
                          <a:stretch>
                            <a:fillRect/>
                          </a:stretch>
                        </pic:blipFill>
                        <pic:spPr>
                          <a:xfrm>
                            <a:off x="0" y="0"/>
                            <a:ext cx="108517" cy="139748"/>
                          </a:xfrm>
                          <a:prstGeom prst="rect">
                            <a:avLst/>
                          </a:prstGeom>
                        </pic:spPr>
                      </pic:pic>
                    </a:graphicData>
                  </a:graphic>
                </wp:inline>
              </w:drawing>
            </w:r>
            <w:r>
              <w:rPr>
                <w:b w:val="0"/>
                <w:bCs w:val="0"/>
                <w:spacing w:val="-55"/>
                <w:u w:val="none" w:color="auto"/>
              </w:rPr>
              <w:t xml:space="preserve"> </w:t>
            </w:r>
            <w:r>
              <w:rPr>
                <w:b w:val="0"/>
                <w:bCs w:val="0"/>
                <w:spacing w:val="7"/>
                <w:u w:val="none" w:color="auto"/>
              </w:rPr>
              <w:t>；不达标□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6"/>
                <w:u w:val="none" w:color="auto"/>
              </w:rPr>
              <w:t>水环境控制单元或断面水质达标状况：达标</w:t>
            </w:r>
            <w:r>
              <w:rPr>
                <w:b w:val="0"/>
                <w:bCs w:val="0"/>
                <w:position w:val="-4"/>
                <w:u w:val="none" w:color="auto"/>
              </w:rPr>
              <w:drawing>
                <wp:inline distT="0" distB="0" distL="0" distR="0">
                  <wp:extent cx="114300" cy="13970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171"/>
                          <a:stretch>
                            <a:fillRect/>
                          </a:stretch>
                        </pic:blipFill>
                        <pic:spPr>
                          <a:xfrm>
                            <a:off x="0" y="0"/>
                            <a:ext cx="114413" cy="139748"/>
                          </a:xfrm>
                          <a:prstGeom prst="rect">
                            <a:avLst/>
                          </a:prstGeom>
                        </pic:spPr>
                      </pic:pic>
                    </a:graphicData>
                  </a:graphic>
                </wp:inline>
              </w:drawing>
            </w:r>
            <w:r>
              <w:rPr>
                <w:b w:val="0"/>
                <w:bCs w:val="0"/>
                <w:spacing w:val="6"/>
                <w:u w:val="none" w:color="auto"/>
              </w:rPr>
              <w:t>；不达标□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6"/>
                <w:u w:val="none" w:color="auto"/>
              </w:rPr>
              <w:t>水环境保护目标质量状况：达标□;</w:t>
            </w:r>
            <w:r>
              <w:rPr>
                <w:b w:val="0"/>
                <w:bCs w:val="0"/>
                <w:spacing w:val="82"/>
                <w:u w:val="none" w:color="auto"/>
              </w:rPr>
              <w:t xml:space="preserve"> </w:t>
            </w:r>
            <w:r>
              <w:rPr>
                <w:b w:val="0"/>
                <w:bCs w:val="0"/>
                <w:spacing w:val="6"/>
                <w:u w:val="none" w:color="auto"/>
              </w:rPr>
              <w:t>不达标□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对照断面、控制断面等代表性断面的水质状况：达标</w:t>
            </w:r>
            <w:r>
              <w:rPr>
                <w:b w:val="0"/>
                <w:bCs w:val="0"/>
                <w:position w:val="-4"/>
                <w:u w:val="none" w:color="auto"/>
              </w:rPr>
              <w:drawing>
                <wp:inline distT="0" distB="0" distL="0" distR="0">
                  <wp:extent cx="114300" cy="13970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172"/>
                          <a:stretch>
                            <a:fillRect/>
                          </a:stretch>
                        </pic:blipFill>
                        <pic:spPr>
                          <a:xfrm>
                            <a:off x="0" y="0"/>
                            <a:ext cx="114556" cy="139748"/>
                          </a:xfrm>
                          <a:prstGeom prst="rect">
                            <a:avLst/>
                          </a:prstGeom>
                        </pic:spPr>
                      </pic:pic>
                    </a:graphicData>
                  </a:graphic>
                </wp:inline>
              </w:drawing>
            </w:r>
            <w:r>
              <w:rPr>
                <w:b w:val="0"/>
                <w:bCs w:val="0"/>
                <w:spacing w:val="10"/>
                <w:u w:val="none" w:color="auto"/>
              </w:rPr>
              <w:t>；</w:t>
            </w:r>
            <w:r>
              <w:rPr>
                <w:b w:val="0"/>
                <w:bCs w:val="0"/>
                <w:spacing w:val="7"/>
                <w:u w:val="none" w:color="auto"/>
              </w:rPr>
              <w:t>不达标□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9"/>
                <w:u w:val="none" w:color="auto"/>
              </w:rPr>
              <w:t>底泥污染评价□</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水资源与开发利用程度及其水文情势评价□</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9"/>
                <w:u w:val="none" w:color="auto"/>
              </w:rPr>
              <w:t>水环境质量回顾评价□</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流域（区域）水资源（包括水能资源）与开发利用总体状况、生态流量管理要求与现状满足程度、建设项目占用水域空间的水流状况与河湖演变状况□</w:t>
            </w:r>
          </w:p>
        </w:tc>
        <w:tc>
          <w:tcPr>
            <w:tcW w:w="1056"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达标区</w:t>
            </w:r>
            <w:r>
              <w:rPr>
                <w:b w:val="0"/>
                <w:bCs w:val="0"/>
                <w:position w:val="-4"/>
                <w:u w:val="none" w:color="auto"/>
              </w:rPr>
              <w:drawing>
                <wp:inline distT="0" distB="0" distL="0" distR="0">
                  <wp:extent cx="114300" cy="13970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173"/>
                          <a:stretch>
                            <a:fillRect/>
                          </a:stretch>
                        </pic:blipFill>
                        <pic:spPr>
                          <a:xfrm>
                            <a:off x="0" y="0"/>
                            <a:ext cx="114420" cy="139748"/>
                          </a:xfrm>
                          <a:prstGeom prst="rect">
                            <a:avLst/>
                          </a:prstGeom>
                        </pic:spPr>
                      </pic:pic>
                    </a:graphicData>
                  </a:graphic>
                </wp:inline>
              </w:drawing>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不达标区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position w:val="-4"/>
                <w:u w:val="none" w:color="auto"/>
              </w:rPr>
              <w:drawing>
                <wp:inline distT="0" distB="0" distL="0" distR="0">
                  <wp:extent cx="95885" cy="13970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174"/>
                          <a:stretch>
                            <a:fillRect/>
                          </a:stretch>
                        </pic:blipFill>
                        <pic:spPr>
                          <a:xfrm>
                            <a:off x="0" y="0"/>
                            <a:ext cx="95952" cy="13974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position w:val="4"/>
                <w:u w:val="none" w:color="auto"/>
              </w:rPr>
              <w:t>影 响 预 测</w:t>
            </w:r>
            <w:r>
              <w:rPr>
                <w:b w:val="0"/>
                <w:bCs w:val="0"/>
                <w:position w:val="-7"/>
                <w:u w:val="none" w:color="auto"/>
              </w:rPr>
              <w:drawing>
                <wp:inline distT="0" distB="0" distL="0" distR="0">
                  <wp:extent cx="132080" cy="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152"/>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53"/>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154"/>
                          <a:stretch>
                            <a:fillRect/>
                          </a:stretch>
                        </pic:blipFill>
                        <pic:spPr>
                          <a:xfrm>
                            <a:off x="0" y="0"/>
                            <a:ext cx="132080" cy="0"/>
                          </a:xfrm>
                          <a:prstGeom prst="rect">
                            <a:avLst/>
                          </a:prstGeom>
                        </pic:spPr>
                      </pic:pic>
                    </a:graphicData>
                  </a:graphic>
                </wp:inline>
              </w:drawing>
            </w: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预测范围</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13"/>
                <w:szCs w:val="13"/>
                <w:u w:val="none" w:color="auto"/>
              </w:rPr>
            </w:pPr>
            <w:r>
              <w:rPr>
                <w:b w:val="0"/>
                <w:bCs w:val="0"/>
                <w:spacing w:val="10"/>
                <w:u w:val="none" w:color="auto"/>
              </w:rPr>
              <w:t>河流：长度（</w:t>
            </w:r>
            <w:r>
              <w:rPr>
                <w:rFonts w:ascii="Times New Roman" w:hAnsi="Times New Roman" w:eastAsia="Times New Roman" w:cs="Times New Roman"/>
                <w:b w:val="0"/>
                <w:bCs w:val="0"/>
                <w:spacing w:val="10"/>
                <w:u w:val="none" w:color="auto"/>
              </w:rPr>
              <w:t>/</w:t>
            </w:r>
            <w:r>
              <w:rPr>
                <w:b w:val="0"/>
                <w:bCs w:val="0"/>
                <w:spacing w:val="10"/>
                <w:u w:val="none" w:color="auto"/>
              </w:rPr>
              <w:t>）</w:t>
            </w:r>
            <w:r>
              <w:rPr>
                <w:rFonts w:ascii="Times New Roman" w:hAnsi="Times New Roman" w:eastAsia="Times New Roman" w:cs="Times New Roman"/>
                <w:b w:val="0"/>
                <w:bCs w:val="0"/>
                <w:u w:val="none" w:color="auto"/>
              </w:rPr>
              <w:t>km</w:t>
            </w:r>
            <w:r>
              <w:rPr>
                <w:b w:val="0"/>
                <w:bCs w:val="0"/>
                <w:spacing w:val="10"/>
                <w:u w:val="none" w:color="auto"/>
              </w:rPr>
              <w:t>；湖库、河口及近岸海域：面积（</w:t>
            </w:r>
            <w:r>
              <w:rPr>
                <w:rFonts w:ascii="Times New Roman" w:hAnsi="Times New Roman" w:eastAsia="Times New Roman" w:cs="Times New Roman"/>
                <w:b w:val="0"/>
                <w:bCs w:val="0"/>
                <w:spacing w:val="10"/>
                <w:u w:val="none" w:color="auto"/>
              </w:rPr>
              <w:t>/</w:t>
            </w:r>
            <w:r>
              <w:rPr>
                <w:b w:val="0"/>
                <w:bCs w:val="0"/>
                <w:spacing w:val="10"/>
                <w:u w:val="none" w:color="auto"/>
              </w:rPr>
              <w:t>）</w:t>
            </w:r>
            <w:r>
              <w:rPr>
                <w:rFonts w:ascii="Times New Roman" w:hAnsi="Times New Roman" w:eastAsia="Times New Roman" w:cs="Times New Roman"/>
                <w:b w:val="0"/>
                <w:bCs w:val="0"/>
                <w:u w:val="none" w:color="auto"/>
              </w:rPr>
              <w:t>km</w:t>
            </w:r>
            <w:r>
              <w:rPr>
                <w:rFonts w:ascii="Times New Roman" w:hAnsi="Times New Roman" w:eastAsia="Times New Roman" w:cs="Times New Roman"/>
                <w:b w:val="0"/>
                <w:bCs w:val="0"/>
                <w:spacing w:val="10"/>
                <w:position w:val="6"/>
                <w:sz w:val="13"/>
                <w:szCs w:val="13"/>
                <w:u w:val="none" w:color="auto"/>
              </w:rPr>
              <w:t>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预测因子</w:t>
            </w:r>
          </w:p>
        </w:tc>
        <w:tc>
          <w:tcPr>
            <w:tcW w:w="7133" w:type="dxa"/>
            <w:gridSpan w:val="12"/>
            <w:tcBorders>
              <w:tl2br w:val="nil"/>
              <w:tr2bl w:val="nil"/>
            </w:tcBorders>
            <w:vAlign w:val="center"/>
          </w:tcPr>
          <w:p>
            <w:pPr>
              <w:pStyle w:val="25"/>
              <w:keepNext w:val="0"/>
              <w:keepLines w:val="0"/>
              <w:pageBreakBefore w:val="0"/>
              <w:widowControl/>
              <w:tabs>
                <w:tab w:val="left" w:pos="222"/>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2"/>
                <w:u w:val="none" w:color="auto"/>
              </w:rPr>
              <w:t>（</w:t>
            </w:r>
            <w:r>
              <w:rPr>
                <w:rFonts w:hint="eastAsia" w:ascii="Times New Roman" w:hAnsi="Times New Roman" w:eastAsia="宋体" w:cs="Times New Roman"/>
                <w:b w:val="0"/>
                <w:bCs w:val="0"/>
                <w:u w:val="none" w:color="auto"/>
                <w:lang w:val="en-US" w:eastAsia="zh-CN"/>
              </w:rPr>
              <w:t>/</w:t>
            </w:r>
            <w:r>
              <w:rPr>
                <w:b w:val="0"/>
                <w:bCs w:val="0"/>
                <w:spacing w:val="6"/>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预测时期</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u w:val="none" w:color="auto"/>
              </w:rPr>
              <w:t>丰水期□;平水期□;枯水期□;冰封期□</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2"/>
                <w:u w:val="none" w:color="auto"/>
              </w:rPr>
              <w:t>春季□;</w:t>
            </w:r>
            <w:r>
              <w:rPr>
                <w:b w:val="0"/>
                <w:bCs w:val="0"/>
                <w:spacing w:val="73"/>
                <w:u w:val="none" w:color="auto"/>
              </w:rPr>
              <w:t xml:space="preserve"> </w:t>
            </w:r>
            <w:r>
              <w:rPr>
                <w:b w:val="0"/>
                <w:bCs w:val="0"/>
                <w:spacing w:val="-2"/>
                <w:u w:val="none" w:color="auto"/>
              </w:rPr>
              <w:t>夏季□;</w:t>
            </w:r>
            <w:r>
              <w:rPr>
                <w:b w:val="0"/>
                <w:bCs w:val="0"/>
                <w:spacing w:val="65"/>
                <w:u w:val="none" w:color="auto"/>
              </w:rPr>
              <w:t xml:space="preserve"> </w:t>
            </w:r>
            <w:r>
              <w:rPr>
                <w:b w:val="0"/>
                <w:bCs w:val="0"/>
                <w:spacing w:val="-2"/>
                <w:u w:val="none" w:color="auto"/>
              </w:rPr>
              <w:t>秋季</w:t>
            </w:r>
            <w:r>
              <w:rPr>
                <w:b w:val="0"/>
                <w:bCs w:val="0"/>
                <w:position w:val="-4"/>
                <w:u w:val="none" w:color="auto"/>
              </w:rPr>
              <w:drawing>
                <wp:inline distT="0" distB="0" distL="0" distR="0">
                  <wp:extent cx="107950" cy="13970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175"/>
                          <a:stretch>
                            <a:fillRect/>
                          </a:stretch>
                        </pic:blipFill>
                        <pic:spPr>
                          <a:xfrm>
                            <a:off x="0" y="0"/>
                            <a:ext cx="108512" cy="139748"/>
                          </a:xfrm>
                          <a:prstGeom prst="rect">
                            <a:avLst/>
                          </a:prstGeom>
                        </pic:spPr>
                      </pic:pic>
                    </a:graphicData>
                  </a:graphic>
                </wp:inline>
              </w:drawing>
            </w:r>
            <w:r>
              <w:rPr>
                <w:b w:val="0"/>
                <w:bCs w:val="0"/>
                <w:spacing w:val="-55"/>
                <w:u w:val="none" w:color="auto"/>
              </w:rPr>
              <w:t xml:space="preserve"> </w:t>
            </w:r>
            <w:r>
              <w:rPr>
                <w:b w:val="0"/>
                <w:bCs w:val="0"/>
                <w:spacing w:val="-2"/>
                <w:u w:val="none" w:color="auto"/>
              </w:rPr>
              <w:t>；冬季□</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设计水文条件□</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预测情景</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2"/>
                <w:u w:val="none" w:color="auto"/>
              </w:rPr>
              <w:t>建设期□;</w:t>
            </w:r>
            <w:r>
              <w:rPr>
                <w:b w:val="0"/>
                <w:bCs w:val="0"/>
                <w:spacing w:val="80"/>
                <w:u w:val="none" w:color="auto"/>
              </w:rPr>
              <w:t xml:space="preserve"> </w:t>
            </w:r>
            <w:r>
              <w:rPr>
                <w:b w:val="0"/>
                <w:bCs w:val="0"/>
                <w:spacing w:val="2"/>
                <w:u w:val="none" w:color="auto"/>
              </w:rPr>
              <w:t>生产运行期□;</w:t>
            </w:r>
            <w:r>
              <w:rPr>
                <w:b w:val="0"/>
                <w:bCs w:val="0"/>
                <w:spacing w:val="64"/>
                <w:u w:val="none" w:color="auto"/>
              </w:rPr>
              <w:t xml:space="preserve"> </w:t>
            </w:r>
            <w:r>
              <w:rPr>
                <w:b w:val="0"/>
                <w:bCs w:val="0"/>
                <w:spacing w:val="2"/>
                <w:u w:val="none" w:color="auto"/>
              </w:rPr>
              <w:t>服务期满后□</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正常工况</w:t>
            </w:r>
            <w:r>
              <w:rPr>
                <w:b w:val="0"/>
                <w:bCs w:val="0"/>
                <w:spacing w:val="2"/>
                <w:u w:val="none" w:color="auto"/>
              </w:rPr>
              <w:t>□</w:t>
            </w:r>
            <w:r>
              <w:rPr>
                <w:b w:val="0"/>
                <w:bCs w:val="0"/>
                <w:spacing w:val="-68"/>
                <w:u w:val="none" w:color="auto"/>
              </w:rPr>
              <w:t xml:space="preserve"> </w:t>
            </w:r>
            <w:r>
              <w:rPr>
                <w:b w:val="0"/>
                <w:bCs w:val="0"/>
                <w:spacing w:val="7"/>
                <w:u w:val="none" w:color="auto"/>
              </w:rPr>
              <w:t>；非正常工况□</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污染控制和减缓措施方案□</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区（流）域环境质量改善目标要求情景□</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预测方法</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数值解□：解析解□;</w:t>
            </w:r>
            <w:r>
              <w:rPr>
                <w:b w:val="0"/>
                <w:bCs w:val="0"/>
                <w:spacing w:val="75"/>
                <w:u w:val="none" w:color="auto"/>
              </w:rPr>
              <w:t xml:space="preserve"> </w:t>
            </w:r>
            <w:r>
              <w:rPr>
                <w:b w:val="0"/>
                <w:bCs w:val="0"/>
                <w:spacing w:val="4"/>
                <w:u w:val="none" w:color="auto"/>
              </w:rPr>
              <w:t>其他□</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9"/>
                <w:u w:val="none" w:color="auto"/>
              </w:rPr>
              <w:t>导则推荐模式□：其他□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position w:val="3"/>
                <w:u w:val="none" w:color="auto"/>
              </w:rPr>
              <w:t>影 响 评 价</w:t>
            </w:r>
            <w:r>
              <w:rPr>
                <w:b w:val="0"/>
                <w:bCs w:val="0"/>
                <w:position w:val="-7"/>
                <w:u w:val="none" w:color="auto"/>
              </w:rPr>
              <w:drawing>
                <wp:inline distT="0" distB="0" distL="0" distR="0">
                  <wp:extent cx="132080" cy="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154"/>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176"/>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166"/>
                          <a:stretch>
                            <a:fillRect/>
                          </a:stretch>
                        </pic:blipFill>
                        <pic:spPr>
                          <a:xfrm>
                            <a:off x="0" y="0"/>
                            <a:ext cx="132080" cy="0"/>
                          </a:xfrm>
                          <a:prstGeom prst="rect">
                            <a:avLst/>
                          </a:prstGeom>
                        </pic:spPr>
                      </pic:pic>
                    </a:graphicData>
                  </a:graphic>
                </wp:inline>
              </w:drawing>
            </w: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水污染控制和水环境影响减缓措施有效性</w:t>
            </w:r>
            <w:r>
              <w:rPr>
                <w:b w:val="0"/>
                <w:bCs w:val="0"/>
                <w:spacing w:val="6"/>
                <w:u w:val="none" w:color="auto"/>
              </w:rPr>
              <w:t>评价</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u w:val="none" w:color="auto"/>
              </w:rPr>
              <w:t>区（流）域水环境质量改善目标□;</w:t>
            </w:r>
            <w:r>
              <w:rPr>
                <w:b w:val="0"/>
                <w:bCs w:val="0"/>
                <w:spacing w:val="80"/>
                <w:u w:val="none" w:color="auto"/>
              </w:rPr>
              <w:t xml:space="preserve"> </w:t>
            </w:r>
            <w:r>
              <w:rPr>
                <w:b w:val="0"/>
                <w:bCs w:val="0"/>
                <w:spacing w:val="6"/>
                <w:u w:val="none" w:color="auto"/>
              </w:rPr>
              <w:t>替代削减源□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水环境影响评</w:t>
            </w:r>
            <w:r>
              <w:rPr>
                <w:b w:val="0"/>
                <w:bCs w:val="0"/>
                <w:u w:val="none" w:color="auto"/>
              </w:rPr>
              <w:t>价</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排放口混合区外满足水环境管理要求□</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水环境功能区或水功能区、近岸海域环境功能区水质达标□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满足水环境保护目标水域水环境质量要求□</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9"/>
                <w:u w:val="none" w:color="auto"/>
              </w:rPr>
              <w:t>水环境控制单元或断面水质达标□</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满足重点水污染物排放总量控制指标要求，重点行业建设项目，</w:t>
            </w:r>
            <w:r>
              <w:rPr>
                <w:b w:val="0"/>
                <w:bCs w:val="0"/>
                <w:spacing w:val="9"/>
                <w:u w:val="none" w:color="auto"/>
              </w:rPr>
              <w:t>主要</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污染物排放满足等量或减量替代要求□</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满足区（流）域水环境质量改善目标要求□</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水文要素影响型建设项目同时应包括水文情势变化评</w:t>
            </w:r>
            <w:r>
              <w:rPr>
                <w:b w:val="0"/>
                <w:bCs w:val="0"/>
                <w:spacing w:val="9"/>
                <w:u w:val="none" w:color="auto"/>
              </w:rPr>
              <w:t>价、主要水文特</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eastAsia="宋体"/>
                <w:b w:val="0"/>
                <w:bCs w:val="0"/>
                <w:u w:val="none" w:color="auto"/>
                <w:lang w:eastAsia="zh-CN"/>
              </w:rPr>
            </w:pPr>
            <w:r>
              <w:rPr>
                <w:b w:val="0"/>
                <w:bCs w:val="0"/>
                <w:spacing w:val="10"/>
                <w:u w:val="none" w:color="auto"/>
              </w:rPr>
              <w:t>征值影响评价、生态流量符合性评价</w:t>
            </w:r>
            <w:r>
              <w:rPr>
                <w:rFonts w:hint="eastAsia"/>
                <w:b w:val="0"/>
                <w:bCs w:val="0"/>
                <w:spacing w:val="10"/>
                <w:u w:val="none" w:color="auto"/>
                <w:lang w:eastAsia="zh-CN"/>
              </w:rPr>
              <w:t>☑</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spacing w:val="10"/>
                <w:u w:val="none" w:color="auto"/>
              </w:rPr>
            </w:pPr>
            <w:r>
              <w:rPr>
                <w:b w:val="0"/>
                <w:bCs w:val="0"/>
                <w:spacing w:val="10"/>
                <w:u w:val="none" w:color="auto"/>
              </w:rPr>
              <w:t>对于新设或调整入河（湖库、近岸海域）排放口的建设项目，应包括</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9"/>
                <w:u w:val="none" w:color="auto"/>
              </w:rPr>
              <w:t>排放口设置的环境合理性评价□</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b w:val="0"/>
                <w:bCs w:val="0"/>
                <w:u w:val="none" w:color="auto"/>
              </w:rPr>
            </w:pPr>
            <w:r>
              <w:rPr>
                <w:b w:val="0"/>
                <w:bCs w:val="0"/>
                <w:spacing w:val="10"/>
                <w:u w:val="none" w:color="auto"/>
              </w:rPr>
              <w:t>满足生态保护红线、水环境质量底线、资源利用上线和环境准入</w:t>
            </w:r>
            <w:r>
              <w:rPr>
                <w:b w:val="0"/>
                <w:bCs w:val="0"/>
                <w:spacing w:val="9"/>
                <w:u w:val="none" w:color="auto"/>
              </w:rPr>
              <w:t>清单</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eastAsia="宋体"/>
                <w:b w:val="0"/>
                <w:bCs w:val="0"/>
                <w:u w:val="none" w:color="auto"/>
                <w:lang w:eastAsia="zh-CN"/>
              </w:rPr>
            </w:pPr>
            <w:r>
              <w:rPr>
                <w:b w:val="0"/>
                <w:bCs w:val="0"/>
                <w:spacing w:val="7"/>
                <w:u w:val="none" w:color="auto"/>
              </w:rPr>
              <w:t>管理要求</w:t>
            </w:r>
            <w:r>
              <w:rPr>
                <w:rFonts w:hint="eastAsia"/>
                <w:b w:val="0"/>
                <w:bCs w:val="0"/>
                <w:spacing w:val="7"/>
                <w:u w:val="none" w:color="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污染源排放量</w:t>
            </w:r>
            <w:r>
              <w:rPr>
                <w:b w:val="0"/>
                <w:bCs w:val="0"/>
                <w:spacing w:val="4"/>
                <w:u w:val="none" w:color="auto"/>
              </w:rPr>
              <w:t>核算</w:t>
            </w:r>
          </w:p>
        </w:tc>
        <w:tc>
          <w:tcPr>
            <w:tcW w:w="2467"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highlight w:val="none"/>
                <w:u w:val="none" w:color="auto"/>
              </w:rPr>
            </w:pPr>
            <w:r>
              <w:rPr>
                <w:b w:val="0"/>
                <w:bCs w:val="0"/>
                <w:spacing w:val="8"/>
                <w:highlight w:val="none"/>
                <w:u w:val="none" w:color="auto"/>
              </w:rPr>
              <w:t>污染物名称</w:t>
            </w:r>
          </w:p>
        </w:tc>
        <w:tc>
          <w:tcPr>
            <w:tcW w:w="2467" w:type="dxa"/>
            <w:gridSpan w:val="5"/>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u w:val="none" w:color="auto"/>
              </w:rPr>
              <w:t>排放量</w:t>
            </w:r>
            <w:r>
              <w:rPr>
                <w:rFonts w:ascii="Times New Roman" w:hAnsi="Times New Roman" w:eastAsia="Times New Roman" w:cs="Times New Roman"/>
                <w:b w:val="0"/>
                <w:bCs w:val="0"/>
                <w:spacing w:val="6"/>
                <w:u w:val="none" w:color="auto"/>
              </w:rPr>
              <w:t>/</w:t>
            </w:r>
            <w:r>
              <w:rPr>
                <w:b w:val="0"/>
                <w:bCs w:val="0"/>
                <w:spacing w:val="6"/>
                <w:u w:val="none" w:color="auto"/>
              </w:rPr>
              <w:t>（</w:t>
            </w:r>
            <w:r>
              <w:rPr>
                <w:rFonts w:ascii="Times New Roman" w:hAnsi="Times New Roman" w:eastAsia="Times New Roman" w:cs="Times New Roman"/>
                <w:b w:val="0"/>
                <w:bCs w:val="0"/>
                <w:spacing w:val="6"/>
                <w:u w:val="none" w:color="auto"/>
              </w:rPr>
              <w:t>t/a</w:t>
            </w:r>
            <w:r>
              <w:rPr>
                <w:b w:val="0"/>
                <w:bCs w:val="0"/>
                <w:spacing w:val="6"/>
                <w:u w:val="none" w:color="auto"/>
              </w:rPr>
              <w:t>）</w:t>
            </w:r>
          </w:p>
        </w:tc>
        <w:tc>
          <w:tcPr>
            <w:tcW w:w="2199"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排放浓度</w:t>
            </w:r>
            <w:r>
              <w:rPr>
                <w:rFonts w:ascii="Times New Roman" w:hAnsi="Times New Roman" w:eastAsia="Times New Roman" w:cs="Times New Roman"/>
                <w:b w:val="0"/>
                <w:bCs w:val="0"/>
                <w:spacing w:val="8"/>
                <w:u w:val="none" w:color="auto"/>
              </w:rPr>
              <w:t>/</w:t>
            </w:r>
            <w:r>
              <w:rPr>
                <w:b w:val="0"/>
                <w:bCs w:val="0"/>
                <w:spacing w:val="8"/>
                <w:u w:val="none" w:color="auto"/>
              </w:rPr>
              <w:t>（</w:t>
            </w:r>
            <w:r>
              <w:rPr>
                <w:rFonts w:ascii="Times New Roman" w:hAnsi="Times New Roman" w:eastAsia="Times New Roman" w:cs="Times New Roman"/>
                <w:b w:val="0"/>
                <w:bCs w:val="0"/>
                <w:u w:val="none" w:color="auto"/>
              </w:rPr>
              <w:t>mg</w:t>
            </w:r>
            <w:r>
              <w:rPr>
                <w:rFonts w:ascii="Times New Roman" w:hAnsi="Times New Roman" w:eastAsia="Times New Roman" w:cs="Times New Roman"/>
                <w:b w:val="0"/>
                <w:bCs w:val="0"/>
                <w:spacing w:val="8"/>
                <w:u w:val="none" w:color="auto"/>
              </w:rPr>
              <w:t>/L</w:t>
            </w:r>
            <w:r>
              <w:rPr>
                <w:b w:val="0"/>
                <w:bCs w:val="0"/>
                <w:spacing w:val="8"/>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2467" w:type="dxa"/>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highlight w:val="none"/>
                <w:u w:val="none" w:color="auto"/>
              </w:rPr>
            </w:pPr>
            <w:r>
              <w:rPr>
                <w:rFonts w:ascii="Times New Roman" w:hAnsi="Times New Roman" w:eastAsia="Times New Roman" w:cs="Times New Roman"/>
                <w:b w:val="0"/>
                <w:bCs w:val="0"/>
                <w:spacing w:val="4"/>
                <w:sz w:val="20"/>
                <w:szCs w:val="20"/>
                <w:highlight w:val="none"/>
                <w:u w:val="none" w:color="auto"/>
              </w:rPr>
              <w:t>COD</w:t>
            </w:r>
          </w:p>
        </w:tc>
        <w:tc>
          <w:tcPr>
            <w:tcW w:w="2467" w:type="dxa"/>
            <w:gridSpan w:val="5"/>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3"/>
                <w:sz w:val="20"/>
                <w:szCs w:val="20"/>
                <w:u w:val="none" w:color="auto"/>
              </w:rPr>
              <w:t>2.61</w:t>
            </w:r>
          </w:p>
        </w:tc>
        <w:tc>
          <w:tcPr>
            <w:tcW w:w="2199"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1"/>
                <w:sz w:val="20"/>
                <w:szCs w:val="20"/>
                <w:u w:val="none" w:color="auto"/>
              </w:rPr>
              <w:t>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2467"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highlight w:val="none"/>
                <w:u w:val="none" w:color="auto"/>
              </w:rPr>
            </w:pPr>
            <w:r>
              <w:rPr>
                <w:b w:val="0"/>
                <w:bCs w:val="0"/>
                <w:spacing w:val="6"/>
                <w:highlight w:val="none"/>
                <w:u w:val="none" w:color="auto"/>
              </w:rPr>
              <w:t>氨氮</w:t>
            </w:r>
          </w:p>
        </w:tc>
        <w:tc>
          <w:tcPr>
            <w:tcW w:w="2467" w:type="dxa"/>
            <w:gridSpan w:val="5"/>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3"/>
                <w:sz w:val="20"/>
                <w:szCs w:val="20"/>
                <w:u w:val="none" w:color="auto"/>
              </w:rPr>
              <w:t>0.261</w:t>
            </w:r>
          </w:p>
        </w:tc>
        <w:tc>
          <w:tcPr>
            <w:tcW w:w="2199"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z w:val="20"/>
                <w:szCs w:val="20"/>
                <w:u w:val="none" w:color="auto"/>
              </w:rPr>
              <w:t>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替代源排放情</w:t>
            </w:r>
            <w:r>
              <w:rPr>
                <w:b w:val="0"/>
                <w:bCs w:val="0"/>
                <w:u w:val="none" w:color="auto"/>
              </w:rPr>
              <w:t>况</w:t>
            </w:r>
          </w:p>
        </w:tc>
        <w:tc>
          <w:tcPr>
            <w:tcW w:w="1480"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污染源名称</w:t>
            </w:r>
          </w:p>
        </w:tc>
        <w:tc>
          <w:tcPr>
            <w:tcW w:w="1481"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排污许可证</w:t>
            </w:r>
            <w:r>
              <w:rPr>
                <w:b w:val="0"/>
                <w:bCs w:val="0"/>
                <w:spacing w:val="5"/>
                <w:u w:val="none" w:color="auto"/>
              </w:rPr>
              <w:t>编号</w:t>
            </w:r>
          </w:p>
        </w:tc>
        <w:tc>
          <w:tcPr>
            <w:tcW w:w="1479"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污染物名称</w:t>
            </w:r>
          </w:p>
        </w:tc>
        <w:tc>
          <w:tcPr>
            <w:tcW w:w="148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排放量</w:t>
            </w:r>
            <w:r>
              <w:rPr>
                <w:rFonts w:ascii="Times New Roman" w:hAnsi="Times New Roman" w:eastAsia="Times New Roman" w:cs="Times New Roman"/>
                <w:b w:val="0"/>
                <w:bCs w:val="0"/>
                <w:spacing w:val="-7"/>
                <w:u w:val="none" w:color="auto"/>
              </w:rPr>
              <w:t>/</w:t>
            </w:r>
            <w:r>
              <w:rPr>
                <w:b w:val="0"/>
                <w:bCs w:val="0"/>
                <w:spacing w:val="-7"/>
                <w:u w:val="none" w:color="auto"/>
              </w:rPr>
              <w:t>（</w:t>
            </w:r>
            <w:r>
              <w:rPr>
                <w:rFonts w:ascii="Times New Roman" w:hAnsi="Times New Roman" w:eastAsia="Times New Roman" w:cs="Times New Roman"/>
                <w:b w:val="0"/>
                <w:bCs w:val="0"/>
                <w:spacing w:val="-7"/>
                <w:u w:val="none" w:color="auto"/>
              </w:rPr>
              <w:t>t/a</w:t>
            </w:r>
            <w:r>
              <w:rPr>
                <w:b w:val="0"/>
                <w:bCs w:val="0"/>
                <w:spacing w:val="-7"/>
                <w:u w:val="none" w:color="auto"/>
              </w:rPr>
              <w:t>）</w:t>
            </w:r>
          </w:p>
        </w:tc>
        <w:tc>
          <w:tcPr>
            <w:tcW w:w="1212"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排放浓度</w:t>
            </w:r>
            <w:r>
              <w:rPr>
                <w:b w:val="0"/>
                <w:bCs w:val="0"/>
                <w:spacing w:val="1"/>
                <w:u w:val="none" w:color="auto"/>
              </w:rPr>
              <w:t xml:space="preserve"> </w:t>
            </w:r>
            <w:r>
              <w:rPr>
                <w:rFonts w:ascii="Times New Roman" w:hAnsi="Times New Roman" w:eastAsia="Times New Roman" w:cs="Times New Roman"/>
                <w:b w:val="0"/>
                <w:bCs w:val="0"/>
                <w:spacing w:val="-10"/>
                <w:u w:val="none" w:color="auto"/>
              </w:rPr>
              <w:t>/</w:t>
            </w:r>
            <w:r>
              <w:rPr>
                <w:b w:val="0"/>
                <w:bCs w:val="0"/>
                <w:spacing w:val="-10"/>
                <w:u w:val="none" w:color="auto"/>
              </w:rPr>
              <w:t>（</w:t>
            </w:r>
            <w:r>
              <w:rPr>
                <w:b w:val="0"/>
                <w:bCs w:val="0"/>
                <w:spacing w:val="-55"/>
                <w:u w:val="none" w:color="auto"/>
              </w:rPr>
              <w:t xml:space="preserve"> </w:t>
            </w:r>
            <w:r>
              <w:rPr>
                <w:rFonts w:ascii="Times New Roman" w:hAnsi="Times New Roman" w:eastAsia="Times New Roman" w:cs="Times New Roman"/>
                <w:b w:val="0"/>
                <w:bCs w:val="0"/>
                <w:spacing w:val="-10"/>
                <w:u w:val="none" w:color="auto"/>
              </w:rPr>
              <w:t>mg/L</w:t>
            </w:r>
            <w:r>
              <w:rPr>
                <w:b w:val="0"/>
                <w:bCs w:val="0"/>
                <w:spacing w:val="-10"/>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480" w:type="dxa"/>
            <w:tcBorders>
              <w:tl2br w:val="nil"/>
              <w:tr2bl w:val="nil"/>
            </w:tcBorders>
            <w:vAlign w:val="center"/>
          </w:tcPr>
          <w:p>
            <w:pPr>
              <w:pStyle w:val="25"/>
              <w:keepNext w:val="0"/>
              <w:keepLines w:val="0"/>
              <w:pageBreakBefore w:val="0"/>
              <w:widowControl/>
              <w:tabs>
                <w:tab w:val="left" w:pos="265"/>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4"/>
                <w:u w:val="none" w:color="auto"/>
              </w:rPr>
              <w:t>（</w:t>
            </w:r>
            <w:r>
              <w:rPr>
                <w:rFonts w:hint="default"/>
                <w:b w:val="0"/>
                <w:bCs w:val="0"/>
                <w:spacing w:val="-14"/>
                <w:u w:val="none" w:color="auto"/>
                <w:lang w:eastAsia="zh-CN"/>
              </w:rPr>
              <w:t>叶县</w:t>
            </w:r>
            <w:r>
              <w:rPr>
                <w:rFonts w:hint="eastAsia"/>
                <w:b w:val="0"/>
                <w:bCs w:val="0"/>
                <w:spacing w:val="-14"/>
                <w:u w:val="none" w:color="auto"/>
                <w:lang w:eastAsia="zh-CN"/>
              </w:rPr>
              <w:t>县城污水处理厂</w:t>
            </w:r>
            <w:r>
              <w:rPr>
                <w:rFonts w:hint="default"/>
                <w:b w:val="0"/>
                <w:bCs w:val="0"/>
                <w:spacing w:val="-14"/>
                <w:u w:val="none" w:color="auto"/>
              </w:rPr>
              <w:t>新建</w:t>
            </w:r>
            <w:r>
              <w:rPr>
                <w:rFonts w:hint="eastAsia"/>
                <w:b w:val="0"/>
                <w:bCs w:val="0"/>
                <w:spacing w:val="-14"/>
                <w:u w:val="none" w:color="auto"/>
                <w:lang w:eastAsia="zh-CN"/>
              </w:rPr>
              <w:t>配套湿地工程</w:t>
            </w:r>
            <w:r>
              <w:rPr>
                <w:rFonts w:hint="default"/>
                <w:b w:val="0"/>
                <w:bCs w:val="0"/>
                <w:spacing w:val="-14"/>
                <w:u w:val="none" w:color="auto"/>
              </w:rPr>
              <w:t>形成的减排量</w:t>
            </w:r>
            <w:r>
              <w:rPr>
                <w:b w:val="0"/>
                <w:bCs w:val="0"/>
                <w:spacing w:val="34"/>
                <w:u w:val="none" w:color="auto"/>
              </w:rPr>
              <w:t>）</w:t>
            </w:r>
          </w:p>
        </w:tc>
        <w:tc>
          <w:tcPr>
            <w:tcW w:w="1481" w:type="dxa"/>
            <w:gridSpan w:val="4"/>
            <w:tcBorders>
              <w:tl2br w:val="nil"/>
              <w:tr2bl w:val="nil"/>
            </w:tcBorders>
            <w:vAlign w:val="center"/>
          </w:tcPr>
          <w:p>
            <w:pPr>
              <w:pStyle w:val="25"/>
              <w:keepNext w:val="0"/>
              <w:keepLines w:val="0"/>
              <w:pageBreakBefore w:val="0"/>
              <w:widowControl/>
              <w:tabs>
                <w:tab w:val="left" w:pos="552"/>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p>
        </w:tc>
        <w:tc>
          <w:tcPr>
            <w:tcW w:w="1479" w:type="dxa"/>
            <w:gridSpan w:val="2"/>
            <w:tcBorders>
              <w:tl2br w:val="nil"/>
              <w:tr2bl w:val="nil"/>
            </w:tcBorders>
            <w:vAlign w:val="center"/>
          </w:tcPr>
          <w:p>
            <w:pPr>
              <w:pStyle w:val="25"/>
              <w:keepNext w:val="0"/>
              <w:keepLines w:val="0"/>
              <w:pageBreakBefore w:val="0"/>
              <w:widowControl/>
              <w:tabs>
                <w:tab w:val="left" w:pos="243"/>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6"/>
                <w:u w:val="none" w:color="auto"/>
              </w:rPr>
              <w:t>（</w:t>
            </w:r>
            <w:r>
              <w:rPr>
                <w:rFonts w:ascii="Times New Roman" w:hAnsi="Times New Roman" w:eastAsia="Times New Roman" w:cs="Times New Roman"/>
                <w:b w:val="0"/>
                <w:bCs w:val="0"/>
                <w:spacing w:val="-16"/>
                <w:u w:val="none" w:color="auto"/>
              </w:rPr>
              <w:t>COD</w:t>
            </w:r>
            <w:r>
              <w:rPr>
                <w:b w:val="0"/>
                <w:bCs w:val="0"/>
                <w:spacing w:val="-16"/>
                <w:u w:val="none" w:color="auto"/>
              </w:rPr>
              <w:t>、氨</w:t>
            </w:r>
          </w:p>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u w:val="none" w:color="auto"/>
              </w:rPr>
              <w:t>氮）</w:t>
            </w:r>
          </w:p>
        </w:tc>
        <w:tc>
          <w:tcPr>
            <w:tcW w:w="1481" w:type="dxa"/>
            <w:gridSpan w:val="3"/>
            <w:tcBorders>
              <w:tl2br w:val="nil"/>
              <w:tr2bl w:val="nil"/>
            </w:tcBorders>
            <w:vAlign w:val="center"/>
          </w:tcPr>
          <w:p>
            <w:pPr>
              <w:pStyle w:val="25"/>
              <w:keepNext w:val="0"/>
              <w:keepLines w:val="0"/>
              <w:pageBreakBefore w:val="0"/>
              <w:widowControl/>
              <w:tabs>
                <w:tab w:val="left" w:pos="242"/>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rFonts w:hint="eastAsia" w:ascii="Times New Roman" w:hAnsi="Times New Roman" w:eastAsia="宋体" w:cs="Times New Roman"/>
                <w:b w:val="0"/>
                <w:bCs w:val="0"/>
                <w:spacing w:val="-7"/>
                <w:u w:val="none" w:color="auto"/>
                <w:lang w:val="en-US" w:eastAsia="zh-CN"/>
              </w:rPr>
              <w:t>109.5</w:t>
            </w:r>
            <w:r>
              <w:rPr>
                <w:rFonts w:ascii="Times New Roman" w:hAnsi="Times New Roman" w:eastAsia="Times New Roman" w:cs="Times New Roman"/>
                <w:b w:val="0"/>
                <w:bCs w:val="0"/>
                <w:spacing w:val="1"/>
                <w:u w:val="none" w:color="auto"/>
              </w:rPr>
              <w:t>t/a</w:t>
            </w:r>
            <w:r>
              <w:rPr>
                <w:b w:val="0"/>
                <w:bCs w:val="0"/>
                <w:spacing w:val="1"/>
                <w:u w:val="none" w:color="auto"/>
              </w:rPr>
              <w:t>、</w:t>
            </w:r>
            <w:r>
              <w:rPr>
                <w:rFonts w:hint="eastAsia" w:ascii="Times New Roman" w:hAnsi="Times New Roman" w:eastAsia="宋体" w:cs="Times New Roman"/>
                <w:b w:val="0"/>
                <w:bCs w:val="0"/>
                <w:spacing w:val="3"/>
                <w:sz w:val="20"/>
                <w:szCs w:val="20"/>
                <w:u w:val="none" w:color="auto"/>
                <w:lang w:val="en-US" w:eastAsia="zh-CN"/>
              </w:rPr>
              <w:t>32.85</w:t>
            </w:r>
            <w:r>
              <w:rPr>
                <w:rFonts w:ascii="Times New Roman" w:hAnsi="Times New Roman" w:eastAsia="Times New Roman" w:cs="Times New Roman"/>
                <w:b w:val="0"/>
                <w:bCs w:val="0"/>
                <w:spacing w:val="3"/>
                <w:sz w:val="20"/>
                <w:szCs w:val="20"/>
                <w:u w:val="none" w:color="auto"/>
              </w:rPr>
              <w:t>t/a</w:t>
            </w:r>
          </w:p>
        </w:tc>
        <w:tc>
          <w:tcPr>
            <w:tcW w:w="1212" w:type="dxa"/>
            <w:gridSpan w:val="2"/>
            <w:tcBorders>
              <w:tl2br w:val="nil"/>
              <w:tr2bl w:val="nil"/>
            </w:tcBorders>
            <w:vAlign w:val="center"/>
          </w:tcPr>
          <w:p>
            <w:pPr>
              <w:pStyle w:val="25"/>
              <w:keepNext w:val="0"/>
              <w:keepLines w:val="0"/>
              <w:pageBreakBefore w:val="0"/>
              <w:widowControl/>
              <w:tabs>
                <w:tab w:val="left" w:pos="430"/>
              </w:tabs>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生态流量确定</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val="0"/>
                <w:bCs w:val="0"/>
                <w:u w:val="none" w:color="auto"/>
              </w:rPr>
            </w:pPr>
            <w:r>
              <w:rPr>
                <w:b w:val="0"/>
                <w:bCs w:val="0"/>
                <w:spacing w:val="7"/>
                <w:u w:val="none" w:color="auto"/>
              </w:rPr>
              <w:t>生态流量：一般水期</w:t>
            </w:r>
            <w:r>
              <w:rPr>
                <w:b w:val="0"/>
                <w:bCs w:val="0"/>
                <w:spacing w:val="-10"/>
                <w:u w:val="none" w:color="auto"/>
              </w:rPr>
              <w:t>（）</w:t>
            </w:r>
            <w:r>
              <w:rPr>
                <w:b w:val="0"/>
                <w:bCs w:val="0"/>
                <w:spacing w:val="-48"/>
                <w:u w:val="none" w:color="auto"/>
              </w:rPr>
              <w:t xml:space="preserve"> </w:t>
            </w:r>
            <w:r>
              <w:rPr>
                <w:rFonts w:ascii="Times New Roman" w:hAnsi="Times New Roman" w:eastAsia="Times New Roman" w:cs="Times New Roman"/>
                <w:b w:val="0"/>
                <w:bCs w:val="0"/>
                <w:spacing w:val="7"/>
                <w:u w:val="none" w:color="auto"/>
              </w:rPr>
              <w:t>m</w:t>
            </w:r>
            <w:r>
              <w:rPr>
                <w:rFonts w:ascii="Times New Roman" w:hAnsi="Times New Roman" w:eastAsia="Times New Roman" w:cs="Times New Roman"/>
                <w:b w:val="0"/>
                <w:bCs w:val="0"/>
                <w:spacing w:val="7"/>
                <w:position w:val="6"/>
                <w:sz w:val="13"/>
                <w:szCs w:val="13"/>
                <w:u w:val="none" w:color="auto"/>
              </w:rPr>
              <w:t>3</w:t>
            </w:r>
            <w:r>
              <w:rPr>
                <w:rFonts w:ascii="Times New Roman" w:hAnsi="Times New Roman" w:eastAsia="Times New Roman" w:cs="Times New Roman"/>
                <w:b w:val="0"/>
                <w:bCs w:val="0"/>
                <w:spacing w:val="7"/>
                <w:u w:val="none" w:color="auto"/>
              </w:rPr>
              <w:t>/s</w:t>
            </w:r>
            <w:r>
              <w:rPr>
                <w:b w:val="0"/>
                <w:bCs w:val="0"/>
                <w:spacing w:val="7"/>
                <w:u w:val="none" w:color="auto"/>
              </w:rPr>
              <w:t>；鱼类繁殖期</w:t>
            </w:r>
            <w:r>
              <w:rPr>
                <w:b w:val="0"/>
                <w:bCs w:val="0"/>
                <w:spacing w:val="-10"/>
                <w:u w:val="none" w:color="auto"/>
              </w:rPr>
              <w:t>（）</w:t>
            </w:r>
            <w:r>
              <w:rPr>
                <w:b w:val="0"/>
                <w:bCs w:val="0"/>
                <w:spacing w:val="-51"/>
                <w:u w:val="none" w:color="auto"/>
              </w:rPr>
              <w:t xml:space="preserve"> </w:t>
            </w:r>
            <w:r>
              <w:rPr>
                <w:rFonts w:ascii="Times New Roman" w:hAnsi="Times New Roman" w:eastAsia="Times New Roman" w:cs="Times New Roman"/>
                <w:b w:val="0"/>
                <w:bCs w:val="0"/>
                <w:spacing w:val="7"/>
                <w:u w:val="none" w:color="auto"/>
              </w:rPr>
              <w:t>m</w:t>
            </w:r>
            <w:r>
              <w:rPr>
                <w:rFonts w:ascii="Times New Roman" w:hAnsi="Times New Roman" w:eastAsia="Times New Roman" w:cs="Times New Roman"/>
                <w:b w:val="0"/>
                <w:bCs w:val="0"/>
                <w:spacing w:val="7"/>
                <w:position w:val="6"/>
                <w:sz w:val="13"/>
                <w:szCs w:val="13"/>
                <w:u w:val="none" w:color="auto"/>
              </w:rPr>
              <w:t>3</w:t>
            </w:r>
            <w:r>
              <w:rPr>
                <w:rFonts w:ascii="Times New Roman" w:hAnsi="Times New Roman" w:eastAsia="Times New Roman" w:cs="Times New Roman"/>
                <w:b w:val="0"/>
                <w:bCs w:val="0"/>
                <w:spacing w:val="7"/>
                <w:u w:val="none" w:color="auto"/>
              </w:rPr>
              <w:t>/s</w:t>
            </w:r>
            <w:r>
              <w:rPr>
                <w:b w:val="0"/>
                <w:bCs w:val="0"/>
                <w:spacing w:val="7"/>
                <w:u w:val="none" w:color="auto"/>
              </w:rPr>
              <w:t>；其他</w:t>
            </w:r>
            <w:r>
              <w:rPr>
                <w:b w:val="0"/>
                <w:bCs w:val="0"/>
                <w:spacing w:val="-10"/>
                <w:u w:val="none" w:color="auto"/>
              </w:rPr>
              <w:t>（）</w:t>
            </w:r>
            <w:r>
              <w:rPr>
                <w:b w:val="0"/>
                <w:bCs w:val="0"/>
                <w:spacing w:val="-51"/>
                <w:u w:val="none" w:color="auto"/>
              </w:rPr>
              <w:t xml:space="preserve"> </w:t>
            </w:r>
            <w:r>
              <w:rPr>
                <w:rFonts w:ascii="Times New Roman" w:hAnsi="Times New Roman" w:eastAsia="Times New Roman" w:cs="Times New Roman"/>
                <w:b w:val="0"/>
                <w:bCs w:val="0"/>
                <w:spacing w:val="7"/>
                <w:u w:val="none" w:color="auto"/>
              </w:rPr>
              <w:t>m</w:t>
            </w:r>
            <w:r>
              <w:rPr>
                <w:rFonts w:ascii="Times New Roman" w:hAnsi="Times New Roman" w:eastAsia="Times New Roman" w:cs="Times New Roman"/>
                <w:b w:val="0"/>
                <w:bCs w:val="0"/>
                <w:spacing w:val="7"/>
                <w:position w:val="6"/>
                <w:sz w:val="13"/>
                <w:szCs w:val="13"/>
                <w:u w:val="none" w:color="auto"/>
              </w:rPr>
              <w:t>3</w:t>
            </w:r>
            <w:r>
              <w:rPr>
                <w:rFonts w:ascii="Times New Roman" w:hAnsi="Times New Roman" w:eastAsia="Times New Roman" w:cs="Times New Roman"/>
                <w:b w:val="0"/>
                <w:bCs w:val="0"/>
                <w:spacing w:val="7"/>
                <w:u w:val="none" w:color="auto"/>
              </w:rPr>
              <w:t>/s</w:t>
            </w:r>
            <w:r>
              <w:rPr>
                <w:rFonts w:ascii="Times New Roman" w:hAnsi="Times New Roman" w:eastAsia="Times New Roman" w:cs="Times New Roman"/>
                <w:b w:val="0"/>
                <w:bCs w:val="0"/>
                <w:u w:val="none" w:color="auto"/>
              </w:rPr>
              <w:t xml:space="preserve"> </w:t>
            </w:r>
            <w:r>
              <w:rPr>
                <w:b w:val="0"/>
                <w:bCs w:val="0"/>
                <w:spacing w:val="6"/>
                <w:u w:val="none" w:color="auto"/>
              </w:rPr>
              <w:t>生态水位：一般水期</w:t>
            </w:r>
            <w:r>
              <w:rPr>
                <w:b w:val="0"/>
                <w:bCs w:val="0"/>
                <w:spacing w:val="-10"/>
                <w:u w:val="none" w:color="auto"/>
              </w:rPr>
              <w:t>（）</w:t>
            </w:r>
            <w:r>
              <w:rPr>
                <w:b w:val="0"/>
                <w:bCs w:val="0"/>
                <w:spacing w:val="-48"/>
                <w:u w:val="none" w:color="auto"/>
              </w:rPr>
              <w:t xml:space="preserve"> </w:t>
            </w:r>
            <w:r>
              <w:rPr>
                <w:rFonts w:ascii="Times New Roman" w:hAnsi="Times New Roman" w:eastAsia="Times New Roman" w:cs="Times New Roman"/>
                <w:b w:val="0"/>
                <w:bCs w:val="0"/>
                <w:spacing w:val="6"/>
                <w:u w:val="none" w:color="auto"/>
              </w:rPr>
              <w:t>m</w:t>
            </w:r>
            <w:r>
              <w:rPr>
                <w:rFonts w:ascii="Times New Roman" w:hAnsi="Times New Roman" w:eastAsia="Times New Roman" w:cs="Times New Roman"/>
                <w:b w:val="0"/>
                <w:bCs w:val="0"/>
                <w:spacing w:val="-23"/>
                <w:u w:val="none" w:color="auto"/>
              </w:rPr>
              <w:t xml:space="preserve"> </w:t>
            </w:r>
            <w:r>
              <w:rPr>
                <w:b w:val="0"/>
                <w:bCs w:val="0"/>
                <w:spacing w:val="6"/>
                <w:u w:val="none" w:color="auto"/>
              </w:rPr>
              <w:t>；鱼类繁殖期</w:t>
            </w:r>
            <w:r>
              <w:rPr>
                <w:b w:val="0"/>
                <w:bCs w:val="0"/>
                <w:spacing w:val="-10"/>
                <w:u w:val="none" w:color="auto"/>
              </w:rPr>
              <w:t>（）</w:t>
            </w:r>
            <w:r>
              <w:rPr>
                <w:b w:val="0"/>
                <w:bCs w:val="0"/>
                <w:spacing w:val="-49"/>
                <w:u w:val="none" w:color="auto"/>
              </w:rPr>
              <w:t xml:space="preserve"> </w:t>
            </w:r>
            <w:r>
              <w:rPr>
                <w:rFonts w:ascii="Times New Roman" w:hAnsi="Times New Roman" w:eastAsia="Times New Roman" w:cs="Times New Roman"/>
                <w:b w:val="0"/>
                <w:bCs w:val="0"/>
                <w:spacing w:val="6"/>
                <w:u w:val="none" w:color="auto"/>
              </w:rPr>
              <w:t>m</w:t>
            </w:r>
            <w:r>
              <w:rPr>
                <w:rFonts w:ascii="Times New Roman" w:hAnsi="Times New Roman" w:eastAsia="Times New Roman" w:cs="Times New Roman"/>
                <w:b w:val="0"/>
                <w:bCs w:val="0"/>
                <w:spacing w:val="-22"/>
                <w:u w:val="none" w:color="auto"/>
              </w:rPr>
              <w:t xml:space="preserve"> </w:t>
            </w:r>
            <w:r>
              <w:rPr>
                <w:b w:val="0"/>
                <w:bCs w:val="0"/>
                <w:spacing w:val="6"/>
                <w:u w:val="none" w:color="auto"/>
              </w:rPr>
              <w:t>；其他</w:t>
            </w:r>
            <w:r>
              <w:rPr>
                <w:b w:val="0"/>
                <w:bCs w:val="0"/>
                <w:spacing w:val="-10"/>
                <w:u w:val="none" w:color="auto"/>
              </w:rPr>
              <w:t>（）</w:t>
            </w:r>
            <w:r>
              <w:rPr>
                <w:b w:val="0"/>
                <w:bCs w:val="0"/>
                <w:spacing w:val="-51"/>
                <w:u w:val="none" w:color="auto"/>
              </w:rPr>
              <w:t xml:space="preserve"> </w:t>
            </w:r>
            <w:r>
              <w:rPr>
                <w:rFonts w:ascii="Times New Roman" w:hAnsi="Times New Roman" w:eastAsia="Times New Roman" w:cs="Times New Roman"/>
                <w:b w:val="0"/>
                <w:bCs w:val="0"/>
                <w:spacing w:val="6"/>
                <w:u w:val="none" w:color="auto"/>
              </w:rPr>
              <w:t>m</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restart"/>
            <w:tcBorders>
              <w:tl2br w:val="nil"/>
              <w:tr2bl w:val="nil"/>
            </w:tcBorders>
            <w:textDirection w:val="tbRlV"/>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6"/>
                <w:position w:val="4"/>
                <w:u w:val="none" w:color="auto"/>
              </w:rPr>
              <w:t>防 治 措 施</w:t>
            </w:r>
            <w:r>
              <w:rPr>
                <w:b w:val="0"/>
                <w:bCs w:val="0"/>
                <w:position w:val="-7"/>
                <w:u w:val="none" w:color="auto"/>
              </w:rPr>
              <w:drawing>
                <wp:inline distT="0" distB="0" distL="0" distR="0">
                  <wp:extent cx="132080" cy="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152"/>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153"/>
                          <a:stretch>
                            <a:fillRect/>
                          </a:stretch>
                        </pic:blipFill>
                        <pic:spPr>
                          <a:xfrm>
                            <a:off x="0" y="0"/>
                            <a:ext cx="132080" cy="0"/>
                          </a:xfrm>
                          <a:prstGeom prst="rect">
                            <a:avLst/>
                          </a:prstGeom>
                        </pic:spPr>
                      </pic:pic>
                    </a:graphicData>
                  </a:graphic>
                </wp:inline>
              </w:drawing>
            </w:r>
            <w:r>
              <w:rPr>
                <w:b w:val="0"/>
                <w:bCs w:val="0"/>
                <w:position w:val="-7"/>
                <w:u w:val="none" w:color="auto"/>
              </w:rPr>
              <w:drawing>
                <wp:inline distT="0" distB="0" distL="0" distR="0">
                  <wp:extent cx="132080" cy="0"/>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154"/>
                          <a:stretch>
                            <a:fillRect/>
                          </a:stretch>
                        </pic:blipFill>
                        <pic:spPr>
                          <a:xfrm>
                            <a:off x="0" y="0"/>
                            <a:ext cx="132080" cy="0"/>
                          </a:xfrm>
                          <a:prstGeom prst="rect">
                            <a:avLst/>
                          </a:prstGeom>
                        </pic:spPr>
                      </pic:pic>
                    </a:graphicData>
                  </a:graphic>
                </wp:inline>
              </w:drawing>
            </w: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环保措施</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0"/>
                <w:u w:val="none" w:color="auto"/>
              </w:rPr>
              <w:t>污水处理设施</w:t>
            </w:r>
            <w:r>
              <w:rPr>
                <w:rFonts w:ascii="MS Gothic" w:hAnsi="MS Gothic" w:eastAsia="MS Gothic" w:cs="MS Gothic"/>
                <w:b w:val="0"/>
                <w:bCs w:val="0"/>
                <w:spacing w:val="10"/>
                <w:u w:val="none" w:color="auto"/>
              </w:rPr>
              <w:t>☑</w:t>
            </w:r>
            <w:r>
              <w:rPr>
                <w:b w:val="0"/>
                <w:bCs w:val="0"/>
                <w:spacing w:val="10"/>
                <w:u w:val="none" w:color="auto"/>
              </w:rPr>
              <w:t>；水文减缓设施□；生态流量保障设施□；</w:t>
            </w:r>
            <w:r>
              <w:rPr>
                <w:b w:val="0"/>
                <w:bCs w:val="0"/>
                <w:spacing w:val="9"/>
                <w:u w:val="none" w:color="auto"/>
              </w:rPr>
              <w:t>区域削减</w:t>
            </w:r>
            <w:r>
              <w:rPr>
                <w:b w:val="0"/>
                <w:bCs w:val="0"/>
                <w:u w:val="none" w:color="auto"/>
              </w:rPr>
              <w:t xml:space="preserve"> </w:t>
            </w:r>
            <w:r>
              <w:rPr>
                <w:b w:val="0"/>
                <w:bCs w:val="0"/>
                <w:spacing w:val="8"/>
                <w:u w:val="none" w:color="auto"/>
              </w:rPr>
              <w:t>□；依托其他工程措施□；其他□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restart"/>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监测计划</w:t>
            </w:r>
          </w:p>
        </w:tc>
        <w:tc>
          <w:tcPr>
            <w:tcW w:w="1911"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2745" w:type="dxa"/>
            <w:gridSpan w:val="5"/>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环境质量</w:t>
            </w:r>
          </w:p>
        </w:tc>
        <w:tc>
          <w:tcPr>
            <w:tcW w:w="2477"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7"/>
                <w:u w:val="none" w:color="auto"/>
              </w:rPr>
              <w:t>污染源</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91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监测方式</w:t>
            </w:r>
          </w:p>
        </w:tc>
        <w:tc>
          <w:tcPr>
            <w:tcW w:w="2745" w:type="dxa"/>
            <w:gridSpan w:val="5"/>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3"/>
                <w:u w:val="none" w:color="auto"/>
              </w:rPr>
              <w:t>手动□；</w:t>
            </w:r>
            <w:r>
              <w:rPr>
                <w:b w:val="0"/>
                <w:bCs w:val="0"/>
                <w:spacing w:val="-50"/>
                <w:u w:val="none" w:color="auto"/>
              </w:rPr>
              <w:t xml:space="preserve"> </w:t>
            </w:r>
            <w:r>
              <w:rPr>
                <w:b w:val="0"/>
                <w:bCs w:val="0"/>
                <w:spacing w:val="3"/>
                <w:u w:val="none" w:color="auto"/>
              </w:rPr>
              <w:t>自动□；无监测</w:t>
            </w:r>
            <w:r>
              <w:rPr>
                <w:b w:val="0"/>
                <w:bCs w:val="0"/>
                <w:u w:val="none" w:color="auto"/>
              </w:rPr>
              <w:t xml:space="preserve"> □</w:t>
            </w:r>
          </w:p>
        </w:tc>
        <w:tc>
          <w:tcPr>
            <w:tcW w:w="2477"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5"/>
                <w:u w:val="none" w:color="auto"/>
              </w:rPr>
              <w:t>手动</w:t>
            </w:r>
            <w:r>
              <w:rPr>
                <w:b w:val="0"/>
                <w:bCs w:val="0"/>
                <w:position w:val="-4"/>
                <w:u w:val="none" w:color="auto"/>
              </w:rPr>
              <w:drawing>
                <wp:inline distT="0" distB="0" distL="0" distR="0">
                  <wp:extent cx="114935" cy="13970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177"/>
                          <a:stretch>
                            <a:fillRect/>
                          </a:stretch>
                        </pic:blipFill>
                        <pic:spPr>
                          <a:xfrm>
                            <a:off x="0" y="0"/>
                            <a:ext cx="115175" cy="139748"/>
                          </a:xfrm>
                          <a:prstGeom prst="rect">
                            <a:avLst/>
                          </a:prstGeom>
                        </pic:spPr>
                      </pic:pic>
                    </a:graphicData>
                  </a:graphic>
                </wp:inline>
              </w:drawing>
            </w:r>
            <w:r>
              <w:rPr>
                <w:b w:val="0"/>
                <w:bCs w:val="0"/>
                <w:spacing w:val="-64"/>
                <w:u w:val="none" w:color="auto"/>
              </w:rPr>
              <w:t xml:space="preserve"> </w:t>
            </w:r>
            <w:r>
              <w:rPr>
                <w:b w:val="0"/>
                <w:bCs w:val="0"/>
                <w:spacing w:val="-5"/>
                <w:u w:val="none" w:color="auto"/>
              </w:rPr>
              <w:t>；</w:t>
            </w:r>
            <w:r>
              <w:rPr>
                <w:b w:val="0"/>
                <w:bCs w:val="0"/>
                <w:spacing w:val="-56"/>
                <w:u w:val="none" w:color="auto"/>
              </w:rPr>
              <w:t xml:space="preserve"> </w:t>
            </w:r>
            <w:r>
              <w:rPr>
                <w:b w:val="0"/>
                <w:bCs w:val="0"/>
                <w:spacing w:val="-5"/>
                <w:u w:val="none" w:color="auto"/>
              </w:rPr>
              <w:t>自动</w:t>
            </w:r>
            <w:r>
              <w:rPr>
                <w:b w:val="0"/>
                <w:bCs w:val="0"/>
                <w:position w:val="-4"/>
                <w:u w:val="none" w:color="auto"/>
              </w:rPr>
              <w:drawing>
                <wp:inline distT="0" distB="0" distL="0" distR="0">
                  <wp:extent cx="114935" cy="13970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178"/>
                          <a:stretch>
                            <a:fillRect/>
                          </a:stretch>
                        </pic:blipFill>
                        <pic:spPr>
                          <a:xfrm>
                            <a:off x="0" y="0"/>
                            <a:ext cx="115175" cy="139748"/>
                          </a:xfrm>
                          <a:prstGeom prst="rect">
                            <a:avLst/>
                          </a:prstGeom>
                        </pic:spPr>
                      </pic:pic>
                    </a:graphicData>
                  </a:graphic>
                </wp:inline>
              </w:drawing>
            </w:r>
            <w:r>
              <w:rPr>
                <w:b w:val="0"/>
                <w:bCs w:val="0"/>
                <w:spacing w:val="-67"/>
                <w:u w:val="none" w:color="auto"/>
              </w:rPr>
              <w:t xml:space="preserve"> </w:t>
            </w:r>
            <w:r>
              <w:rPr>
                <w:b w:val="0"/>
                <w:bCs w:val="0"/>
                <w:spacing w:val="-5"/>
                <w:u w:val="none" w:color="auto"/>
              </w:rPr>
              <w:t>；无监</w:t>
            </w:r>
            <w:r>
              <w:rPr>
                <w:b w:val="0"/>
                <w:bCs w:val="0"/>
                <w:u w:val="none" w:color="auto"/>
              </w:rPr>
              <w:t xml:space="preserve"> </w:t>
            </w:r>
            <w:r>
              <w:rPr>
                <w:b w:val="0"/>
                <w:bCs w:val="0"/>
                <w:spacing w:val="4"/>
                <w:u w:val="none" w:color="auto"/>
              </w:rPr>
              <w:t>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91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监测点位</w:t>
            </w:r>
          </w:p>
        </w:tc>
        <w:tc>
          <w:tcPr>
            <w:tcW w:w="2745" w:type="dxa"/>
            <w:gridSpan w:val="5"/>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3"/>
                <w:u w:val="none" w:color="auto"/>
              </w:rPr>
              <w:t>（</w:t>
            </w:r>
            <w:r>
              <w:rPr>
                <w:rFonts w:ascii="Times New Roman" w:hAnsi="Times New Roman" w:eastAsia="Times New Roman" w:cs="Times New Roman"/>
                <w:b w:val="0"/>
                <w:bCs w:val="0"/>
                <w:spacing w:val="-3"/>
                <w:u w:val="none" w:color="auto"/>
              </w:rPr>
              <w:t>/</w:t>
            </w:r>
            <w:r>
              <w:rPr>
                <w:b w:val="0"/>
                <w:bCs w:val="0"/>
                <w:spacing w:val="-3"/>
                <w:u w:val="none" w:color="auto"/>
              </w:rPr>
              <w:t>）</w:t>
            </w:r>
          </w:p>
        </w:tc>
        <w:tc>
          <w:tcPr>
            <w:tcW w:w="2477"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（总排口）</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911" w:type="dxa"/>
            <w:gridSpan w:val="3"/>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监测因子</w:t>
            </w:r>
          </w:p>
        </w:tc>
        <w:tc>
          <w:tcPr>
            <w:tcW w:w="2745" w:type="dxa"/>
            <w:gridSpan w:val="5"/>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3"/>
                <w:u w:val="none" w:color="auto"/>
              </w:rPr>
              <w:t>（</w:t>
            </w:r>
            <w:r>
              <w:rPr>
                <w:rFonts w:ascii="Times New Roman" w:hAnsi="Times New Roman" w:eastAsia="Times New Roman" w:cs="Times New Roman"/>
                <w:b w:val="0"/>
                <w:bCs w:val="0"/>
                <w:spacing w:val="-3"/>
                <w:u w:val="none" w:color="auto"/>
              </w:rPr>
              <w:t>/</w:t>
            </w:r>
            <w:r>
              <w:rPr>
                <w:b w:val="0"/>
                <w:bCs w:val="0"/>
                <w:spacing w:val="-3"/>
                <w:u w:val="none" w:color="auto"/>
              </w:rPr>
              <w:t>）</w:t>
            </w:r>
          </w:p>
        </w:tc>
        <w:tc>
          <w:tcPr>
            <w:tcW w:w="2477" w:type="dxa"/>
            <w:gridSpan w:val="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w:t>
            </w:r>
            <w:r>
              <w:rPr>
                <w:rFonts w:ascii="Times New Roman" w:hAnsi="Times New Roman" w:eastAsia="Times New Roman" w:cs="Times New Roman"/>
                <w:b w:val="0"/>
                <w:bCs w:val="0"/>
                <w:u w:val="none" w:color="auto"/>
              </w:rPr>
              <w:t>COD</w:t>
            </w:r>
            <w:r>
              <w:rPr>
                <w:rFonts w:ascii="Times New Roman" w:hAnsi="Times New Roman" w:eastAsia="Times New Roman" w:cs="Times New Roman"/>
                <w:b w:val="0"/>
                <w:bCs w:val="0"/>
                <w:spacing w:val="-26"/>
                <w:u w:val="none" w:color="auto"/>
              </w:rPr>
              <w:t xml:space="preserve"> </w:t>
            </w:r>
            <w:r>
              <w:rPr>
                <w:b w:val="0"/>
                <w:bCs w:val="0"/>
                <w:spacing w:val="4"/>
                <w:u w:val="none" w:color="auto"/>
              </w:rPr>
              <w:t>、氨氮）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037"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b w:val="0"/>
                <w:bCs w:val="0"/>
                <w:sz w:val="21"/>
                <w:u w:val="none" w:color="auto"/>
              </w:rPr>
            </w:pPr>
          </w:p>
        </w:tc>
        <w:tc>
          <w:tcPr>
            <w:tcW w:w="1665" w:type="dxa"/>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污染物排放清</w:t>
            </w:r>
            <w:r>
              <w:rPr>
                <w:b w:val="0"/>
                <w:bCs w:val="0"/>
                <w:u w:val="none" w:color="auto"/>
              </w:rPr>
              <w:t>单</w:t>
            </w:r>
          </w:p>
        </w:tc>
        <w:tc>
          <w:tcPr>
            <w:tcW w:w="7133" w:type="dxa"/>
            <w:gridSpan w:val="1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MS Gothic" w:hAnsi="MS Gothic" w:eastAsia="MS Gothic" w:cs="MS Gothic"/>
                <w:b w:val="0"/>
                <w:bCs w:val="0"/>
                <w:sz w:val="20"/>
                <w:szCs w:val="20"/>
                <w:u w:val="none" w:color="auto"/>
              </w:rPr>
            </w:pPr>
            <w:r>
              <w:rPr>
                <w:rFonts w:ascii="MS Gothic" w:hAnsi="MS Gothic" w:eastAsia="MS Gothic" w:cs="MS Gothic"/>
                <w:b w:val="0"/>
                <w:bCs w:val="0"/>
                <w:sz w:val="20"/>
                <w:szCs w:val="20"/>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2702" w:type="dxa"/>
            <w:gridSpan w:val="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8"/>
                <w:u w:val="none" w:color="auto"/>
              </w:rPr>
              <w:t>评价结论</w:t>
            </w:r>
          </w:p>
        </w:tc>
        <w:tc>
          <w:tcPr>
            <w:tcW w:w="7133" w:type="dxa"/>
            <w:gridSpan w:val="12"/>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10"/>
                <w:u w:val="none" w:color="auto"/>
              </w:rPr>
              <w:t>可以接受</w:t>
            </w:r>
            <w:r>
              <w:rPr>
                <w:b w:val="0"/>
                <w:bCs w:val="0"/>
                <w:position w:val="-3"/>
                <w:u w:val="none" w:color="auto"/>
              </w:rPr>
              <w:drawing>
                <wp:inline distT="0" distB="0" distL="0" distR="0">
                  <wp:extent cx="115570" cy="11874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179"/>
                          <a:stretch>
                            <a:fillRect/>
                          </a:stretch>
                        </pic:blipFill>
                        <pic:spPr>
                          <a:xfrm>
                            <a:off x="0" y="0"/>
                            <a:ext cx="115952" cy="119079"/>
                          </a:xfrm>
                          <a:prstGeom prst="rect">
                            <a:avLst/>
                          </a:prstGeom>
                        </pic:spPr>
                      </pic:pic>
                    </a:graphicData>
                  </a:graphic>
                </wp:inline>
              </w:drawing>
            </w:r>
            <w:r>
              <w:rPr>
                <w:b w:val="0"/>
                <w:bCs w:val="0"/>
                <w:spacing w:val="10"/>
                <w:u w:val="none" w:color="auto"/>
              </w:rPr>
              <w:t>；不可以接受□</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9835" w:type="dxa"/>
            <w:gridSpan w:val="14"/>
            <w:tcBorders>
              <w:tl2br w:val="nil"/>
              <w:tr2bl w:val="nil"/>
            </w:tcBorders>
            <w:vAlign w:val="center"/>
          </w:tcPr>
          <w:p>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val="0"/>
                <w:bCs w:val="0"/>
                <w:u w:val="none" w:color="auto"/>
              </w:rPr>
            </w:pPr>
            <w:r>
              <w:rPr>
                <w:b w:val="0"/>
                <w:bCs w:val="0"/>
                <w:spacing w:val="4"/>
                <w:u w:val="none" w:color="auto"/>
              </w:rPr>
              <w:t>注：</w:t>
            </w:r>
            <w:r>
              <w:rPr>
                <w:b w:val="0"/>
                <w:bCs w:val="0"/>
                <w:spacing w:val="-79"/>
                <w:u w:val="none" w:color="auto"/>
              </w:rPr>
              <w:t xml:space="preserve"> </w:t>
            </w:r>
            <w:r>
              <w:rPr>
                <w:b w:val="0"/>
                <w:bCs w:val="0"/>
                <w:spacing w:val="4"/>
                <w:u w:val="none" w:color="auto"/>
              </w:rPr>
              <w:t>“</w:t>
            </w:r>
            <w:r>
              <w:rPr>
                <w:b w:val="0"/>
                <w:bCs w:val="0"/>
                <w:spacing w:val="-69"/>
                <w:u w:val="none" w:color="auto"/>
              </w:rPr>
              <w:t xml:space="preserve"> </w:t>
            </w:r>
            <w:r>
              <w:rPr>
                <w:b w:val="0"/>
                <w:bCs w:val="0"/>
                <w:spacing w:val="4"/>
                <w:u w:val="none" w:color="auto"/>
              </w:rPr>
              <w:t>□</w:t>
            </w:r>
            <w:r>
              <w:rPr>
                <w:b w:val="0"/>
                <w:bCs w:val="0"/>
                <w:spacing w:val="-70"/>
                <w:u w:val="none" w:color="auto"/>
              </w:rPr>
              <w:t xml:space="preserve"> </w:t>
            </w:r>
            <w:r>
              <w:rPr>
                <w:b w:val="0"/>
                <w:bCs w:val="0"/>
                <w:spacing w:val="4"/>
                <w:u w:val="none" w:color="auto"/>
              </w:rPr>
              <w:t>”为勾选项，可</w:t>
            </w:r>
            <w:r>
              <w:rPr>
                <w:b w:val="0"/>
                <w:bCs w:val="0"/>
                <w:spacing w:val="-38"/>
                <w:u w:val="none" w:color="auto"/>
              </w:rPr>
              <w:t xml:space="preserve"> </w:t>
            </w:r>
            <w:r>
              <w:rPr>
                <w:b w:val="0"/>
                <w:bCs w:val="0"/>
                <w:spacing w:val="4"/>
                <w:u w:val="none" w:color="auto"/>
              </w:rPr>
              <w:t>√</w:t>
            </w:r>
            <w:r>
              <w:rPr>
                <w:b w:val="0"/>
                <w:bCs w:val="0"/>
                <w:spacing w:val="-74"/>
                <w:u w:val="none" w:color="auto"/>
              </w:rPr>
              <w:t xml:space="preserve"> </w:t>
            </w:r>
            <w:r>
              <w:rPr>
                <w:b w:val="0"/>
                <w:bCs w:val="0"/>
                <w:spacing w:val="4"/>
                <w:u w:val="none" w:color="auto"/>
              </w:rPr>
              <w:t>；“</w:t>
            </w:r>
            <w:r>
              <w:rPr>
                <w:b w:val="0"/>
                <w:bCs w:val="0"/>
                <w:spacing w:val="-10"/>
                <w:u w:val="none" w:color="auto"/>
              </w:rPr>
              <w:t>（）</w:t>
            </w:r>
            <w:r>
              <w:rPr>
                <w:b w:val="0"/>
                <w:bCs w:val="0"/>
                <w:spacing w:val="-29"/>
                <w:u w:val="none" w:color="auto"/>
              </w:rPr>
              <w:t xml:space="preserve"> </w:t>
            </w:r>
            <w:r>
              <w:rPr>
                <w:b w:val="0"/>
                <w:bCs w:val="0"/>
                <w:spacing w:val="4"/>
                <w:u w:val="none" w:color="auto"/>
              </w:rPr>
              <w:t>”为内容填写项；</w:t>
            </w:r>
            <w:r>
              <w:rPr>
                <w:b w:val="0"/>
                <w:bCs w:val="0"/>
                <w:spacing w:val="-77"/>
                <w:u w:val="none" w:color="auto"/>
              </w:rPr>
              <w:t xml:space="preserve"> </w:t>
            </w:r>
            <w:r>
              <w:rPr>
                <w:b w:val="0"/>
                <w:bCs w:val="0"/>
                <w:spacing w:val="4"/>
                <w:u w:val="none" w:color="auto"/>
              </w:rPr>
              <w:t>“</w:t>
            </w:r>
            <w:r>
              <w:rPr>
                <w:b w:val="0"/>
                <w:bCs w:val="0"/>
                <w:spacing w:val="3"/>
                <w:u w:val="none" w:color="auto"/>
              </w:rPr>
              <w:t>备注</w:t>
            </w:r>
            <w:r>
              <w:rPr>
                <w:b w:val="0"/>
                <w:bCs w:val="0"/>
                <w:spacing w:val="-73"/>
                <w:u w:val="none" w:color="auto"/>
              </w:rPr>
              <w:t xml:space="preserve"> </w:t>
            </w:r>
            <w:r>
              <w:rPr>
                <w:b w:val="0"/>
                <w:bCs w:val="0"/>
                <w:spacing w:val="3"/>
                <w:u w:val="none" w:color="auto"/>
              </w:rPr>
              <w:t>”为其他补充内容。</w:t>
            </w:r>
          </w:p>
        </w:tc>
      </w:tr>
    </w:tbl>
    <w:p>
      <w:pPr>
        <w:pStyle w:val="8"/>
      </w:pPr>
    </w:p>
    <w:p>
      <w:pPr>
        <w:sectPr>
          <w:footerReference r:id="rId24" w:type="default"/>
          <w:pgSz w:w="11906" w:h="16839"/>
          <w:pgMar w:top="1440" w:right="1080" w:bottom="1440" w:left="1080" w:header="0" w:footer="1116" w:gutter="0"/>
          <w:pgBorders>
            <w:top w:val="none" w:sz="0" w:space="0"/>
            <w:left w:val="none" w:sz="0" w:space="0"/>
            <w:bottom w:val="none" w:sz="0" w:space="0"/>
            <w:right w:val="none" w:sz="0" w:space="0"/>
          </w:pgBorders>
          <w:pgNumType w:fmt="numberInDash"/>
          <w:cols w:space="720" w:num="1"/>
        </w:sectPr>
      </w:pPr>
    </w:p>
    <w:p>
      <w:pPr>
        <w:spacing w:before="78" w:line="223" w:lineRule="auto"/>
        <w:rPr>
          <w:rFonts w:ascii="黑体" w:hAnsi="黑体" w:eastAsia="黑体" w:cs="黑体"/>
          <w:sz w:val="24"/>
          <w:szCs w:val="24"/>
        </w:rPr>
      </w:pPr>
      <w:r>
        <w:rPr>
          <w:rFonts w:ascii="黑体" w:hAnsi="黑体" w:eastAsia="黑体" w:cs="黑体"/>
          <w:spacing w:val="-8"/>
          <w:sz w:val="24"/>
          <w:szCs w:val="24"/>
        </w:rPr>
        <w:t>附表三</w:t>
      </w:r>
    </w:p>
    <w:p>
      <w:pPr>
        <w:spacing w:before="209" w:line="218" w:lineRule="auto"/>
        <w:ind w:left="3489"/>
      </w:pPr>
      <w:r>
        <w:rPr>
          <w:rFonts w:ascii="宋体" w:hAnsi="宋体" w:eastAsia="宋体" w:cs="宋体"/>
          <w:spacing w:val="-1"/>
          <w:sz w:val="24"/>
          <w:szCs w:val="24"/>
          <w:u w:val="none" w:color="auto"/>
          <w14:textOutline w14:w="4358" w14:cap="sq" w14:cmpd="sng">
            <w14:solidFill>
              <w14:srgbClr w14:val="000000"/>
            </w14:solidFill>
            <w14:prstDash w14:val="solid"/>
            <w14:bevel/>
          </w14:textOutline>
        </w:rPr>
        <w:t>声环境影响评价自查表</w:t>
      </w:r>
    </w:p>
    <w:tbl>
      <w:tblPr>
        <w:tblStyle w:val="24"/>
        <w:tblW w:w="9356" w:type="dxa"/>
        <w:tblInd w:w="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365"/>
        <w:gridCol w:w="1421"/>
        <w:gridCol w:w="983"/>
        <w:gridCol w:w="434"/>
        <w:gridCol w:w="642"/>
        <w:gridCol w:w="95"/>
        <w:gridCol w:w="597"/>
        <w:gridCol w:w="345"/>
        <w:gridCol w:w="1018"/>
        <w:gridCol w:w="616"/>
        <w:gridCol w:w="206"/>
        <w:gridCol w:w="158"/>
        <w:gridCol w:w="147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74" w:hRule="atLeast"/>
        </w:trPr>
        <w:tc>
          <w:tcPr>
            <w:tcW w:w="2786" w:type="dxa"/>
            <w:gridSpan w:val="2"/>
            <w:tcBorders>
              <w:tl2br w:val="nil"/>
              <w:tr2bl w:val="nil"/>
            </w:tcBorders>
            <w:vAlign w:val="top"/>
          </w:tcPr>
          <w:p>
            <w:pPr>
              <w:pStyle w:val="25"/>
              <w:spacing w:before="179" w:line="228" w:lineRule="auto"/>
              <w:ind w:left="979"/>
              <w:rPr>
                <w:b w:val="0"/>
                <w:bCs w:val="0"/>
                <w:u w:val="none" w:color="auto"/>
              </w:rPr>
            </w:pPr>
            <w:r>
              <w:rPr>
                <w:b w:val="0"/>
                <w:bCs w:val="0"/>
                <w:spacing w:val="7"/>
                <w:u w:val="none" w:color="auto"/>
              </w:rPr>
              <w:t>工作内容</w:t>
            </w:r>
          </w:p>
        </w:tc>
        <w:tc>
          <w:tcPr>
            <w:tcW w:w="6570" w:type="dxa"/>
            <w:gridSpan w:val="11"/>
            <w:tcBorders>
              <w:tl2br w:val="nil"/>
              <w:tr2bl w:val="nil"/>
            </w:tcBorders>
            <w:vAlign w:val="top"/>
          </w:tcPr>
          <w:p>
            <w:pPr>
              <w:pStyle w:val="25"/>
              <w:spacing w:before="180" w:line="228" w:lineRule="auto"/>
              <w:ind w:left="2900"/>
              <w:rPr>
                <w:b w:val="0"/>
                <w:bCs w:val="0"/>
                <w:u w:val="none" w:color="auto"/>
              </w:rPr>
            </w:pPr>
            <w:r>
              <w:rPr>
                <w:b w:val="0"/>
                <w:bCs w:val="0"/>
                <w:u w:val="none" w:color="auto"/>
              </w:rPr>
              <w:t>自查项目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vMerge w:val="restart"/>
            <w:tcBorders>
              <w:tl2br w:val="nil"/>
              <w:tr2bl w:val="nil"/>
            </w:tcBorders>
            <w:vAlign w:val="top"/>
          </w:tcPr>
          <w:p>
            <w:pPr>
              <w:pStyle w:val="25"/>
              <w:spacing w:before="304" w:line="258" w:lineRule="auto"/>
              <w:ind w:left="599" w:right="47" w:hanging="545"/>
              <w:rPr>
                <w:b w:val="0"/>
                <w:bCs w:val="0"/>
                <w:u w:val="none" w:color="auto"/>
              </w:rPr>
            </w:pPr>
            <w:r>
              <w:rPr>
                <w:b w:val="0"/>
                <w:bCs w:val="0"/>
                <w:spacing w:val="9"/>
                <w:u w:val="none" w:color="auto"/>
              </w:rPr>
              <w:t>评级等级与范</w:t>
            </w:r>
            <w:r>
              <w:rPr>
                <w:b w:val="0"/>
                <w:bCs w:val="0"/>
                <w:u w:val="none" w:color="auto"/>
              </w:rPr>
              <w:t>围</w:t>
            </w:r>
          </w:p>
        </w:tc>
        <w:tc>
          <w:tcPr>
            <w:tcW w:w="1421" w:type="dxa"/>
            <w:tcBorders>
              <w:tl2br w:val="nil"/>
              <w:tr2bl w:val="nil"/>
            </w:tcBorders>
            <w:vAlign w:val="top"/>
          </w:tcPr>
          <w:p>
            <w:pPr>
              <w:pStyle w:val="25"/>
              <w:spacing w:before="172" w:line="226" w:lineRule="auto"/>
              <w:ind w:left="290"/>
              <w:rPr>
                <w:b w:val="0"/>
                <w:bCs w:val="0"/>
                <w:u w:val="none" w:color="auto"/>
              </w:rPr>
            </w:pPr>
            <w:r>
              <w:rPr>
                <w:b w:val="0"/>
                <w:bCs w:val="0"/>
                <w:spacing w:val="8"/>
                <w:u w:val="none" w:color="auto"/>
              </w:rPr>
              <w:t>评价等级</w:t>
            </w:r>
          </w:p>
        </w:tc>
        <w:tc>
          <w:tcPr>
            <w:tcW w:w="6570" w:type="dxa"/>
            <w:gridSpan w:val="11"/>
            <w:tcBorders>
              <w:tl2br w:val="nil"/>
              <w:tr2bl w:val="nil"/>
            </w:tcBorders>
            <w:vAlign w:val="top"/>
          </w:tcPr>
          <w:p>
            <w:pPr>
              <w:pStyle w:val="25"/>
              <w:spacing w:before="171" w:line="223" w:lineRule="auto"/>
              <w:ind w:left="371"/>
              <w:rPr>
                <w:b w:val="0"/>
                <w:bCs w:val="0"/>
                <w:u w:val="none" w:color="auto"/>
              </w:rPr>
            </w:pPr>
            <w:r>
              <w:rPr>
                <w:b w:val="0"/>
                <w:bCs w:val="0"/>
                <w:spacing w:val="5"/>
                <w:u w:val="none" w:color="auto"/>
              </w:rPr>
              <w:t>一级□</w:t>
            </w:r>
            <w:r>
              <w:rPr>
                <w:b w:val="0"/>
                <w:bCs w:val="0"/>
                <w:u w:val="none" w:color="auto"/>
              </w:rPr>
              <w:t xml:space="preserve">                   </w:t>
            </w:r>
            <w:r>
              <w:rPr>
                <w:b w:val="0"/>
                <w:bCs w:val="0"/>
                <w:spacing w:val="5"/>
                <w:u w:val="none" w:color="auto"/>
              </w:rPr>
              <w:t>二级</w:t>
            </w:r>
            <w:r>
              <w:rPr>
                <w:b w:val="0"/>
                <w:bCs w:val="0"/>
                <w:position w:val="-4"/>
                <w:u w:val="none" w:color="auto"/>
              </w:rPr>
              <w:drawing>
                <wp:inline distT="0" distB="0" distL="0" distR="0">
                  <wp:extent cx="115570" cy="139700"/>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80"/>
                          <a:stretch>
                            <a:fillRect/>
                          </a:stretch>
                        </pic:blipFill>
                        <pic:spPr>
                          <a:xfrm>
                            <a:off x="0" y="0"/>
                            <a:ext cx="115621" cy="139748"/>
                          </a:xfrm>
                          <a:prstGeom prst="rect">
                            <a:avLst/>
                          </a:prstGeom>
                        </pic:spPr>
                      </pic:pic>
                    </a:graphicData>
                  </a:graphic>
                </wp:inline>
              </w:drawing>
            </w:r>
            <w:r>
              <w:rPr>
                <w:b w:val="0"/>
                <w:bCs w:val="0"/>
                <w:spacing w:val="1"/>
                <w:u w:val="none" w:color="auto"/>
              </w:rPr>
              <w:t xml:space="preserve">                     </w:t>
            </w:r>
            <w:r>
              <w:rPr>
                <w:b w:val="0"/>
                <w:bCs w:val="0"/>
                <w:spacing w:val="5"/>
                <w:u w:val="none" w:color="auto"/>
              </w:rPr>
              <w:t>三级</w:t>
            </w:r>
            <w:r>
              <w:rPr>
                <w:b w:val="0"/>
                <w:bCs w:val="0"/>
                <w:position w:val="-4"/>
                <w:u w:val="none" w:color="auto"/>
              </w:rPr>
              <w:drawing>
                <wp:inline distT="0" distB="0" distL="0" distR="0">
                  <wp:extent cx="106680" cy="139700"/>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181"/>
                          <a:stretch>
                            <a:fillRect/>
                          </a:stretch>
                        </pic:blipFill>
                        <pic:spPr>
                          <a:xfrm>
                            <a:off x="0" y="0"/>
                            <a:ext cx="107309" cy="13974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171" w:line="226" w:lineRule="auto"/>
              <w:ind w:left="290"/>
              <w:rPr>
                <w:b w:val="0"/>
                <w:bCs w:val="0"/>
                <w:u w:val="none" w:color="auto"/>
              </w:rPr>
            </w:pPr>
            <w:r>
              <w:rPr>
                <w:b w:val="0"/>
                <w:bCs w:val="0"/>
                <w:spacing w:val="8"/>
                <w:u w:val="none" w:color="auto"/>
              </w:rPr>
              <w:t>评价范围</w:t>
            </w:r>
          </w:p>
        </w:tc>
        <w:tc>
          <w:tcPr>
            <w:tcW w:w="6570" w:type="dxa"/>
            <w:gridSpan w:val="11"/>
            <w:tcBorders>
              <w:tl2br w:val="nil"/>
              <w:tr2bl w:val="nil"/>
            </w:tcBorders>
            <w:vAlign w:val="top"/>
          </w:tcPr>
          <w:p>
            <w:pPr>
              <w:pStyle w:val="25"/>
              <w:spacing w:before="170" w:line="223" w:lineRule="auto"/>
              <w:ind w:left="247"/>
              <w:rPr>
                <w:b w:val="0"/>
                <w:bCs w:val="0"/>
                <w:u w:val="none" w:color="auto"/>
              </w:rPr>
            </w:pPr>
            <w:r>
              <w:rPr>
                <w:rFonts w:ascii="Times New Roman" w:hAnsi="Times New Roman" w:eastAsia="Times New Roman" w:cs="Times New Roman"/>
                <w:b w:val="0"/>
                <w:bCs w:val="0"/>
                <w:spacing w:val="5"/>
                <w:u w:val="none" w:color="auto"/>
              </w:rPr>
              <w:t>200m</w:t>
            </w:r>
            <w:r>
              <w:rPr>
                <w:b w:val="0"/>
                <w:bCs w:val="0"/>
                <w:position w:val="-4"/>
                <w:u w:val="none" w:color="auto"/>
              </w:rPr>
              <w:drawing>
                <wp:inline distT="0" distB="0" distL="0" distR="0">
                  <wp:extent cx="113665" cy="139700"/>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182"/>
                          <a:stretch>
                            <a:fillRect/>
                          </a:stretch>
                        </pic:blipFill>
                        <pic:spPr>
                          <a:xfrm>
                            <a:off x="0" y="0"/>
                            <a:ext cx="113721" cy="139748"/>
                          </a:xfrm>
                          <a:prstGeom prst="rect">
                            <a:avLst/>
                          </a:prstGeom>
                        </pic:spPr>
                      </pic:pic>
                    </a:graphicData>
                  </a:graphic>
                </wp:inline>
              </w:drawing>
            </w:r>
            <w:r>
              <w:rPr>
                <w:rFonts w:ascii="Times New Roman" w:hAnsi="Times New Roman" w:eastAsia="Times New Roman" w:cs="Times New Roman"/>
                <w:b w:val="0"/>
                <w:bCs w:val="0"/>
                <w:spacing w:val="2"/>
                <w:u w:val="none" w:color="auto"/>
              </w:rPr>
              <w:t xml:space="preserve">                         </w:t>
            </w:r>
            <w:r>
              <w:rPr>
                <w:rFonts w:ascii="Times New Roman" w:hAnsi="Times New Roman" w:eastAsia="Times New Roman" w:cs="Times New Roman"/>
                <w:b w:val="0"/>
                <w:bCs w:val="0"/>
                <w:spacing w:val="1"/>
                <w:u w:val="none" w:color="auto"/>
              </w:rPr>
              <w:t xml:space="preserve">        </w:t>
            </w:r>
            <w:r>
              <w:rPr>
                <w:b w:val="0"/>
                <w:bCs w:val="0"/>
                <w:spacing w:val="5"/>
                <w:u w:val="none" w:color="auto"/>
              </w:rPr>
              <w:t>大于</w:t>
            </w:r>
            <w:r>
              <w:rPr>
                <w:b w:val="0"/>
                <w:bCs w:val="0"/>
                <w:spacing w:val="-39"/>
                <w:u w:val="none" w:color="auto"/>
              </w:rPr>
              <w:t xml:space="preserve"> </w:t>
            </w:r>
            <w:r>
              <w:rPr>
                <w:rFonts w:ascii="Times New Roman" w:hAnsi="Times New Roman" w:eastAsia="Times New Roman" w:cs="Times New Roman"/>
                <w:b w:val="0"/>
                <w:bCs w:val="0"/>
                <w:spacing w:val="5"/>
                <w:u w:val="none" w:color="auto"/>
              </w:rPr>
              <w:t>200m</w:t>
            </w:r>
            <w:r>
              <w:rPr>
                <w:b w:val="0"/>
                <w:bCs w:val="0"/>
                <w:spacing w:val="5"/>
                <w:u w:val="none" w:color="auto"/>
              </w:rPr>
              <w:t>□             小于</w:t>
            </w:r>
            <w:r>
              <w:rPr>
                <w:b w:val="0"/>
                <w:bCs w:val="0"/>
                <w:spacing w:val="-40"/>
                <w:u w:val="none" w:color="auto"/>
              </w:rPr>
              <w:t xml:space="preserve"> </w:t>
            </w:r>
            <w:r>
              <w:rPr>
                <w:rFonts w:ascii="Times New Roman" w:hAnsi="Times New Roman" w:eastAsia="Times New Roman" w:cs="Times New Roman"/>
                <w:b w:val="0"/>
                <w:bCs w:val="0"/>
                <w:spacing w:val="5"/>
                <w:u w:val="none" w:color="auto"/>
              </w:rPr>
              <w:t>200m</w:t>
            </w:r>
            <w:r>
              <w:rPr>
                <w:b w:val="0"/>
                <w:bCs w:val="0"/>
                <w:spacing w:val="5"/>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365" w:type="dxa"/>
            <w:tcBorders>
              <w:tl2br w:val="nil"/>
              <w:tr2bl w:val="nil"/>
            </w:tcBorders>
            <w:vAlign w:val="top"/>
          </w:tcPr>
          <w:p>
            <w:pPr>
              <w:pStyle w:val="25"/>
              <w:spacing w:before="170" w:line="226" w:lineRule="auto"/>
              <w:ind w:left="266"/>
              <w:rPr>
                <w:b w:val="0"/>
                <w:bCs w:val="0"/>
                <w:u w:val="none" w:color="auto"/>
              </w:rPr>
            </w:pPr>
            <w:r>
              <w:rPr>
                <w:b w:val="0"/>
                <w:bCs w:val="0"/>
                <w:spacing w:val="8"/>
                <w:u w:val="none" w:color="auto"/>
              </w:rPr>
              <w:t>评价因子</w:t>
            </w:r>
          </w:p>
        </w:tc>
        <w:tc>
          <w:tcPr>
            <w:tcW w:w="1421" w:type="dxa"/>
            <w:tcBorders>
              <w:tl2br w:val="nil"/>
              <w:tr2bl w:val="nil"/>
            </w:tcBorders>
            <w:vAlign w:val="top"/>
          </w:tcPr>
          <w:p>
            <w:pPr>
              <w:pStyle w:val="25"/>
              <w:spacing w:before="170" w:line="226" w:lineRule="auto"/>
              <w:ind w:left="290"/>
              <w:rPr>
                <w:b w:val="0"/>
                <w:bCs w:val="0"/>
                <w:u w:val="none" w:color="auto"/>
              </w:rPr>
            </w:pPr>
            <w:r>
              <w:rPr>
                <w:b w:val="0"/>
                <w:bCs w:val="0"/>
                <w:spacing w:val="8"/>
                <w:u w:val="none" w:color="auto"/>
              </w:rPr>
              <w:t>评价因子</w:t>
            </w:r>
          </w:p>
        </w:tc>
        <w:tc>
          <w:tcPr>
            <w:tcW w:w="6570" w:type="dxa"/>
            <w:gridSpan w:val="11"/>
            <w:tcBorders>
              <w:tl2br w:val="nil"/>
              <w:tr2bl w:val="nil"/>
            </w:tcBorders>
            <w:vAlign w:val="top"/>
          </w:tcPr>
          <w:p>
            <w:pPr>
              <w:pStyle w:val="25"/>
              <w:spacing w:before="169" w:line="182" w:lineRule="auto"/>
              <w:ind w:left="40"/>
              <w:rPr>
                <w:b w:val="0"/>
                <w:bCs w:val="0"/>
                <w:u w:val="none" w:color="auto"/>
              </w:rPr>
            </w:pPr>
            <w:r>
              <w:rPr>
                <w:b w:val="0"/>
                <w:bCs w:val="0"/>
                <w:spacing w:val="8"/>
                <w:u w:val="none" w:color="auto"/>
              </w:rPr>
              <w:t>等效连续</w:t>
            </w:r>
            <w:r>
              <w:rPr>
                <w:b w:val="0"/>
                <w:bCs w:val="0"/>
                <w:spacing w:val="-45"/>
                <w:u w:val="none" w:color="auto"/>
              </w:rPr>
              <w:t xml:space="preserve"> </w:t>
            </w:r>
            <w:r>
              <w:rPr>
                <w:rFonts w:ascii="Times New Roman" w:hAnsi="Times New Roman" w:eastAsia="Times New Roman" w:cs="Times New Roman"/>
                <w:b w:val="0"/>
                <w:bCs w:val="0"/>
                <w:spacing w:val="8"/>
                <w:u w:val="none" w:color="auto"/>
              </w:rPr>
              <w:t>A</w:t>
            </w:r>
            <w:r>
              <w:rPr>
                <w:rFonts w:ascii="Times New Roman" w:hAnsi="Times New Roman" w:eastAsia="Times New Roman" w:cs="Times New Roman"/>
                <w:b w:val="0"/>
                <w:bCs w:val="0"/>
                <w:spacing w:val="15"/>
                <w:w w:val="101"/>
                <w:u w:val="none" w:color="auto"/>
              </w:rPr>
              <w:t xml:space="preserve"> </w:t>
            </w:r>
            <w:r>
              <w:rPr>
                <w:b w:val="0"/>
                <w:bCs w:val="0"/>
                <w:spacing w:val="8"/>
                <w:u w:val="none" w:color="auto"/>
              </w:rPr>
              <w:t>声级</w:t>
            </w:r>
            <w:r>
              <w:rPr>
                <w:b w:val="0"/>
                <w:bCs w:val="0"/>
                <w:position w:val="-3"/>
                <w:u w:val="none" w:color="auto"/>
              </w:rPr>
              <w:drawing>
                <wp:inline distT="0" distB="0" distL="0" distR="0">
                  <wp:extent cx="115570" cy="12319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183"/>
                          <a:stretch>
                            <a:fillRect/>
                          </a:stretch>
                        </pic:blipFill>
                        <pic:spPr>
                          <a:xfrm>
                            <a:off x="0" y="0"/>
                            <a:ext cx="115937" cy="123303"/>
                          </a:xfrm>
                          <a:prstGeom prst="rect">
                            <a:avLst/>
                          </a:prstGeom>
                        </pic:spPr>
                      </pic:pic>
                    </a:graphicData>
                  </a:graphic>
                </wp:inline>
              </w:drawing>
            </w:r>
            <w:r>
              <w:rPr>
                <w:b w:val="0"/>
                <w:bCs w:val="0"/>
                <w:spacing w:val="8"/>
                <w:u w:val="none" w:color="auto"/>
              </w:rPr>
              <w:t xml:space="preserve">      最大</w:t>
            </w:r>
            <w:r>
              <w:rPr>
                <w:b w:val="0"/>
                <w:bCs w:val="0"/>
                <w:spacing w:val="-46"/>
                <w:u w:val="none" w:color="auto"/>
              </w:rPr>
              <w:t xml:space="preserve"> </w:t>
            </w:r>
            <w:r>
              <w:rPr>
                <w:rFonts w:ascii="Times New Roman" w:hAnsi="Times New Roman" w:eastAsia="Times New Roman" w:cs="Times New Roman"/>
                <w:b w:val="0"/>
                <w:bCs w:val="0"/>
                <w:spacing w:val="8"/>
                <w:u w:val="none" w:color="auto"/>
              </w:rPr>
              <w:t>A</w:t>
            </w:r>
            <w:r>
              <w:rPr>
                <w:rFonts w:ascii="Times New Roman" w:hAnsi="Times New Roman" w:eastAsia="Times New Roman" w:cs="Times New Roman"/>
                <w:b w:val="0"/>
                <w:bCs w:val="0"/>
                <w:spacing w:val="16"/>
                <w:u w:val="none" w:color="auto"/>
              </w:rPr>
              <w:t xml:space="preserve"> </w:t>
            </w:r>
            <w:r>
              <w:rPr>
                <w:b w:val="0"/>
                <w:bCs w:val="0"/>
                <w:spacing w:val="8"/>
                <w:u w:val="none" w:color="auto"/>
              </w:rPr>
              <w:t>声级□   计权等效连续感觉噪</w:t>
            </w:r>
            <w:r>
              <w:rPr>
                <w:b w:val="0"/>
                <w:bCs w:val="0"/>
                <w:spacing w:val="7"/>
                <w:u w:val="none" w:color="auto"/>
              </w:rPr>
              <w:t>声级□</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tcBorders>
              <w:tl2br w:val="nil"/>
              <w:tr2bl w:val="nil"/>
            </w:tcBorders>
            <w:vAlign w:val="top"/>
          </w:tcPr>
          <w:p>
            <w:pPr>
              <w:pStyle w:val="25"/>
              <w:spacing w:before="176" w:line="226" w:lineRule="auto"/>
              <w:ind w:left="266"/>
              <w:rPr>
                <w:b w:val="0"/>
                <w:bCs w:val="0"/>
                <w:u w:val="none" w:color="auto"/>
              </w:rPr>
            </w:pPr>
            <w:r>
              <w:rPr>
                <w:b w:val="0"/>
                <w:bCs w:val="0"/>
                <w:spacing w:val="8"/>
                <w:u w:val="none" w:color="auto"/>
              </w:rPr>
              <w:t>评价标准</w:t>
            </w:r>
          </w:p>
        </w:tc>
        <w:tc>
          <w:tcPr>
            <w:tcW w:w="1421" w:type="dxa"/>
            <w:tcBorders>
              <w:tl2br w:val="nil"/>
              <w:tr2bl w:val="nil"/>
            </w:tcBorders>
            <w:vAlign w:val="top"/>
          </w:tcPr>
          <w:p>
            <w:pPr>
              <w:pStyle w:val="25"/>
              <w:spacing w:before="176" w:line="226" w:lineRule="auto"/>
              <w:ind w:left="290"/>
              <w:rPr>
                <w:b w:val="0"/>
                <w:bCs w:val="0"/>
                <w:u w:val="none" w:color="auto"/>
              </w:rPr>
            </w:pPr>
            <w:r>
              <w:rPr>
                <w:b w:val="0"/>
                <w:bCs w:val="0"/>
                <w:spacing w:val="8"/>
                <w:u w:val="none" w:color="auto"/>
              </w:rPr>
              <w:t>评价标准</w:t>
            </w:r>
          </w:p>
        </w:tc>
        <w:tc>
          <w:tcPr>
            <w:tcW w:w="6570" w:type="dxa"/>
            <w:gridSpan w:val="11"/>
            <w:tcBorders>
              <w:tl2br w:val="nil"/>
              <w:tr2bl w:val="nil"/>
            </w:tcBorders>
            <w:vAlign w:val="top"/>
          </w:tcPr>
          <w:p>
            <w:pPr>
              <w:pStyle w:val="25"/>
              <w:spacing w:before="175" w:line="223" w:lineRule="auto"/>
              <w:ind w:left="215"/>
              <w:rPr>
                <w:b w:val="0"/>
                <w:bCs w:val="0"/>
                <w:u w:val="none" w:color="auto"/>
              </w:rPr>
            </w:pPr>
            <w:r>
              <w:rPr>
                <w:b w:val="0"/>
                <w:bCs w:val="0"/>
                <w:spacing w:val="5"/>
                <w:u w:val="none" w:color="auto"/>
              </w:rPr>
              <w:t>国家标准</w:t>
            </w:r>
            <w:r>
              <w:rPr>
                <w:b w:val="0"/>
                <w:bCs w:val="0"/>
                <w:position w:val="-4"/>
                <w:u w:val="none" w:color="auto"/>
              </w:rPr>
              <w:drawing>
                <wp:inline distT="0" distB="0" distL="0" distR="0">
                  <wp:extent cx="115570" cy="139700"/>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184"/>
                          <a:stretch>
                            <a:fillRect/>
                          </a:stretch>
                        </pic:blipFill>
                        <pic:spPr>
                          <a:xfrm>
                            <a:off x="0" y="0"/>
                            <a:ext cx="115952" cy="139748"/>
                          </a:xfrm>
                          <a:prstGeom prst="rect">
                            <a:avLst/>
                          </a:prstGeom>
                        </pic:spPr>
                      </pic:pic>
                    </a:graphicData>
                  </a:graphic>
                </wp:inline>
              </w:drawing>
            </w:r>
            <w:r>
              <w:rPr>
                <w:b w:val="0"/>
                <w:bCs w:val="0"/>
                <w:spacing w:val="6"/>
                <w:u w:val="none" w:color="auto"/>
              </w:rPr>
              <w:t xml:space="preserve">               </w:t>
            </w:r>
            <w:r>
              <w:rPr>
                <w:b w:val="0"/>
                <w:bCs w:val="0"/>
                <w:spacing w:val="5"/>
                <w:u w:val="none" w:color="auto"/>
              </w:rPr>
              <w:t>地方标准□</w:t>
            </w:r>
            <w:r>
              <w:rPr>
                <w:b w:val="0"/>
                <w:bCs w:val="0"/>
                <w:u w:val="none" w:color="auto"/>
              </w:rPr>
              <w:t xml:space="preserve">               </w:t>
            </w:r>
            <w:r>
              <w:rPr>
                <w:b w:val="0"/>
                <w:bCs w:val="0"/>
                <w:spacing w:val="5"/>
                <w:u w:val="none" w:color="auto"/>
              </w:rPr>
              <w:t>国外标准□</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vMerge w:val="restart"/>
            <w:tcBorders>
              <w:tl2br w:val="nil"/>
              <w:tr2bl w:val="nil"/>
            </w:tcBorders>
            <w:vAlign w:val="top"/>
          </w:tcPr>
          <w:p>
            <w:pPr>
              <w:spacing w:line="242" w:lineRule="auto"/>
              <w:rPr>
                <w:rFonts w:ascii="Arial"/>
                <w:b w:val="0"/>
                <w:bCs w:val="0"/>
                <w:sz w:val="21"/>
                <w:u w:val="none" w:color="auto"/>
              </w:rPr>
            </w:pPr>
          </w:p>
          <w:p>
            <w:pPr>
              <w:spacing w:line="242" w:lineRule="auto"/>
              <w:rPr>
                <w:rFonts w:ascii="Arial"/>
                <w:b w:val="0"/>
                <w:bCs w:val="0"/>
                <w:sz w:val="21"/>
                <w:u w:val="none" w:color="auto"/>
              </w:rPr>
            </w:pPr>
          </w:p>
          <w:p>
            <w:pPr>
              <w:spacing w:line="242" w:lineRule="auto"/>
              <w:rPr>
                <w:rFonts w:ascii="Arial"/>
                <w:b w:val="0"/>
                <w:bCs w:val="0"/>
                <w:sz w:val="21"/>
                <w:u w:val="none" w:color="auto"/>
              </w:rPr>
            </w:pPr>
          </w:p>
          <w:p>
            <w:pPr>
              <w:spacing w:line="242" w:lineRule="auto"/>
              <w:rPr>
                <w:rFonts w:ascii="Arial"/>
                <w:b w:val="0"/>
                <w:bCs w:val="0"/>
                <w:sz w:val="21"/>
                <w:u w:val="none" w:color="auto"/>
              </w:rPr>
            </w:pPr>
          </w:p>
          <w:p>
            <w:pPr>
              <w:pStyle w:val="25"/>
              <w:spacing w:before="65" w:line="226" w:lineRule="auto"/>
              <w:ind w:left="268"/>
              <w:rPr>
                <w:b w:val="0"/>
                <w:bCs w:val="0"/>
                <w:u w:val="none" w:color="auto"/>
              </w:rPr>
            </w:pPr>
            <w:r>
              <w:rPr>
                <w:b w:val="0"/>
                <w:bCs w:val="0"/>
                <w:spacing w:val="8"/>
                <w:u w:val="none" w:color="auto"/>
              </w:rPr>
              <w:t>现状评价</w:t>
            </w:r>
          </w:p>
        </w:tc>
        <w:tc>
          <w:tcPr>
            <w:tcW w:w="1421" w:type="dxa"/>
            <w:tcBorders>
              <w:tl2br w:val="nil"/>
              <w:tr2bl w:val="nil"/>
            </w:tcBorders>
            <w:vAlign w:val="top"/>
          </w:tcPr>
          <w:p>
            <w:pPr>
              <w:pStyle w:val="25"/>
              <w:spacing w:before="175" w:line="228" w:lineRule="auto"/>
              <w:ind w:left="185"/>
              <w:rPr>
                <w:b w:val="0"/>
                <w:bCs w:val="0"/>
                <w:u w:val="none" w:color="auto"/>
              </w:rPr>
            </w:pPr>
            <w:r>
              <w:rPr>
                <w:b w:val="0"/>
                <w:bCs w:val="0"/>
                <w:spacing w:val="8"/>
                <w:u w:val="none" w:color="auto"/>
              </w:rPr>
              <w:t>环境功能区</w:t>
            </w:r>
          </w:p>
        </w:tc>
        <w:tc>
          <w:tcPr>
            <w:tcW w:w="983" w:type="dxa"/>
            <w:tcBorders>
              <w:tl2br w:val="nil"/>
              <w:tr2bl w:val="nil"/>
            </w:tcBorders>
            <w:vAlign w:val="top"/>
          </w:tcPr>
          <w:p>
            <w:pPr>
              <w:pStyle w:val="25"/>
              <w:spacing w:before="174" w:line="228" w:lineRule="auto"/>
              <w:ind w:left="103"/>
              <w:rPr>
                <w:b w:val="0"/>
                <w:bCs w:val="0"/>
                <w:u w:val="none" w:color="auto"/>
              </w:rPr>
            </w:pPr>
            <w:r>
              <w:rPr>
                <w:rFonts w:ascii="Times New Roman" w:hAnsi="Times New Roman" w:eastAsia="Times New Roman" w:cs="Times New Roman"/>
                <w:b w:val="0"/>
                <w:bCs w:val="0"/>
                <w:spacing w:val="4"/>
                <w:u w:val="none" w:color="auto"/>
              </w:rPr>
              <w:t>0</w:t>
            </w:r>
            <w:r>
              <w:rPr>
                <w:rFonts w:ascii="Times New Roman" w:hAnsi="Times New Roman" w:eastAsia="Times New Roman" w:cs="Times New Roman"/>
                <w:b w:val="0"/>
                <w:bCs w:val="0"/>
                <w:spacing w:val="12"/>
                <w:w w:val="101"/>
                <w:u w:val="none" w:color="auto"/>
              </w:rPr>
              <w:t xml:space="preserve"> </w:t>
            </w:r>
            <w:r>
              <w:rPr>
                <w:b w:val="0"/>
                <w:bCs w:val="0"/>
                <w:spacing w:val="4"/>
                <w:u w:val="none" w:color="auto"/>
              </w:rPr>
              <w:t>类区□</w:t>
            </w:r>
          </w:p>
        </w:tc>
        <w:tc>
          <w:tcPr>
            <w:tcW w:w="1076" w:type="dxa"/>
            <w:gridSpan w:val="2"/>
            <w:tcBorders>
              <w:tl2br w:val="nil"/>
              <w:tr2bl w:val="nil"/>
            </w:tcBorders>
            <w:vAlign w:val="top"/>
          </w:tcPr>
          <w:p>
            <w:pPr>
              <w:pStyle w:val="25"/>
              <w:spacing w:before="174" w:line="228" w:lineRule="auto"/>
              <w:ind w:left="170"/>
              <w:rPr>
                <w:b w:val="0"/>
                <w:bCs w:val="0"/>
                <w:u w:val="none" w:color="auto"/>
              </w:rPr>
            </w:pPr>
            <w:r>
              <w:rPr>
                <w:rFonts w:ascii="Times New Roman" w:hAnsi="Times New Roman" w:eastAsia="Times New Roman" w:cs="Times New Roman"/>
                <w:b w:val="0"/>
                <w:bCs w:val="0"/>
                <w:spacing w:val="3"/>
                <w:u w:val="none" w:color="auto"/>
              </w:rPr>
              <w:t>1</w:t>
            </w:r>
            <w:r>
              <w:rPr>
                <w:rFonts w:ascii="Times New Roman" w:hAnsi="Times New Roman" w:eastAsia="Times New Roman" w:cs="Times New Roman"/>
                <w:b w:val="0"/>
                <w:bCs w:val="0"/>
                <w:spacing w:val="10"/>
                <w:u w:val="none" w:color="auto"/>
              </w:rPr>
              <w:t xml:space="preserve"> </w:t>
            </w:r>
            <w:r>
              <w:rPr>
                <w:b w:val="0"/>
                <w:bCs w:val="0"/>
                <w:spacing w:val="3"/>
                <w:u w:val="none" w:color="auto"/>
              </w:rPr>
              <w:t>类区□</w:t>
            </w:r>
          </w:p>
        </w:tc>
        <w:tc>
          <w:tcPr>
            <w:tcW w:w="1037" w:type="dxa"/>
            <w:gridSpan w:val="3"/>
            <w:tcBorders>
              <w:tl2br w:val="nil"/>
              <w:tr2bl w:val="nil"/>
            </w:tcBorders>
            <w:vAlign w:val="top"/>
          </w:tcPr>
          <w:p>
            <w:pPr>
              <w:pStyle w:val="25"/>
              <w:spacing w:before="174" w:line="223" w:lineRule="auto"/>
              <w:ind w:left="165"/>
              <w:rPr>
                <w:b w:val="0"/>
                <w:bCs w:val="0"/>
                <w:u w:val="none" w:color="auto"/>
              </w:rPr>
            </w:pPr>
            <w:r>
              <w:rPr>
                <w:rFonts w:ascii="Times New Roman" w:hAnsi="Times New Roman" w:eastAsia="Times New Roman" w:cs="Times New Roman"/>
                <w:b w:val="0"/>
                <w:bCs w:val="0"/>
                <w:spacing w:val="3"/>
                <w:u w:val="none" w:color="auto"/>
              </w:rPr>
              <w:t>2</w:t>
            </w:r>
            <w:r>
              <w:rPr>
                <w:rFonts w:ascii="Times New Roman" w:hAnsi="Times New Roman" w:eastAsia="Times New Roman" w:cs="Times New Roman"/>
                <w:b w:val="0"/>
                <w:bCs w:val="0"/>
                <w:spacing w:val="11"/>
                <w:u w:val="none" w:color="auto"/>
              </w:rPr>
              <w:t xml:space="preserve"> </w:t>
            </w:r>
            <w:r>
              <w:rPr>
                <w:b w:val="0"/>
                <w:bCs w:val="0"/>
                <w:spacing w:val="3"/>
                <w:u w:val="none" w:color="auto"/>
              </w:rPr>
              <w:t>类区</w:t>
            </w:r>
            <w:r>
              <w:rPr>
                <w:b w:val="0"/>
                <w:bCs w:val="0"/>
                <w:position w:val="-4"/>
                <w:u w:val="none" w:color="auto"/>
              </w:rPr>
              <w:drawing>
                <wp:inline distT="0" distB="0" distL="0" distR="0">
                  <wp:extent cx="115570" cy="13970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185"/>
                          <a:stretch>
                            <a:fillRect/>
                          </a:stretch>
                        </pic:blipFill>
                        <pic:spPr>
                          <a:xfrm>
                            <a:off x="0" y="0"/>
                            <a:ext cx="115950" cy="139748"/>
                          </a:xfrm>
                          <a:prstGeom prst="rect">
                            <a:avLst/>
                          </a:prstGeom>
                        </pic:spPr>
                      </pic:pic>
                    </a:graphicData>
                  </a:graphic>
                </wp:inline>
              </w:drawing>
            </w:r>
          </w:p>
        </w:tc>
        <w:tc>
          <w:tcPr>
            <w:tcW w:w="1018" w:type="dxa"/>
            <w:tcBorders>
              <w:tl2br w:val="nil"/>
              <w:tr2bl w:val="nil"/>
            </w:tcBorders>
            <w:vAlign w:val="top"/>
          </w:tcPr>
          <w:p>
            <w:pPr>
              <w:pStyle w:val="25"/>
              <w:spacing w:before="174" w:line="223" w:lineRule="auto"/>
              <w:ind w:left="144"/>
              <w:rPr>
                <w:b w:val="0"/>
                <w:bCs w:val="0"/>
                <w:u w:val="none" w:color="auto"/>
              </w:rPr>
            </w:pPr>
            <w:r>
              <w:rPr>
                <w:rFonts w:ascii="Times New Roman" w:hAnsi="Times New Roman" w:eastAsia="Times New Roman" w:cs="Times New Roman"/>
                <w:b w:val="0"/>
                <w:bCs w:val="0"/>
                <w:spacing w:val="4"/>
                <w:u w:val="none" w:color="auto"/>
              </w:rPr>
              <w:t>3</w:t>
            </w:r>
            <w:r>
              <w:rPr>
                <w:rFonts w:ascii="Times New Roman" w:hAnsi="Times New Roman" w:eastAsia="Times New Roman" w:cs="Times New Roman"/>
                <w:b w:val="0"/>
                <w:bCs w:val="0"/>
                <w:spacing w:val="9"/>
                <w:u w:val="none" w:color="auto"/>
              </w:rPr>
              <w:t xml:space="preserve"> </w:t>
            </w:r>
            <w:r>
              <w:rPr>
                <w:b w:val="0"/>
                <w:bCs w:val="0"/>
                <w:spacing w:val="4"/>
                <w:u w:val="none" w:color="auto"/>
              </w:rPr>
              <w:t>类区</w:t>
            </w:r>
            <w:r>
              <w:rPr>
                <w:b w:val="0"/>
                <w:bCs w:val="0"/>
                <w:position w:val="-4"/>
                <w:u w:val="none" w:color="auto"/>
              </w:rPr>
              <w:drawing>
                <wp:inline distT="0" distB="0" distL="0" distR="0">
                  <wp:extent cx="107950" cy="139700"/>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186"/>
                          <a:stretch>
                            <a:fillRect/>
                          </a:stretch>
                        </pic:blipFill>
                        <pic:spPr>
                          <a:xfrm>
                            <a:off x="0" y="0"/>
                            <a:ext cx="108492" cy="139748"/>
                          </a:xfrm>
                          <a:prstGeom prst="rect">
                            <a:avLst/>
                          </a:prstGeom>
                        </pic:spPr>
                      </pic:pic>
                    </a:graphicData>
                  </a:graphic>
                </wp:inline>
              </w:drawing>
            </w:r>
          </w:p>
        </w:tc>
        <w:tc>
          <w:tcPr>
            <w:tcW w:w="980" w:type="dxa"/>
            <w:gridSpan w:val="3"/>
            <w:tcBorders>
              <w:tl2br w:val="nil"/>
              <w:tr2bl w:val="nil"/>
            </w:tcBorders>
            <w:vAlign w:val="top"/>
          </w:tcPr>
          <w:p>
            <w:pPr>
              <w:pStyle w:val="25"/>
              <w:spacing w:before="174" w:line="228" w:lineRule="auto"/>
              <w:ind w:left="72"/>
              <w:rPr>
                <w:rFonts w:hint="eastAsia" w:eastAsia="宋体"/>
                <w:b w:val="0"/>
                <w:bCs w:val="0"/>
                <w:u w:val="none" w:color="auto"/>
                <w:lang w:eastAsia="zh-CN"/>
              </w:rPr>
            </w:pPr>
            <w:r>
              <w:rPr>
                <w:rFonts w:ascii="Times New Roman" w:hAnsi="Times New Roman" w:eastAsia="Times New Roman" w:cs="Times New Roman"/>
                <w:b w:val="0"/>
                <w:bCs w:val="0"/>
                <w:spacing w:val="5"/>
                <w:u w:val="none" w:color="auto"/>
              </w:rPr>
              <w:t>4a</w:t>
            </w:r>
            <w:r>
              <w:rPr>
                <w:rFonts w:ascii="Times New Roman" w:hAnsi="Times New Roman" w:eastAsia="Times New Roman" w:cs="Times New Roman"/>
                <w:b w:val="0"/>
                <w:bCs w:val="0"/>
                <w:spacing w:val="11"/>
                <w:u w:val="none" w:color="auto"/>
              </w:rPr>
              <w:t xml:space="preserve"> </w:t>
            </w:r>
            <w:r>
              <w:rPr>
                <w:b w:val="0"/>
                <w:bCs w:val="0"/>
                <w:spacing w:val="5"/>
                <w:u w:val="none" w:color="auto"/>
              </w:rPr>
              <w:t>类区</w:t>
            </w:r>
            <w:r>
              <w:rPr>
                <w:rFonts w:hint="eastAsia"/>
                <w:b w:val="0"/>
                <w:bCs w:val="0"/>
                <w:spacing w:val="5"/>
                <w:u w:val="none" w:color="auto"/>
                <w:lang w:eastAsia="zh-CN"/>
              </w:rPr>
              <w:t>☑</w:t>
            </w:r>
          </w:p>
        </w:tc>
        <w:tc>
          <w:tcPr>
            <w:tcW w:w="1476" w:type="dxa"/>
            <w:tcBorders>
              <w:tl2br w:val="nil"/>
              <w:tr2bl w:val="nil"/>
            </w:tcBorders>
            <w:vAlign w:val="top"/>
          </w:tcPr>
          <w:p>
            <w:pPr>
              <w:pStyle w:val="25"/>
              <w:spacing w:before="174" w:line="228" w:lineRule="auto"/>
              <w:ind w:left="308"/>
              <w:rPr>
                <w:b w:val="0"/>
                <w:bCs w:val="0"/>
                <w:u w:val="none" w:color="auto"/>
              </w:rPr>
            </w:pPr>
            <w:r>
              <w:rPr>
                <w:rFonts w:ascii="Times New Roman" w:hAnsi="Times New Roman" w:eastAsia="Times New Roman" w:cs="Times New Roman"/>
                <w:b w:val="0"/>
                <w:bCs w:val="0"/>
                <w:spacing w:val="5"/>
                <w:u w:val="none" w:color="auto"/>
              </w:rPr>
              <w:t>4b</w:t>
            </w:r>
            <w:r>
              <w:rPr>
                <w:rFonts w:ascii="Times New Roman" w:hAnsi="Times New Roman" w:eastAsia="Times New Roman" w:cs="Times New Roman"/>
                <w:b w:val="0"/>
                <w:bCs w:val="0"/>
                <w:spacing w:val="12"/>
                <w:w w:val="101"/>
                <w:u w:val="none" w:color="auto"/>
              </w:rPr>
              <w:t xml:space="preserve"> </w:t>
            </w:r>
            <w:r>
              <w:rPr>
                <w:b w:val="0"/>
                <w:bCs w:val="0"/>
                <w:spacing w:val="5"/>
                <w:u w:val="none" w:color="auto"/>
              </w:rPr>
              <w:t>类区□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174" w:line="226" w:lineRule="auto"/>
              <w:ind w:left="290"/>
              <w:rPr>
                <w:b w:val="0"/>
                <w:bCs w:val="0"/>
                <w:u w:val="none" w:color="auto"/>
              </w:rPr>
            </w:pPr>
            <w:r>
              <w:rPr>
                <w:b w:val="0"/>
                <w:bCs w:val="0"/>
                <w:spacing w:val="8"/>
                <w:u w:val="none" w:color="auto"/>
              </w:rPr>
              <w:t>评价年度</w:t>
            </w:r>
          </w:p>
        </w:tc>
        <w:tc>
          <w:tcPr>
            <w:tcW w:w="1417" w:type="dxa"/>
            <w:gridSpan w:val="2"/>
            <w:tcBorders>
              <w:tl2br w:val="nil"/>
              <w:tr2bl w:val="nil"/>
            </w:tcBorders>
            <w:vAlign w:val="top"/>
          </w:tcPr>
          <w:p>
            <w:pPr>
              <w:pStyle w:val="25"/>
              <w:spacing w:before="173" w:line="223" w:lineRule="auto"/>
              <w:ind w:left="415"/>
              <w:rPr>
                <w:b w:val="0"/>
                <w:bCs w:val="0"/>
                <w:u w:val="none" w:color="auto"/>
              </w:rPr>
            </w:pPr>
            <w:r>
              <w:rPr>
                <w:b w:val="0"/>
                <w:bCs w:val="0"/>
                <w:spacing w:val="6"/>
                <w:u w:val="none" w:color="auto"/>
              </w:rPr>
              <w:t>初期</w:t>
            </w:r>
            <w:r>
              <w:rPr>
                <w:b w:val="0"/>
                <w:bCs w:val="0"/>
                <w:position w:val="-4"/>
                <w:u w:val="none" w:color="auto"/>
              </w:rPr>
              <w:drawing>
                <wp:inline distT="0" distB="0" distL="0" distR="0">
                  <wp:extent cx="114300" cy="139700"/>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187"/>
                          <a:stretch>
                            <a:fillRect/>
                          </a:stretch>
                        </pic:blipFill>
                        <pic:spPr>
                          <a:xfrm>
                            <a:off x="0" y="0"/>
                            <a:ext cx="114413" cy="139748"/>
                          </a:xfrm>
                          <a:prstGeom prst="rect">
                            <a:avLst/>
                          </a:prstGeom>
                        </pic:spPr>
                      </pic:pic>
                    </a:graphicData>
                  </a:graphic>
                </wp:inline>
              </w:drawing>
            </w:r>
          </w:p>
        </w:tc>
        <w:tc>
          <w:tcPr>
            <w:tcW w:w="1679" w:type="dxa"/>
            <w:gridSpan w:val="4"/>
            <w:tcBorders>
              <w:tl2br w:val="nil"/>
              <w:tr2bl w:val="nil"/>
            </w:tcBorders>
            <w:vAlign w:val="top"/>
          </w:tcPr>
          <w:p>
            <w:pPr>
              <w:pStyle w:val="25"/>
              <w:spacing w:before="174" w:line="228" w:lineRule="auto"/>
              <w:ind w:left="551"/>
              <w:rPr>
                <w:b w:val="0"/>
                <w:bCs w:val="0"/>
                <w:u w:val="none" w:color="auto"/>
              </w:rPr>
            </w:pPr>
            <w:r>
              <w:rPr>
                <w:b w:val="0"/>
                <w:bCs w:val="0"/>
                <w:spacing w:val="8"/>
                <w:u w:val="none" w:color="auto"/>
              </w:rPr>
              <w:t>近期□</w:t>
            </w:r>
          </w:p>
        </w:tc>
        <w:tc>
          <w:tcPr>
            <w:tcW w:w="1634" w:type="dxa"/>
            <w:gridSpan w:val="2"/>
            <w:tcBorders>
              <w:tl2br w:val="nil"/>
              <w:tr2bl w:val="nil"/>
            </w:tcBorders>
            <w:vAlign w:val="top"/>
          </w:tcPr>
          <w:p>
            <w:pPr>
              <w:pStyle w:val="25"/>
              <w:spacing w:before="174" w:line="228" w:lineRule="auto"/>
              <w:ind w:left="553"/>
              <w:rPr>
                <w:b w:val="0"/>
                <w:bCs w:val="0"/>
                <w:u w:val="none" w:color="auto"/>
              </w:rPr>
            </w:pPr>
            <w:r>
              <w:rPr>
                <w:b w:val="0"/>
                <w:bCs w:val="0"/>
                <w:u w:val="none" w:color="auto"/>
              </w:rPr>
              <w:t>中期□</w:t>
            </w:r>
          </w:p>
        </w:tc>
        <w:tc>
          <w:tcPr>
            <w:tcW w:w="1840" w:type="dxa"/>
            <w:gridSpan w:val="3"/>
            <w:tcBorders>
              <w:tl2br w:val="nil"/>
              <w:tr2bl w:val="nil"/>
            </w:tcBorders>
            <w:vAlign w:val="top"/>
          </w:tcPr>
          <w:p>
            <w:pPr>
              <w:pStyle w:val="25"/>
              <w:spacing w:before="174" w:line="228" w:lineRule="auto"/>
              <w:ind w:left="618"/>
              <w:rPr>
                <w:b w:val="0"/>
                <w:bCs w:val="0"/>
                <w:u w:val="none" w:color="auto"/>
              </w:rPr>
            </w:pPr>
            <w:r>
              <w:rPr>
                <w:b w:val="0"/>
                <w:bCs w:val="0"/>
                <w:spacing w:val="7"/>
                <w:u w:val="none" w:color="auto"/>
              </w:rPr>
              <w:t>远期□</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76"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172" w:line="228" w:lineRule="auto"/>
              <w:ind w:left="81"/>
              <w:rPr>
                <w:b w:val="0"/>
                <w:bCs w:val="0"/>
                <w:u w:val="none" w:color="auto"/>
              </w:rPr>
            </w:pPr>
            <w:r>
              <w:rPr>
                <w:b w:val="0"/>
                <w:bCs w:val="0"/>
                <w:spacing w:val="8"/>
                <w:u w:val="none" w:color="auto"/>
              </w:rPr>
              <w:t>现状调查方法</w:t>
            </w:r>
          </w:p>
        </w:tc>
        <w:tc>
          <w:tcPr>
            <w:tcW w:w="6570" w:type="dxa"/>
            <w:gridSpan w:val="11"/>
            <w:tcBorders>
              <w:tl2br w:val="nil"/>
              <w:tr2bl w:val="nil"/>
            </w:tcBorders>
            <w:vAlign w:val="top"/>
          </w:tcPr>
          <w:p>
            <w:pPr>
              <w:pStyle w:val="25"/>
              <w:spacing w:before="173" w:line="179" w:lineRule="auto"/>
              <w:ind w:left="88"/>
              <w:rPr>
                <w:b w:val="0"/>
                <w:bCs w:val="0"/>
                <w:u w:val="none" w:color="auto"/>
              </w:rPr>
            </w:pPr>
            <w:r>
              <w:rPr>
                <w:b w:val="0"/>
                <w:bCs w:val="0"/>
                <w:spacing w:val="8"/>
                <w:u w:val="none" w:color="auto"/>
              </w:rPr>
              <w:t>现场实测法</w:t>
            </w:r>
            <w:r>
              <w:rPr>
                <w:b w:val="0"/>
                <w:bCs w:val="0"/>
                <w:position w:val="-3"/>
                <w:u w:val="none" w:color="auto"/>
              </w:rPr>
              <w:drawing>
                <wp:inline distT="0" distB="0" distL="0" distR="0">
                  <wp:extent cx="117475" cy="12128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188"/>
                          <a:stretch>
                            <a:fillRect/>
                          </a:stretch>
                        </pic:blipFill>
                        <pic:spPr>
                          <a:xfrm>
                            <a:off x="0" y="0"/>
                            <a:ext cx="117478" cy="121427"/>
                          </a:xfrm>
                          <a:prstGeom prst="rect">
                            <a:avLst/>
                          </a:prstGeom>
                        </pic:spPr>
                      </pic:pic>
                    </a:graphicData>
                  </a:graphic>
                </wp:inline>
              </w:drawing>
            </w:r>
            <w:r>
              <w:rPr>
                <w:b w:val="0"/>
                <w:bCs w:val="0"/>
                <w:spacing w:val="7"/>
                <w:u w:val="none" w:color="auto"/>
              </w:rPr>
              <w:t xml:space="preserve">        </w:t>
            </w:r>
            <w:r>
              <w:rPr>
                <w:b w:val="0"/>
                <w:bCs w:val="0"/>
                <w:spacing w:val="8"/>
                <w:u w:val="none" w:color="auto"/>
              </w:rPr>
              <w:t>现场实测加模型计算法□         收集资料□</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173" w:line="226" w:lineRule="auto"/>
              <w:ind w:left="293"/>
              <w:rPr>
                <w:b w:val="0"/>
                <w:bCs w:val="0"/>
                <w:u w:val="none" w:color="auto"/>
              </w:rPr>
            </w:pPr>
            <w:r>
              <w:rPr>
                <w:b w:val="0"/>
                <w:bCs w:val="0"/>
                <w:spacing w:val="8"/>
                <w:u w:val="none" w:color="auto"/>
              </w:rPr>
              <w:t>现状评价</w:t>
            </w:r>
          </w:p>
        </w:tc>
        <w:tc>
          <w:tcPr>
            <w:tcW w:w="2154" w:type="dxa"/>
            <w:gridSpan w:val="4"/>
            <w:tcBorders>
              <w:tl2br w:val="nil"/>
              <w:tr2bl w:val="nil"/>
            </w:tcBorders>
            <w:vAlign w:val="top"/>
          </w:tcPr>
          <w:p>
            <w:pPr>
              <w:pStyle w:val="25"/>
              <w:spacing w:before="173" w:line="228" w:lineRule="auto"/>
              <w:ind w:left="549"/>
              <w:rPr>
                <w:b w:val="0"/>
                <w:bCs w:val="0"/>
                <w:u w:val="none" w:color="auto"/>
              </w:rPr>
            </w:pPr>
            <w:r>
              <w:rPr>
                <w:b w:val="0"/>
                <w:bCs w:val="0"/>
                <w:spacing w:val="8"/>
                <w:u w:val="none" w:color="auto"/>
              </w:rPr>
              <w:t>达标百分比</w:t>
            </w:r>
          </w:p>
        </w:tc>
        <w:tc>
          <w:tcPr>
            <w:tcW w:w="4416" w:type="dxa"/>
            <w:gridSpan w:val="7"/>
            <w:tcBorders>
              <w:tl2br w:val="nil"/>
              <w:tr2bl w:val="nil"/>
            </w:tcBorders>
            <w:vAlign w:val="top"/>
          </w:tcPr>
          <w:p>
            <w:pPr>
              <w:spacing w:before="208" w:line="195" w:lineRule="auto"/>
              <w:ind w:left="1951"/>
              <w:rPr>
                <w:rFonts w:ascii="Times New Roman" w:hAnsi="Times New Roman" w:eastAsia="Times New Roman" w:cs="Times New Roman"/>
                <w:b w:val="0"/>
                <w:bCs w:val="0"/>
                <w:sz w:val="20"/>
                <w:szCs w:val="20"/>
                <w:u w:val="none" w:color="auto"/>
              </w:rPr>
            </w:pPr>
            <w:r>
              <w:rPr>
                <w:rFonts w:ascii="Times New Roman" w:hAnsi="Times New Roman" w:eastAsia="Times New Roman" w:cs="Times New Roman"/>
                <w:b w:val="0"/>
                <w:bCs w:val="0"/>
                <w:spacing w:val="2"/>
                <w:sz w:val="20"/>
                <w:szCs w:val="20"/>
                <w:u w:val="none" w:color="auto"/>
              </w:rPr>
              <w:t>100%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0" w:hRule="atLeast"/>
        </w:trPr>
        <w:tc>
          <w:tcPr>
            <w:tcW w:w="1365" w:type="dxa"/>
            <w:tcBorders>
              <w:tl2br w:val="nil"/>
              <w:tr2bl w:val="nil"/>
            </w:tcBorders>
            <w:vAlign w:val="top"/>
          </w:tcPr>
          <w:p>
            <w:pPr>
              <w:pStyle w:val="25"/>
              <w:spacing w:before="205" w:line="228" w:lineRule="auto"/>
              <w:ind w:left="168"/>
              <w:rPr>
                <w:b w:val="0"/>
                <w:bCs w:val="0"/>
                <w:u w:val="none" w:color="auto"/>
              </w:rPr>
            </w:pPr>
            <w:r>
              <w:rPr>
                <w:b w:val="0"/>
                <w:bCs w:val="0"/>
                <w:spacing w:val="7"/>
                <w:u w:val="none" w:color="auto"/>
              </w:rPr>
              <w:t>噪声源调查</w:t>
            </w:r>
          </w:p>
        </w:tc>
        <w:tc>
          <w:tcPr>
            <w:tcW w:w="1421" w:type="dxa"/>
            <w:tcBorders>
              <w:tl2br w:val="nil"/>
              <w:tr2bl w:val="nil"/>
            </w:tcBorders>
            <w:vAlign w:val="top"/>
          </w:tcPr>
          <w:p>
            <w:pPr>
              <w:pStyle w:val="25"/>
              <w:spacing w:before="48" w:line="261" w:lineRule="auto"/>
              <w:ind w:left="606" w:right="76" w:hanging="516"/>
              <w:rPr>
                <w:b w:val="0"/>
                <w:bCs w:val="0"/>
                <w:u w:val="none" w:color="auto"/>
              </w:rPr>
            </w:pPr>
            <w:r>
              <w:rPr>
                <w:b w:val="0"/>
                <w:bCs w:val="0"/>
                <w:spacing w:val="7"/>
                <w:u w:val="none" w:color="auto"/>
              </w:rPr>
              <w:t>噪声源调查方</w:t>
            </w:r>
            <w:r>
              <w:rPr>
                <w:b w:val="0"/>
                <w:bCs w:val="0"/>
                <w:spacing w:val="1"/>
                <w:u w:val="none" w:color="auto"/>
              </w:rPr>
              <w:t xml:space="preserve"> </w:t>
            </w:r>
            <w:r>
              <w:rPr>
                <w:b w:val="0"/>
                <w:bCs w:val="0"/>
                <w:u w:val="none" w:color="auto"/>
              </w:rPr>
              <w:t>法</w:t>
            </w:r>
          </w:p>
        </w:tc>
        <w:tc>
          <w:tcPr>
            <w:tcW w:w="6570" w:type="dxa"/>
            <w:gridSpan w:val="11"/>
            <w:tcBorders>
              <w:tl2br w:val="nil"/>
              <w:tr2bl w:val="nil"/>
            </w:tcBorders>
            <w:vAlign w:val="top"/>
          </w:tcPr>
          <w:p>
            <w:pPr>
              <w:pStyle w:val="25"/>
              <w:spacing w:before="205" w:line="221" w:lineRule="auto"/>
              <w:ind w:left="156"/>
              <w:rPr>
                <w:b w:val="0"/>
                <w:bCs w:val="0"/>
                <w:u w:val="none" w:color="auto"/>
              </w:rPr>
            </w:pPr>
            <w:r>
              <w:rPr>
                <w:b w:val="0"/>
                <w:bCs w:val="0"/>
                <w:spacing w:val="6"/>
                <w:u w:val="none" w:color="auto"/>
              </w:rPr>
              <w:t>现场实测□</w:t>
            </w:r>
            <w:r>
              <w:rPr>
                <w:b w:val="0"/>
                <w:bCs w:val="0"/>
                <w:spacing w:val="1"/>
                <w:u w:val="none" w:color="auto"/>
              </w:rPr>
              <w:t xml:space="preserve">                 </w:t>
            </w:r>
            <w:r>
              <w:rPr>
                <w:b w:val="0"/>
                <w:bCs w:val="0"/>
                <w:spacing w:val="6"/>
                <w:u w:val="none" w:color="auto"/>
              </w:rPr>
              <w:t>已有资料</w:t>
            </w:r>
            <w:r>
              <w:rPr>
                <w:b w:val="0"/>
                <w:bCs w:val="0"/>
                <w:position w:val="-4"/>
                <w:u w:val="none" w:color="auto"/>
              </w:rPr>
              <w:drawing>
                <wp:inline distT="0" distB="0" distL="0" distR="0">
                  <wp:extent cx="114300" cy="139700"/>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189"/>
                          <a:stretch>
                            <a:fillRect/>
                          </a:stretch>
                        </pic:blipFill>
                        <pic:spPr>
                          <a:xfrm>
                            <a:off x="0" y="0"/>
                            <a:ext cx="114435" cy="139748"/>
                          </a:xfrm>
                          <a:prstGeom prst="rect">
                            <a:avLst/>
                          </a:prstGeom>
                        </pic:spPr>
                      </pic:pic>
                    </a:graphicData>
                  </a:graphic>
                </wp:inline>
              </w:drawing>
            </w:r>
            <w:r>
              <w:rPr>
                <w:b w:val="0"/>
                <w:bCs w:val="0"/>
                <w:spacing w:val="6"/>
                <w:u w:val="none" w:color="auto"/>
              </w:rPr>
              <w:t xml:space="preserve">              研究成果</w:t>
            </w:r>
            <w:r>
              <w:rPr>
                <w:b w:val="0"/>
                <w:bCs w:val="0"/>
                <w:position w:val="-4"/>
                <w:u w:val="none" w:color="auto"/>
              </w:rPr>
              <w:drawing>
                <wp:inline distT="0" distB="0" distL="0" distR="0">
                  <wp:extent cx="114300" cy="139700"/>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190"/>
                          <a:stretch>
                            <a:fillRect/>
                          </a:stretch>
                        </pic:blipFill>
                        <pic:spPr>
                          <a:xfrm>
                            <a:off x="0" y="0"/>
                            <a:ext cx="114435" cy="139748"/>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vMerge w:val="restart"/>
            <w:tcBorders>
              <w:tl2br w:val="nil"/>
              <w:tr2bl w:val="nil"/>
            </w:tcBorders>
            <w:vAlign w:val="top"/>
          </w:tcPr>
          <w:p>
            <w:pPr>
              <w:spacing w:line="289" w:lineRule="auto"/>
              <w:rPr>
                <w:rFonts w:ascii="Arial"/>
                <w:b w:val="0"/>
                <w:bCs w:val="0"/>
                <w:sz w:val="21"/>
                <w:u w:val="none" w:color="auto"/>
              </w:rPr>
            </w:pPr>
          </w:p>
          <w:p>
            <w:pPr>
              <w:spacing w:line="290" w:lineRule="auto"/>
              <w:rPr>
                <w:rFonts w:ascii="Arial"/>
                <w:b w:val="0"/>
                <w:bCs w:val="0"/>
                <w:sz w:val="21"/>
                <w:u w:val="none" w:color="auto"/>
              </w:rPr>
            </w:pPr>
          </w:p>
          <w:p>
            <w:pPr>
              <w:spacing w:line="290" w:lineRule="auto"/>
              <w:rPr>
                <w:rFonts w:ascii="Arial"/>
                <w:b w:val="0"/>
                <w:bCs w:val="0"/>
                <w:sz w:val="21"/>
                <w:u w:val="none" w:color="auto"/>
              </w:rPr>
            </w:pPr>
          </w:p>
          <w:p>
            <w:pPr>
              <w:spacing w:line="290" w:lineRule="auto"/>
              <w:rPr>
                <w:rFonts w:ascii="Arial"/>
                <w:b w:val="0"/>
                <w:bCs w:val="0"/>
                <w:sz w:val="21"/>
                <w:u w:val="none" w:color="auto"/>
              </w:rPr>
            </w:pPr>
          </w:p>
          <w:p>
            <w:pPr>
              <w:pStyle w:val="25"/>
              <w:spacing w:before="65" w:line="257" w:lineRule="auto"/>
              <w:ind w:left="266" w:right="47" w:hanging="207"/>
              <w:rPr>
                <w:b w:val="0"/>
                <w:bCs w:val="0"/>
                <w:u w:val="none" w:color="auto"/>
              </w:rPr>
            </w:pPr>
            <w:r>
              <w:rPr>
                <w:b w:val="0"/>
                <w:bCs w:val="0"/>
                <w:spacing w:val="8"/>
                <w:u w:val="none" w:color="auto"/>
              </w:rPr>
              <w:t>声环境影响预测与评价</w:t>
            </w:r>
          </w:p>
        </w:tc>
        <w:tc>
          <w:tcPr>
            <w:tcW w:w="1421" w:type="dxa"/>
            <w:tcBorders>
              <w:tl2br w:val="nil"/>
              <w:tr2bl w:val="nil"/>
            </w:tcBorders>
            <w:vAlign w:val="top"/>
          </w:tcPr>
          <w:p>
            <w:pPr>
              <w:pStyle w:val="25"/>
              <w:spacing w:before="169" w:line="228" w:lineRule="auto"/>
              <w:ind w:left="293"/>
              <w:rPr>
                <w:b w:val="0"/>
                <w:bCs w:val="0"/>
                <w:u w:val="none" w:color="auto"/>
              </w:rPr>
            </w:pPr>
            <w:r>
              <w:rPr>
                <w:b w:val="0"/>
                <w:bCs w:val="0"/>
                <w:spacing w:val="8"/>
                <w:u w:val="none" w:color="auto"/>
              </w:rPr>
              <w:t>预测模型</w:t>
            </w:r>
          </w:p>
        </w:tc>
        <w:tc>
          <w:tcPr>
            <w:tcW w:w="6570" w:type="dxa"/>
            <w:gridSpan w:val="11"/>
            <w:tcBorders>
              <w:tl2br w:val="nil"/>
              <w:tr2bl w:val="nil"/>
            </w:tcBorders>
            <w:vAlign w:val="top"/>
          </w:tcPr>
          <w:p>
            <w:pPr>
              <w:pStyle w:val="25"/>
              <w:spacing w:before="170" w:line="223" w:lineRule="auto"/>
              <w:ind w:left="1254"/>
              <w:rPr>
                <w:b w:val="0"/>
                <w:bCs w:val="0"/>
                <w:u w:val="none" w:color="auto"/>
              </w:rPr>
            </w:pPr>
            <w:r>
              <w:rPr>
                <w:b w:val="0"/>
                <w:bCs w:val="0"/>
                <w:spacing w:val="7"/>
                <w:u w:val="none" w:color="auto"/>
              </w:rPr>
              <w:t>导则推荐模型</w:t>
            </w:r>
            <w:r>
              <w:rPr>
                <w:b w:val="0"/>
                <w:bCs w:val="0"/>
                <w:position w:val="-4"/>
                <w:u w:val="none" w:color="auto"/>
              </w:rPr>
              <w:drawing>
                <wp:inline distT="0" distB="0" distL="0" distR="0">
                  <wp:extent cx="114300" cy="139700"/>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191"/>
                          <a:stretch>
                            <a:fillRect/>
                          </a:stretch>
                        </pic:blipFill>
                        <pic:spPr>
                          <a:xfrm>
                            <a:off x="0" y="0"/>
                            <a:ext cx="114438" cy="139748"/>
                          </a:xfrm>
                          <a:prstGeom prst="rect">
                            <a:avLst/>
                          </a:prstGeom>
                        </pic:spPr>
                      </pic:pic>
                    </a:graphicData>
                  </a:graphic>
                </wp:inline>
              </w:drawing>
            </w:r>
            <w:r>
              <w:rPr>
                <w:b w:val="0"/>
                <w:bCs w:val="0"/>
                <w:u w:val="none" w:color="auto"/>
              </w:rPr>
              <w:t xml:space="preserve">                    </w:t>
            </w:r>
            <w:r>
              <w:rPr>
                <w:b w:val="0"/>
                <w:bCs w:val="0"/>
                <w:spacing w:val="7"/>
                <w:u w:val="none" w:color="auto"/>
              </w:rPr>
              <w:t>其他□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169" w:line="228" w:lineRule="auto"/>
              <w:ind w:left="293"/>
              <w:rPr>
                <w:b w:val="0"/>
                <w:bCs w:val="0"/>
                <w:u w:val="none" w:color="auto"/>
              </w:rPr>
            </w:pPr>
            <w:r>
              <w:rPr>
                <w:b w:val="0"/>
                <w:bCs w:val="0"/>
                <w:spacing w:val="8"/>
                <w:u w:val="none" w:color="auto"/>
              </w:rPr>
              <w:t>预测范围</w:t>
            </w:r>
          </w:p>
        </w:tc>
        <w:tc>
          <w:tcPr>
            <w:tcW w:w="6570" w:type="dxa"/>
            <w:gridSpan w:val="11"/>
            <w:tcBorders>
              <w:tl2br w:val="nil"/>
              <w:tr2bl w:val="nil"/>
            </w:tcBorders>
            <w:vAlign w:val="top"/>
          </w:tcPr>
          <w:p>
            <w:pPr>
              <w:pStyle w:val="25"/>
              <w:spacing w:before="169" w:line="223" w:lineRule="auto"/>
              <w:ind w:left="196"/>
              <w:rPr>
                <w:b w:val="0"/>
                <w:bCs w:val="0"/>
                <w:u w:val="none" w:color="auto"/>
              </w:rPr>
            </w:pPr>
            <w:r>
              <w:rPr>
                <w:rFonts w:ascii="Times New Roman" w:hAnsi="Times New Roman" w:eastAsia="Times New Roman" w:cs="Times New Roman"/>
                <w:b w:val="0"/>
                <w:bCs w:val="0"/>
                <w:spacing w:val="4"/>
                <w:u w:val="none" w:color="auto"/>
              </w:rPr>
              <w:t>200m</w:t>
            </w:r>
            <w:r>
              <w:rPr>
                <w:b w:val="0"/>
                <w:bCs w:val="0"/>
                <w:position w:val="-4"/>
                <w:u w:val="none" w:color="auto"/>
              </w:rPr>
              <w:drawing>
                <wp:inline distT="0" distB="0" distL="0" distR="0">
                  <wp:extent cx="113665" cy="139700"/>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192"/>
                          <a:stretch>
                            <a:fillRect/>
                          </a:stretch>
                        </pic:blipFill>
                        <pic:spPr>
                          <a:xfrm>
                            <a:off x="0" y="0"/>
                            <a:ext cx="113724" cy="139748"/>
                          </a:xfrm>
                          <a:prstGeom prst="rect">
                            <a:avLst/>
                          </a:prstGeom>
                        </pic:spPr>
                      </pic:pic>
                    </a:graphicData>
                  </a:graphic>
                </wp:inline>
              </w:drawing>
            </w:r>
            <w:r>
              <w:rPr>
                <w:rFonts w:ascii="Times New Roman" w:hAnsi="Times New Roman" w:eastAsia="Times New Roman" w:cs="Times New Roman"/>
                <w:b w:val="0"/>
                <w:bCs w:val="0"/>
                <w:spacing w:val="1"/>
                <w:u w:val="none" w:color="auto"/>
              </w:rPr>
              <w:t xml:space="preserve">                           </w:t>
            </w:r>
            <w:r>
              <w:rPr>
                <w:b w:val="0"/>
                <w:bCs w:val="0"/>
                <w:spacing w:val="4"/>
                <w:u w:val="none" w:color="auto"/>
              </w:rPr>
              <w:t>大于</w:t>
            </w:r>
            <w:r>
              <w:rPr>
                <w:b w:val="0"/>
                <w:bCs w:val="0"/>
                <w:spacing w:val="-21"/>
                <w:u w:val="none" w:color="auto"/>
              </w:rPr>
              <w:t xml:space="preserve"> </w:t>
            </w:r>
            <w:r>
              <w:rPr>
                <w:rFonts w:ascii="Times New Roman" w:hAnsi="Times New Roman" w:eastAsia="Times New Roman" w:cs="Times New Roman"/>
                <w:b w:val="0"/>
                <w:bCs w:val="0"/>
                <w:spacing w:val="4"/>
                <w:u w:val="none" w:color="auto"/>
              </w:rPr>
              <w:t>200m</w:t>
            </w:r>
            <w:r>
              <w:rPr>
                <w:b w:val="0"/>
                <w:bCs w:val="0"/>
                <w:spacing w:val="4"/>
                <w:u w:val="none" w:color="auto"/>
              </w:rPr>
              <w:t>□</w:t>
            </w:r>
            <w:r>
              <w:rPr>
                <w:b w:val="0"/>
                <w:bCs w:val="0"/>
                <w:spacing w:val="5"/>
                <w:u w:val="none" w:color="auto"/>
              </w:rPr>
              <w:t xml:space="preserve">                 </w:t>
            </w:r>
            <w:r>
              <w:rPr>
                <w:b w:val="0"/>
                <w:bCs w:val="0"/>
                <w:spacing w:val="4"/>
                <w:u w:val="none" w:color="auto"/>
              </w:rPr>
              <w:t>小于</w:t>
            </w:r>
            <w:r>
              <w:rPr>
                <w:b w:val="0"/>
                <w:bCs w:val="0"/>
                <w:spacing w:val="-25"/>
                <w:u w:val="none" w:color="auto"/>
              </w:rPr>
              <w:t xml:space="preserve"> </w:t>
            </w:r>
            <w:r>
              <w:rPr>
                <w:rFonts w:ascii="Times New Roman" w:hAnsi="Times New Roman" w:eastAsia="Times New Roman" w:cs="Times New Roman"/>
                <w:b w:val="0"/>
                <w:bCs w:val="0"/>
                <w:spacing w:val="4"/>
                <w:u w:val="none" w:color="auto"/>
              </w:rPr>
              <w:t>200m</w:t>
            </w:r>
            <w:r>
              <w:rPr>
                <w:b w:val="0"/>
                <w:bCs w:val="0"/>
                <w:spacing w:val="4"/>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70"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168" w:line="228" w:lineRule="auto"/>
              <w:ind w:left="293"/>
              <w:rPr>
                <w:b w:val="0"/>
                <w:bCs w:val="0"/>
                <w:u w:val="none" w:color="auto"/>
              </w:rPr>
            </w:pPr>
            <w:r>
              <w:rPr>
                <w:b w:val="0"/>
                <w:bCs w:val="0"/>
                <w:spacing w:val="8"/>
                <w:u w:val="none" w:color="auto"/>
              </w:rPr>
              <w:t>预测因子</w:t>
            </w:r>
          </w:p>
        </w:tc>
        <w:tc>
          <w:tcPr>
            <w:tcW w:w="6570" w:type="dxa"/>
            <w:gridSpan w:val="11"/>
            <w:tcBorders>
              <w:tl2br w:val="nil"/>
              <w:tr2bl w:val="nil"/>
            </w:tcBorders>
            <w:vAlign w:val="top"/>
          </w:tcPr>
          <w:p>
            <w:pPr>
              <w:pStyle w:val="25"/>
              <w:spacing w:before="168" w:line="183" w:lineRule="auto"/>
              <w:ind w:left="40"/>
              <w:rPr>
                <w:b w:val="0"/>
                <w:bCs w:val="0"/>
                <w:u w:val="none" w:color="auto"/>
              </w:rPr>
            </w:pPr>
            <w:r>
              <w:rPr>
                <w:b w:val="0"/>
                <w:bCs w:val="0"/>
                <w:spacing w:val="8"/>
                <w:u w:val="none" w:color="auto"/>
              </w:rPr>
              <w:t>等效连续</w:t>
            </w:r>
            <w:r>
              <w:rPr>
                <w:b w:val="0"/>
                <w:bCs w:val="0"/>
                <w:spacing w:val="-46"/>
                <w:u w:val="none" w:color="auto"/>
              </w:rPr>
              <w:t xml:space="preserve"> </w:t>
            </w:r>
            <w:r>
              <w:rPr>
                <w:rFonts w:ascii="Times New Roman" w:hAnsi="Times New Roman" w:eastAsia="Times New Roman" w:cs="Times New Roman"/>
                <w:b w:val="0"/>
                <w:bCs w:val="0"/>
                <w:spacing w:val="8"/>
                <w:u w:val="none" w:color="auto"/>
              </w:rPr>
              <w:t>A</w:t>
            </w:r>
            <w:r>
              <w:rPr>
                <w:rFonts w:ascii="Times New Roman" w:hAnsi="Times New Roman" w:eastAsia="Times New Roman" w:cs="Times New Roman"/>
                <w:b w:val="0"/>
                <w:bCs w:val="0"/>
                <w:spacing w:val="16"/>
                <w:u w:val="none" w:color="auto"/>
              </w:rPr>
              <w:t xml:space="preserve"> </w:t>
            </w:r>
            <w:r>
              <w:rPr>
                <w:b w:val="0"/>
                <w:bCs w:val="0"/>
                <w:spacing w:val="8"/>
                <w:u w:val="none" w:color="auto"/>
              </w:rPr>
              <w:t>声级</w:t>
            </w:r>
            <w:r>
              <w:rPr>
                <w:b w:val="0"/>
                <w:bCs w:val="0"/>
                <w:position w:val="-3"/>
                <w:u w:val="none" w:color="auto"/>
              </w:rPr>
              <w:drawing>
                <wp:inline distT="0" distB="0" distL="0" distR="0">
                  <wp:extent cx="115570" cy="12382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193"/>
                          <a:stretch>
                            <a:fillRect/>
                          </a:stretch>
                        </pic:blipFill>
                        <pic:spPr>
                          <a:xfrm>
                            <a:off x="0" y="0"/>
                            <a:ext cx="115937" cy="124305"/>
                          </a:xfrm>
                          <a:prstGeom prst="rect">
                            <a:avLst/>
                          </a:prstGeom>
                        </pic:spPr>
                      </pic:pic>
                    </a:graphicData>
                  </a:graphic>
                </wp:inline>
              </w:drawing>
            </w:r>
            <w:r>
              <w:rPr>
                <w:b w:val="0"/>
                <w:bCs w:val="0"/>
                <w:spacing w:val="8"/>
                <w:u w:val="none" w:color="auto"/>
              </w:rPr>
              <w:t xml:space="preserve">     最大</w:t>
            </w:r>
            <w:r>
              <w:rPr>
                <w:b w:val="0"/>
                <w:bCs w:val="0"/>
                <w:spacing w:val="-43"/>
                <w:u w:val="none" w:color="auto"/>
              </w:rPr>
              <w:t xml:space="preserve"> </w:t>
            </w:r>
            <w:r>
              <w:rPr>
                <w:rFonts w:ascii="Times New Roman" w:hAnsi="Times New Roman" w:eastAsia="Times New Roman" w:cs="Times New Roman"/>
                <w:b w:val="0"/>
                <w:bCs w:val="0"/>
                <w:spacing w:val="8"/>
                <w:u w:val="none" w:color="auto"/>
              </w:rPr>
              <w:t>A</w:t>
            </w:r>
            <w:r>
              <w:rPr>
                <w:rFonts w:ascii="Times New Roman" w:hAnsi="Times New Roman" w:eastAsia="Times New Roman" w:cs="Times New Roman"/>
                <w:b w:val="0"/>
                <w:bCs w:val="0"/>
                <w:spacing w:val="15"/>
                <w:w w:val="101"/>
                <w:u w:val="none" w:color="auto"/>
              </w:rPr>
              <w:t xml:space="preserve"> </w:t>
            </w:r>
            <w:r>
              <w:rPr>
                <w:b w:val="0"/>
                <w:bCs w:val="0"/>
                <w:spacing w:val="8"/>
                <w:u w:val="none" w:color="auto"/>
              </w:rPr>
              <w:t>声级□    计权等效连续感</w:t>
            </w:r>
            <w:r>
              <w:rPr>
                <w:b w:val="0"/>
                <w:bCs w:val="0"/>
                <w:spacing w:val="7"/>
                <w:u w:val="none" w:color="auto"/>
              </w:rPr>
              <w:t>觉噪声级□</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0"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51" w:line="258" w:lineRule="auto"/>
              <w:ind w:left="605" w:right="76" w:hanging="523"/>
              <w:rPr>
                <w:b w:val="0"/>
                <w:bCs w:val="0"/>
                <w:u w:val="none" w:color="auto"/>
              </w:rPr>
            </w:pPr>
            <w:r>
              <w:rPr>
                <w:b w:val="0"/>
                <w:bCs w:val="0"/>
                <w:spacing w:val="8"/>
                <w:u w:val="none" w:color="auto"/>
              </w:rPr>
              <w:t>厂界噪声贡献</w:t>
            </w:r>
            <w:r>
              <w:rPr>
                <w:b w:val="0"/>
                <w:bCs w:val="0"/>
                <w:spacing w:val="2"/>
                <w:u w:val="none" w:color="auto"/>
              </w:rPr>
              <w:t xml:space="preserve"> </w:t>
            </w:r>
            <w:r>
              <w:rPr>
                <w:b w:val="0"/>
                <w:bCs w:val="0"/>
                <w:u w:val="none" w:color="auto"/>
              </w:rPr>
              <w:t>值</w:t>
            </w:r>
          </w:p>
        </w:tc>
        <w:tc>
          <w:tcPr>
            <w:tcW w:w="6570" w:type="dxa"/>
            <w:gridSpan w:val="11"/>
            <w:tcBorders>
              <w:tl2br w:val="nil"/>
              <w:tr2bl w:val="nil"/>
            </w:tcBorders>
            <w:vAlign w:val="top"/>
          </w:tcPr>
          <w:p>
            <w:pPr>
              <w:pStyle w:val="25"/>
              <w:spacing w:before="207" w:line="221" w:lineRule="auto"/>
              <w:ind w:left="1248"/>
              <w:rPr>
                <w:b w:val="0"/>
                <w:bCs w:val="0"/>
                <w:u w:val="none" w:color="auto"/>
              </w:rPr>
            </w:pPr>
            <w:r>
              <w:rPr>
                <w:b w:val="0"/>
                <w:bCs w:val="0"/>
                <w:spacing w:val="7"/>
                <w:u w:val="none" w:color="auto"/>
              </w:rPr>
              <w:t>达标</w:t>
            </w:r>
            <w:r>
              <w:rPr>
                <w:b w:val="0"/>
                <w:bCs w:val="0"/>
                <w:position w:val="-4"/>
                <w:u w:val="none" w:color="auto"/>
              </w:rPr>
              <w:drawing>
                <wp:inline distT="0" distB="0" distL="0" distR="0">
                  <wp:extent cx="115570" cy="139700"/>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194"/>
                          <a:stretch>
                            <a:fillRect/>
                          </a:stretch>
                        </pic:blipFill>
                        <pic:spPr>
                          <a:xfrm>
                            <a:off x="0" y="0"/>
                            <a:ext cx="115937" cy="139748"/>
                          </a:xfrm>
                          <a:prstGeom prst="rect">
                            <a:avLst/>
                          </a:prstGeom>
                        </pic:spPr>
                      </pic:pic>
                    </a:graphicData>
                  </a:graphic>
                </wp:inline>
              </w:drawing>
            </w:r>
            <w:r>
              <w:rPr>
                <w:b w:val="0"/>
                <w:bCs w:val="0"/>
                <w:spacing w:val="1"/>
                <w:u w:val="none" w:color="auto"/>
              </w:rPr>
              <w:t xml:space="preserve">                          </w:t>
            </w:r>
            <w:r>
              <w:rPr>
                <w:b w:val="0"/>
                <w:bCs w:val="0"/>
                <w:spacing w:val="7"/>
                <w:u w:val="none" w:color="auto"/>
              </w:rPr>
              <w:t>不达标□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0"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50" w:line="228" w:lineRule="auto"/>
              <w:ind w:left="84"/>
              <w:rPr>
                <w:b w:val="0"/>
                <w:bCs w:val="0"/>
                <w:u w:val="none" w:color="auto"/>
              </w:rPr>
            </w:pPr>
            <w:r>
              <w:rPr>
                <w:b w:val="0"/>
                <w:bCs w:val="0"/>
                <w:spacing w:val="8"/>
                <w:u w:val="none" w:color="auto"/>
              </w:rPr>
              <w:t>声环境保护目</w:t>
            </w:r>
          </w:p>
          <w:p>
            <w:pPr>
              <w:pStyle w:val="25"/>
              <w:spacing w:before="64" w:line="228" w:lineRule="auto"/>
              <w:ind w:left="186"/>
              <w:rPr>
                <w:b w:val="0"/>
                <w:bCs w:val="0"/>
                <w:u w:val="none" w:color="auto"/>
              </w:rPr>
            </w:pPr>
            <w:r>
              <w:rPr>
                <w:b w:val="0"/>
                <w:bCs w:val="0"/>
                <w:spacing w:val="8"/>
                <w:u w:val="none" w:color="auto"/>
              </w:rPr>
              <w:t>标处噪声值</w:t>
            </w:r>
          </w:p>
        </w:tc>
        <w:tc>
          <w:tcPr>
            <w:tcW w:w="6570" w:type="dxa"/>
            <w:gridSpan w:val="11"/>
            <w:tcBorders>
              <w:tl2br w:val="nil"/>
              <w:tr2bl w:val="nil"/>
            </w:tcBorders>
            <w:vAlign w:val="top"/>
          </w:tcPr>
          <w:p>
            <w:pPr>
              <w:pStyle w:val="25"/>
              <w:spacing w:before="206" w:line="223" w:lineRule="auto"/>
              <w:ind w:left="1248"/>
              <w:rPr>
                <w:b w:val="0"/>
                <w:bCs w:val="0"/>
                <w:u w:val="none" w:color="auto"/>
              </w:rPr>
            </w:pPr>
            <w:r>
              <w:rPr>
                <w:b w:val="0"/>
                <w:bCs w:val="0"/>
                <w:spacing w:val="7"/>
                <w:u w:val="none" w:color="auto"/>
              </w:rPr>
              <w:t>达标</w:t>
            </w:r>
            <w:r>
              <w:rPr>
                <w:b w:val="0"/>
                <w:bCs w:val="0"/>
                <w:position w:val="-4"/>
                <w:u w:val="none" w:color="auto"/>
              </w:rPr>
              <w:drawing>
                <wp:inline distT="0" distB="0" distL="0" distR="0">
                  <wp:extent cx="107950" cy="139700"/>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163"/>
                          <a:stretch>
                            <a:fillRect/>
                          </a:stretch>
                        </pic:blipFill>
                        <pic:spPr>
                          <a:xfrm>
                            <a:off x="0" y="0"/>
                            <a:ext cx="108505" cy="139748"/>
                          </a:xfrm>
                          <a:prstGeom prst="rect">
                            <a:avLst/>
                          </a:prstGeom>
                        </pic:spPr>
                      </pic:pic>
                    </a:graphicData>
                  </a:graphic>
                </wp:inline>
              </w:drawing>
            </w:r>
            <w:r>
              <w:rPr>
                <w:b w:val="0"/>
                <w:bCs w:val="0"/>
                <w:spacing w:val="2"/>
                <w:u w:val="none" w:color="auto"/>
              </w:rPr>
              <w:t xml:space="preserve">                          </w:t>
            </w:r>
            <w:r>
              <w:rPr>
                <w:b w:val="0"/>
                <w:bCs w:val="0"/>
                <w:spacing w:val="7"/>
                <w:u w:val="none" w:color="auto"/>
              </w:rPr>
              <w:t>不达标□</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365" w:type="dxa"/>
            <w:vMerge w:val="restart"/>
            <w:tcBorders>
              <w:tl2br w:val="nil"/>
              <w:tr2bl w:val="nil"/>
            </w:tcBorders>
            <w:vAlign w:val="top"/>
          </w:tcPr>
          <w:p>
            <w:pPr>
              <w:spacing w:line="425" w:lineRule="auto"/>
              <w:rPr>
                <w:rFonts w:ascii="Arial"/>
                <w:b w:val="0"/>
                <w:bCs w:val="0"/>
                <w:sz w:val="21"/>
                <w:u w:val="none" w:color="auto"/>
              </w:rPr>
            </w:pPr>
          </w:p>
          <w:p>
            <w:pPr>
              <w:pStyle w:val="25"/>
              <w:spacing w:before="65" w:line="228" w:lineRule="auto"/>
              <w:ind w:left="55"/>
              <w:rPr>
                <w:b w:val="0"/>
                <w:bCs w:val="0"/>
                <w:u w:val="none" w:color="auto"/>
              </w:rPr>
            </w:pPr>
            <w:r>
              <w:rPr>
                <w:b w:val="0"/>
                <w:bCs w:val="0"/>
                <w:spacing w:val="9"/>
                <w:u w:val="none" w:color="auto"/>
              </w:rPr>
              <w:t>环境监测计划</w:t>
            </w:r>
          </w:p>
        </w:tc>
        <w:tc>
          <w:tcPr>
            <w:tcW w:w="1421" w:type="dxa"/>
            <w:tcBorders>
              <w:tl2br w:val="nil"/>
              <w:tr2bl w:val="nil"/>
            </w:tcBorders>
            <w:vAlign w:val="top"/>
          </w:tcPr>
          <w:p>
            <w:pPr>
              <w:pStyle w:val="25"/>
              <w:spacing w:before="173" w:line="229" w:lineRule="auto"/>
              <w:ind w:left="291"/>
              <w:rPr>
                <w:b w:val="0"/>
                <w:bCs w:val="0"/>
                <w:u w:val="none" w:color="auto"/>
              </w:rPr>
            </w:pPr>
            <w:r>
              <w:rPr>
                <w:b w:val="0"/>
                <w:bCs w:val="0"/>
                <w:spacing w:val="8"/>
                <w:u w:val="none" w:color="auto"/>
              </w:rPr>
              <w:t>排放监测</w:t>
            </w:r>
          </w:p>
        </w:tc>
        <w:tc>
          <w:tcPr>
            <w:tcW w:w="6570" w:type="dxa"/>
            <w:gridSpan w:val="11"/>
            <w:tcBorders>
              <w:tl2br w:val="nil"/>
              <w:tr2bl w:val="nil"/>
            </w:tcBorders>
            <w:vAlign w:val="top"/>
          </w:tcPr>
          <w:p>
            <w:pPr>
              <w:pStyle w:val="25"/>
              <w:spacing w:before="173" w:line="178" w:lineRule="auto"/>
              <w:ind w:left="48"/>
              <w:rPr>
                <w:b w:val="0"/>
                <w:bCs w:val="0"/>
                <w:u w:val="none" w:color="auto"/>
              </w:rPr>
            </w:pPr>
            <w:r>
              <w:rPr>
                <w:b w:val="0"/>
                <w:bCs w:val="0"/>
                <w:spacing w:val="6"/>
                <w:u w:val="none" w:color="auto"/>
              </w:rPr>
              <w:t>厂界监测</w:t>
            </w:r>
            <w:r>
              <w:rPr>
                <w:b w:val="0"/>
                <w:bCs w:val="0"/>
                <w:position w:val="-3"/>
                <w:u w:val="none" w:color="auto"/>
              </w:rPr>
              <w:drawing>
                <wp:inline distT="0" distB="0" distL="0" distR="0">
                  <wp:extent cx="114300" cy="120015"/>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195"/>
                          <a:stretch>
                            <a:fillRect/>
                          </a:stretch>
                        </pic:blipFill>
                        <pic:spPr>
                          <a:xfrm>
                            <a:off x="0" y="0"/>
                            <a:ext cx="114435" cy="120427"/>
                          </a:xfrm>
                          <a:prstGeom prst="rect">
                            <a:avLst/>
                          </a:prstGeom>
                        </pic:spPr>
                      </pic:pic>
                    </a:graphicData>
                  </a:graphic>
                </wp:inline>
              </w:drawing>
            </w:r>
            <w:r>
              <w:rPr>
                <w:b w:val="0"/>
                <w:bCs w:val="0"/>
                <w:spacing w:val="21"/>
                <w:u w:val="none" w:color="auto"/>
              </w:rPr>
              <w:t xml:space="preserve">   </w:t>
            </w:r>
            <w:r>
              <w:rPr>
                <w:b w:val="0"/>
                <w:bCs w:val="0"/>
                <w:spacing w:val="6"/>
                <w:u w:val="none" w:color="auto"/>
              </w:rPr>
              <w:t>固定位置监测□</w:t>
            </w:r>
            <w:r>
              <w:rPr>
                <w:b w:val="0"/>
                <w:bCs w:val="0"/>
                <w:spacing w:val="20"/>
                <w:u w:val="none" w:color="auto"/>
              </w:rPr>
              <w:t xml:space="preserve">   </w:t>
            </w:r>
            <w:r>
              <w:rPr>
                <w:b w:val="0"/>
                <w:bCs w:val="0"/>
                <w:spacing w:val="6"/>
                <w:u w:val="none" w:color="auto"/>
              </w:rPr>
              <w:t>自动监测□  手动监测</w:t>
            </w:r>
            <w:r>
              <w:rPr>
                <w:b w:val="0"/>
                <w:bCs w:val="0"/>
                <w:position w:val="-3"/>
                <w:u w:val="none" w:color="auto"/>
              </w:rPr>
              <w:drawing>
                <wp:inline distT="0" distB="0" distL="0" distR="0">
                  <wp:extent cx="114300" cy="120015"/>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196"/>
                          <a:stretch>
                            <a:fillRect/>
                          </a:stretch>
                        </pic:blipFill>
                        <pic:spPr>
                          <a:xfrm>
                            <a:off x="0" y="0"/>
                            <a:ext cx="114435" cy="120427"/>
                          </a:xfrm>
                          <a:prstGeom prst="rect">
                            <a:avLst/>
                          </a:prstGeom>
                        </pic:spPr>
                      </pic:pic>
                    </a:graphicData>
                  </a:graphic>
                </wp:inline>
              </w:drawing>
            </w:r>
            <w:r>
              <w:rPr>
                <w:b w:val="0"/>
                <w:bCs w:val="0"/>
                <w:spacing w:val="14"/>
                <w:u w:val="none" w:color="auto"/>
              </w:rPr>
              <w:t xml:space="preserve">  </w:t>
            </w:r>
            <w:r>
              <w:rPr>
                <w:b w:val="0"/>
                <w:bCs w:val="0"/>
                <w:spacing w:val="6"/>
                <w:u w:val="none" w:color="auto"/>
              </w:rPr>
              <w:t>无监测□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630" w:hRule="atLeast"/>
        </w:trPr>
        <w:tc>
          <w:tcPr>
            <w:tcW w:w="1365" w:type="dxa"/>
            <w:vMerge w:val="continue"/>
            <w:tcBorders>
              <w:tl2br w:val="nil"/>
              <w:tr2bl w:val="nil"/>
            </w:tcBorders>
            <w:vAlign w:val="top"/>
          </w:tcPr>
          <w:p>
            <w:pPr>
              <w:rPr>
                <w:rFonts w:ascii="Arial"/>
                <w:b w:val="0"/>
                <w:bCs w:val="0"/>
                <w:sz w:val="21"/>
                <w:u w:val="none" w:color="auto"/>
              </w:rPr>
            </w:pPr>
          </w:p>
        </w:tc>
        <w:tc>
          <w:tcPr>
            <w:tcW w:w="1421" w:type="dxa"/>
            <w:tcBorders>
              <w:tl2br w:val="nil"/>
              <w:tr2bl w:val="nil"/>
            </w:tcBorders>
            <w:vAlign w:val="top"/>
          </w:tcPr>
          <w:p>
            <w:pPr>
              <w:pStyle w:val="25"/>
              <w:spacing w:before="57" w:line="258" w:lineRule="auto"/>
              <w:ind w:left="81" w:right="76" w:firstLine="3"/>
              <w:rPr>
                <w:b w:val="0"/>
                <w:bCs w:val="0"/>
                <w:u w:val="none" w:color="auto"/>
              </w:rPr>
            </w:pPr>
            <w:r>
              <w:rPr>
                <w:b w:val="0"/>
                <w:bCs w:val="0"/>
                <w:spacing w:val="8"/>
                <w:u w:val="none" w:color="auto"/>
              </w:rPr>
              <w:t>声环境保护目</w:t>
            </w:r>
            <w:r>
              <w:rPr>
                <w:b w:val="0"/>
                <w:bCs w:val="0"/>
                <w:spacing w:val="1"/>
                <w:u w:val="none" w:color="auto"/>
              </w:rPr>
              <w:t xml:space="preserve"> </w:t>
            </w:r>
            <w:r>
              <w:rPr>
                <w:b w:val="0"/>
                <w:bCs w:val="0"/>
                <w:spacing w:val="8"/>
                <w:u w:val="none" w:color="auto"/>
              </w:rPr>
              <w:t>标处噪声监测</w:t>
            </w:r>
          </w:p>
        </w:tc>
        <w:tc>
          <w:tcPr>
            <w:tcW w:w="2751" w:type="dxa"/>
            <w:gridSpan w:val="5"/>
            <w:tcBorders>
              <w:tl2br w:val="nil"/>
              <w:tr2bl w:val="nil"/>
            </w:tcBorders>
            <w:vAlign w:val="top"/>
          </w:tcPr>
          <w:p>
            <w:pPr>
              <w:pStyle w:val="25"/>
              <w:spacing w:before="213" w:line="228" w:lineRule="auto"/>
              <w:ind w:left="582"/>
              <w:rPr>
                <w:b w:val="0"/>
                <w:bCs w:val="0"/>
                <w:u w:val="none" w:color="auto"/>
              </w:rPr>
            </w:pPr>
            <w:r>
              <w:rPr>
                <w:b w:val="0"/>
                <w:bCs w:val="0"/>
                <w:spacing w:val="8"/>
                <w:u w:val="none" w:color="auto"/>
              </w:rPr>
              <w:t>监测因子</w:t>
            </w:r>
            <w:r>
              <w:rPr>
                <w:b w:val="0"/>
                <w:bCs w:val="0"/>
                <w:spacing w:val="-4"/>
                <w:u w:val="none" w:color="auto"/>
              </w:rPr>
              <w:t>：（</w:t>
            </w:r>
            <w:r>
              <w:rPr>
                <w:b w:val="0"/>
                <w:bCs w:val="0"/>
                <w:spacing w:val="39"/>
                <w:u w:val="none" w:color="auto"/>
              </w:rPr>
              <w:t xml:space="preserve"> </w:t>
            </w:r>
            <w:r>
              <w:rPr>
                <w:b w:val="0"/>
                <w:bCs w:val="0"/>
                <w:spacing w:val="-4"/>
                <w:u w:val="none" w:color="auto"/>
              </w:rPr>
              <w:t>）</w:t>
            </w:r>
          </w:p>
        </w:tc>
        <w:tc>
          <w:tcPr>
            <w:tcW w:w="2185" w:type="dxa"/>
            <w:gridSpan w:val="4"/>
            <w:tcBorders>
              <w:tl2br w:val="nil"/>
              <w:tr2bl w:val="nil"/>
            </w:tcBorders>
            <w:vAlign w:val="top"/>
          </w:tcPr>
          <w:p>
            <w:pPr>
              <w:pStyle w:val="25"/>
              <w:spacing w:before="212" w:line="228" w:lineRule="auto"/>
              <w:ind w:left="351"/>
              <w:rPr>
                <w:b w:val="0"/>
                <w:bCs w:val="0"/>
                <w:u w:val="none" w:color="auto"/>
              </w:rPr>
            </w:pPr>
            <w:r>
              <w:rPr>
                <w:b w:val="0"/>
                <w:bCs w:val="0"/>
                <w:spacing w:val="8"/>
                <w:u w:val="none" w:color="auto"/>
              </w:rPr>
              <w:t>监测点位数</w:t>
            </w:r>
            <w:r>
              <w:rPr>
                <w:b w:val="0"/>
                <w:bCs w:val="0"/>
                <w:spacing w:val="-9"/>
                <w:u w:val="none" w:color="auto"/>
              </w:rPr>
              <w:t>（）</w:t>
            </w:r>
            <w:r>
              <w:rPr>
                <w:b w:val="0"/>
                <w:bCs w:val="0"/>
                <w:u w:val="none" w:color="auto"/>
              </w:rPr>
              <w:t xml:space="preserve"> </w:t>
            </w:r>
          </w:p>
        </w:tc>
        <w:tc>
          <w:tcPr>
            <w:tcW w:w="1634" w:type="dxa"/>
            <w:gridSpan w:val="2"/>
            <w:tcBorders>
              <w:tl2br w:val="nil"/>
              <w:tr2bl w:val="nil"/>
            </w:tcBorders>
            <w:vAlign w:val="top"/>
          </w:tcPr>
          <w:p>
            <w:pPr>
              <w:pStyle w:val="25"/>
              <w:spacing w:before="213" w:line="228" w:lineRule="auto"/>
              <w:ind w:left="399"/>
              <w:rPr>
                <w:b w:val="0"/>
                <w:bCs w:val="0"/>
                <w:u w:val="none" w:color="auto"/>
              </w:rPr>
            </w:pPr>
            <w:r>
              <w:rPr>
                <w:b w:val="0"/>
                <w:bCs w:val="0"/>
                <w:spacing w:val="7"/>
                <w:u w:val="none" w:color="auto"/>
              </w:rPr>
              <w:t>无监测□</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7" w:hRule="atLeast"/>
        </w:trPr>
        <w:tc>
          <w:tcPr>
            <w:tcW w:w="1365" w:type="dxa"/>
            <w:tcBorders>
              <w:tl2br w:val="nil"/>
              <w:tr2bl w:val="nil"/>
            </w:tcBorders>
            <w:vAlign w:val="top"/>
          </w:tcPr>
          <w:p>
            <w:pPr>
              <w:pStyle w:val="25"/>
              <w:spacing w:before="180" w:line="226" w:lineRule="auto"/>
              <w:ind w:left="266"/>
              <w:rPr>
                <w:b w:val="0"/>
                <w:bCs w:val="0"/>
                <w:u w:val="none" w:color="auto"/>
              </w:rPr>
            </w:pPr>
            <w:r>
              <w:rPr>
                <w:b w:val="0"/>
                <w:bCs w:val="0"/>
                <w:spacing w:val="8"/>
                <w:u w:val="none" w:color="auto"/>
              </w:rPr>
              <w:t>评价结论</w:t>
            </w:r>
          </w:p>
        </w:tc>
        <w:tc>
          <w:tcPr>
            <w:tcW w:w="1421" w:type="dxa"/>
            <w:tcBorders>
              <w:tl2br w:val="nil"/>
              <w:tr2bl w:val="nil"/>
            </w:tcBorders>
            <w:vAlign w:val="top"/>
          </w:tcPr>
          <w:p>
            <w:pPr>
              <w:pStyle w:val="25"/>
              <w:spacing w:before="180" w:line="228" w:lineRule="auto"/>
              <w:ind w:left="291"/>
              <w:rPr>
                <w:b w:val="0"/>
                <w:bCs w:val="0"/>
                <w:u w:val="none" w:color="auto"/>
              </w:rPr>
            </w:pPr>
            <w:r>
              <w:rPr>
                <w:b w:val="0"/>
                <w:bCs w:val="0"/>
                <w:spacing w:val="8"/>
                <w:u w:val="none" w:color="auto"/>
              </w:rPr>
              <w:t>环境影响</w:t>
            </w:r>
          </w:p>
        </w:tc>
        <w:tc>
          <w:tcPr>
            <w:tcW w:w="6570" w:type="dxa"/>
            <w:gridSpan w:val="11"/>
            <w:tcBorders>
              <w:tl2br w:val="nil"/>
              <w:tr2bl w:val="nil"/>
            </w:tcBorders>
            <w:vAlign w:val="top"/>
          </w:tcPr>
          <w:p>
            <w:pPr>
              <w:pStyle w:val="25"/>
              <w:spacing w:before="179" w:line="223" w:lineRule="auto"/>
              <w:ind w:left="1250"/>
              <w:rPr>
                <w:b w:val="0"/>
                <w:bCs w:val="0"/>
                <w:u w:val="none" w:color="auto"/>
              </w:rPr>
            </w:pPr>
            <w:r>
              <w:rPr>
                <w:b w:val="0"/>
                <w:bCs w:val="0"/>
                <w:spacing w:val="6"/>
                <w:u w:val="none" w:color="auto"/>
              </w:rPr>
              <w:t>可行</w:t>
            </w:r>
            <w:r>
              <w:rPr>
                <w:b w:val="0"/>
                <w:bCs w:val="0"/>
                <w:position w:val="-4"/>
                <w:u w:val="none" w:color="auto"/>
              </w:rPr>
              <w:drawing>
                <wp:inline distT="0" distB="0" distL="0" distR="0">
                  <wp:extent cx="115570" cy="139700"/>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197"/>
                          <a:stretch>
                            <a:fillRect/>
                          </a:stretch>
                        </pic:blipFill>
                        <pic:spPr>
                          <a:xfrm>
                            <a:off x="0" y="0"/>
                            <a:ext cx="115937" cy="139749"/>
                          </a:xfrm>
                          <a:prstGeom prst="rect">
                            <a:avLst/>
                          </a:prstGeom>
                        </pic:spPr>
                      </pic:pic>
                    </a:graphicData>
                  </a:graphic>
                </wp:inline>
              </w:drawing>
            </w:r>
            <w:r>
              <w:rPr>
                <w:b w:val="0"/>
                <w:bCs w:val="0"/>
                <w:spacing w:val="1"/>
                <w:u w:val="none" w:color="auto"/>
              </w:rPr>
              <w:t xml:space="preserve">                          </w:t>
            </w:r>
            <w:r>
              <w:rPr>
                <w:b w:val="0"/>
                <w:bCs w:val="0"/>
                <w:spacing w:val="6"/>
                <w:u w:val="none" w:color="auto"/>
              </w:rPr>
              <w:t>不可行□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9356" w:type="dxa"/>
            <w:gridSpan w:val="13"/>
            <w:tcBorders>
              <w:tl2br w:val="nil"/>
              <w:tr2bl w:val="nil"/>
            </w:tcBorders>
            <w:vAlign w:val="top"/>
          </w:tcPr>
          <w:p>
            <w:pPr>
              <w:pStyle w:val="25"/>
              <w:spacing w:before="178" w:line="228" w:lineRule="auto"/>
              <w:ind w:left="2047"/>
              <w:rPr>
                <w:b w:val="0"/>
                <w:bCs w:val="0"/>
                <w:u w:val="none" w:color="auto"/>
              </w:rPr>
            </w:pPr>
            <w:r>
              <w:rPr>
                <w:b w:val="0"/>
                <w:bCs w:val="0"/>
                <w:spacing w:val="2"/>
                <w:u w:val="none" w:color="auto"/>
              </w:rPr>
              <w:t>注：</w:t>
            </w:r>
            <w:r>
              <w:rPr>
                <w:b w:val="0"/>
                <w:bCs w:val="0"/>
                <w:spacing w:val="-78"/>
                <w:u w:val="none" w:color="auto"/>
              </w:rPr>
              <w:t xml:space="preserve"> </w:t>
            </w:r>
            <w:r>
              <w:rPr>
                <w:b w:val="0"/>
                <w:bCs w:val="0"/>
                <w:spacing w:val="2"/>
                <w:u w:val="none" w:color="auto"/>
              </w:rPr>
              <w:t>“</w:t>
            </w:r>
            <w:r>
              <w:rPr>
                <w:b w:val="0"/>
                <w:bCs w:val="0"/>
                <w:spacing w:val="-68"/>
                <w:u w:val="none" w:color="auto"/>
              </w:rPr>
              <w:t xml:space="preserve"> </w:t>
            </w:r>
            <w:r>
              <w:rPr>
                <w:b w:val="0"/>
                <w:bCs w:val="0"/>
                <w:spacing w:val="2"/>
                <w:u w:val="none" w:color="auto"/>
              </w:rPr>
              <w:t>□</w:t>
            </w:r>
            <w:r>
              <w:rPr>
                <w:b w:val="0"/>
                <w:bCs w:val="0"/>
                <w:spacing w:val="-70"/>
                <w:u w:val="none" w:color="auto"/>
              </w:rPr>
              <w:t xml:space="preserve"> </w:t>
            </w:r>
            <w:r>
              <w:rPr>
                <w:b w:val="0"/>
                <w:bCs w:val="0"/>
                <w:spacing w:val="2"/>
                <w:u w:val="none" w:color="auto"/>
              </w:rPr>
              <w:t>”为勾选项，可</w:t>
            </w:r>
            <w:r>
              <w:rPr>
                <w:b w:val="0"/>
                <w:bCs w:val="0"/>
                <w:spacing w:val="-38"/>
                <w:u w:val="none" w:color="auto"/>
              </w:rPr>
              <w:t xml:space="preserve"> </w:t>
            </w:r>
            <w:r>
              <w:rPr>
                <w:b w:val="0"/>
                <w:bCs w:val="0"/>
                <w:spacing w:val="2"/>
                <w:u w:val="none" w:color="auto"/>
              </w:rPr>
              <w:t>√</w:t>
            </w:r>
            <w:r>
              <w:rPr>
                <w:b w:val="0"/>
                <w:bCs w:val="0"/>
                <w:spacing w:val="31"/>
                <w:u w:val="none" w:color="auto"/>
              </w:rPr>
              <w:t xml:space="preserve"> </w:t>
            </w:r>
            <w:r>
              <w:rPr>
                <w:b w:val="0"/>
                <w:bCs w:val="0"/>
                <w:spacing w:val="2"/>
                <w:u w:val="none" w:color="auto"/>
              </w:rPr>
              <w:t>；“</w:t>
            </w:r>
            <w:r>
              <w:rPr>
                <w:b w:val="0"/>
                <w:bCs w:val="0"/>
                <w:spacing w:val="-22"/>
                <w:u w:val="none" w:color="auto"/>
              </w:rPr>
              <w:t>（</w:t>
            </w:r>
            <w:r>
              <w:rPr>
                <w:b w:val="0"/>
                <w:bCs w:val="0"/>
                <w:spacing w:val="66"/>
                <w:u w:val="none" w:color="auto"/>
              </w:rPr>
              <w:t xml:space="preserve"> </w:t>
            </w:r>
            <w:r>
              <w:rPr>
                <w:b w:val="0"/>
                <w:bCs w:val="0"/>
                <w:spacing w:val="-22"/>
                <w:u w:val="none" w:color="auto"/>
              </w:rPr>
              <w:t>）</w:t>
            </w:r>
            <w:r>
              <w:rPr>
                <w:b w:val="0"/>
                <w:bCs w:val="0"/>
                <w:spacing w:val="-65"/>
                <w:u w:val="none" w:color="auto"/>
              </w:rPr>
              <w:t xml:space="preserve"> </w:t>
            </w:r>
            <w:r>
              <w:rPr>
                <w:b w:val="0"/>
                <w:bCs w:val="0"/>
                <w:spacing w:val="2"/>
                <w:u w:val="none" w:color="auto"/>
              </w:rPr>
              <w:t>”为内容填写项。</w:t>
            </w:r>
          </w:p>
        </w:tc>
      </w:tr>
    </w:tbl>
    <w:p>
      <w:pPr>
        <w:pStyle w:val="8"/>
      </w:pPr>
    </w:p>
    <w:sectPr>
      <w:footerReference r:id="rId25" w:type="default"/>
      <w:pgSz w:w="11906" w:h="16839"/>
      <w:pgMar w:top="1440" w:right="1080" w:bottom="1440" w:left="1080" w:header="0" w:footer="0" w:gutter="0"/>
      <w:pgBorders>
        <w:top w:val="none" w:sz="0" w:space="0"/>
        <w:left w:val="none" w:sz="0" w:space="0"/>
        <w:bottom w:val="none" w:sz="0" w:space="0"/>
        <w:right w:val="none" w:sz="0" w:space="0"/>
      </w:pgBorders>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UI Gothic">
    <w:panose1 w:val="020B0600070205080204"/>
    <w:charset w:val="80"/>
    <w:family w:val="auto"/>
    <w:pitch w:val="default"/>
    <w:sig w:usb0="E00002FF" w:usb1="6AC7FDFB" w:usb2="00000012" w:usb3="00000000" w:csb0="4002009F" w:csb1="DFD70000"/>
  </w:font>
  <w:font w:name="MS Gothic">
    <w:panose1 w:val="020B0609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jc w:val="left"/>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posOffset>4495165</wp:posOffset>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- 109 -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3.95pt;margin-top:0pt;height:144pt;width:144pt;mso-position-horizontal-relative:margin;mso-wrap-style:none;z-index:251698176;mso-width-relative:page;mso-height-relative:page;" filled="f" stroked="f" coordsize="21600,21600" o:gfxdata="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HMRO1QAAAAgBAAAPAAAAAAAA&#10;AAEAIAAAACIAAABkcnMvZG93bnJldi54bWxQSwECFAAUAAAACACHTuJAvzNRnhUCAAAVBAAADgAA&#10;AAAAAAABACAAAAAkAQAAZHJzL2Uyb0RvYy54bWxQSwUGAAAAAAYABgBZAQAAq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- 109 -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- 110 -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bxnEVAgAAFQ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2bxnE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- 110 -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- 113 -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b4U0V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sb4U0VAgAAFw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- 113 -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jc w:val="left"/>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- 120 -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f9E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Ap3/REwIAABcEAAAOAAAAAAAAAAEA&#10;IAAAAB8BAABkcnMvZTJvRG9jLnhtbFBLBQYAAAAABgAGAFkBAACk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- 120 -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176" w:lineRule="auto"/>
      <w:ind w:left="0"/>
      <w:jc w:val="left"/>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176"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4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MYPQ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KMYPQ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jc w:val="both"/>
      <w:textAlignment w:val="baseline"/>
      <w:rPr>
        <w:rFonts w:ascii="Times New Roman" w:hAnsi="Times New Roman" w:eastAsia="Times New Roman" w:cs="Times New Roman"/>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EbAYU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q4RsBhQCAAAVBAAADgAAAAAAAAAB&#10;ACAAAAAfAQAAZHJzL2Uyb0RvYy54bWxQSwUGAAAAAAYABgBZAQAAp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- 14 -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- 28 -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oKI8XAgAAFQQAAA4AAABkcnMvZTJvRG9jLnhtbK1TzY7TMBC+I/EO&#10;lu80aRGrUj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h7NFHZ0+vH99PPh9OsbwR0Iaq2fIW5jERm6d6bDood7j8s4&#10;d1c5Fb+YiMAPrOOFXtEFwmPSdDKd5nBx+IYf4GeP6db58F4YRaJRUIf9JVrZYe1DHzqExGrarBop&#10;0w6lJm1Br16/y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q2gojxcCAAAVBAAADgAAAAAA&#10;AAABACAAAAAfAQAAZHJzL2Uyb0RvYy54bWxQSwUGAAAAAAYABgBZAQAAqA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- 28 -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- 76 -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FlIc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i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FlIc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- 76 -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- 85 -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A2g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A2g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- 85 -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- 85 -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- 85 -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- 95 -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yoMUAgAAFQ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JPKgxQCAAAVBAAADgAAAAAAAAAB&#10;ACAAAAAfAQAAZHJzL2Uyb0RvYy54bWxQSwUGAAAAAAYABgBZAQAAp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- 95 -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val="0"/>
      <w:wordWrap/>
      <w:overflowPunct/>
      <w:topLinePunct w:val="0"/>
      <w:bidi w:val="0"/>
      <w:adjustRightInd w:val="0"/>
      <w:snapToGrid w:val="0"/>
      <w:spacing w:line="240" w:lineRule="auto"/>
      <w:ind w:left="0"/>
      <w:textAlignment w:val="baseline"/>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- 97 -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7XWwVAgAAFQ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mRDOFHZ2+fT19/3n68YVAB4Ba62fw21h4hu6t6bDoQe+hjHN3&#10;lVPxxkQEdkB9vMArukB4DJpOptMcJg7b8ED+7DHcOh/eCaNIFArqsL8EKzusfehdB5dYTZtVI2Xa&#10;odSkLejVy1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Y7XWw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- 97 -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none" w:color="auto" w:sz="0" w:space="0"/>
      </w:pBdr>
      <w:kinsoku/>
      <w:wordWrap/>
      <w:overflowPunct/>
      <w:topLinePunct w:val="0"/>
      <w:autoSpaceDE/>
      <w:autoSpaceDN/>
      <w:bidi w:val="0"/>
      <w:adjustRightInd/>
      <w:snapToGrid/>
      <w:spacing w:line="240" w:lineRule="auto"/>
      <w:ind w:left="0" w:hanging="2100" w:hangingChars="1000"/>
      <w:jc w:val="center"/>
      <w:textAlignment w:val="auto"/>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compressPunctuation"/>
  <w:noLineBreaksAfter w:lang="zh-CN" w:val="[{《（"/>
  <w:noLineBreaksBefore w:lang="zh-CN" w:val="]}”、。》！），：；"/>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mIzYTUwMzhkNzRlZjMwM2FmYTA3ZmEwNTc5MmVkNmQifQ=="/>
  </w:docVars>
  <w:rsids>
    <w:rsidRoot w:val="00000000"/>
    <w:rsid w:val="00133387"/>
    <w:rsid w:val="001D5FB4"/>
    <w:rsid w:val="007459D2"/>
    <w:rsid w:val="00906786"/>
    <w:rsid w:val="00BD6162"/>
    <w:rsid w:val="01227D26"/>
    <w:rsid w:val="01284C10"/>
    <w:rsid w:val="016043AA"/>
    <w:rsid w:val="01633ADA"/>
    <w:rsid w:val="01DD59FB"/>
    <w:rsid w:val="02165FAF"/>
    <w:rsid w:val="023E09EF"/>
    <w:rsid w:val="02931FE6"/>
    <w:rsid w:val="02A816E8"/>
    <w:rsid w:val="02EF1E8A"/>
    <w:rsid w:val="032338E1"/>
    <w:rsid w:val="03265180"/>
    <w:rsid w:val="03791753"/>
    <w:rsid w:val="037D507B"/>
    <w:rsid w:val="038B1487"/>
    <w:rsid w:val="03C1490A"/>
    <w:rsid w:val="03C5328B"/>
    <w:rsid w:val="03D1158F"/>
    <w:rsid w:val="040E4592"/>
    <w:rsid w:val="041F5954"/>
    <w:rsid w:val="042B5143"/>
    <w:rsid w:val="043A1855"/>
    <w:rsid w:val="044A6F77"/>
    <w:rsid w:val="045226B8"/>
    <w:rsid w:val="04567CE7"/>
    <w:rsid w:val="047258C8"/>
    <w:rsid w:val="0482053C"/>
    <w:rsid w:val="0490144A"/>
    <w:rsid w:val="04C06F13"/>
    <w:rsid w:val="04EE7F1F"/>
    <w:rsid w:val="04F63615"/>
    <w:rsid w:val="0509047F"/>
    <w:rsid w:val="050D65F7"/>
    <w:rsid w:val="053E0EA6"/>
    <w:rsid w:val="05BE5B43"/>
    <w:rsid w:val="05CD3FD8"/>
    <w:rsid w:val="06755314"/>
    <w:rsid w:val="067A1543"/>
    <w:rsid w:val="06826CEB"/>
    <w:rsid w:val="06C47189"/>
    <w:rsid w:val="06D870D9"/>
    <w:rsid w:val="071874D5"/>
    <w:rsid w:val="079254DA"/>
    <w:rsid w:val="07A80859"/>
    <w:rsid w:val="07EA0E72"/>
    <w:rsid w:val="0802172A"/>
    <w:rsid w:val="081B102B"/>
    <w:rsid w:val="08517143"/>
    <w:rsid w:val="085E7258"/>
    <w:rsid w:val="088017D6"/>
    <w:rsid w:val="08A76D63"/>
    <w:rsid w:val="08B03E69"/>
    <w:rsid w:val="08B80F70"/>
    <w:rsid w:val="08CD6D1E"/>
    <w:rsid w:val="08D544C6"/>
    <w:rsid w:val="08DA0EE6"/>
    <w:rsid w:val="08F27361"/>
    <w:rsid w:val="093A7BD7"/>
    <w:rsid w:val="094306BA"/>
    <w:rsid w:val="09673E86"/>
    <w:rsid w:val="09896468"/>
    <w:rsid w:val="09930631"/>
    <w:rsid w:val="09CA10BD"/>
    <w:rsid w:val="09E65669"/>
    <w:rsid w:val="09EB1836"/>
    <w:rsid w:val="09F71624"/>
    <w:rsid w:val="0A304297"/>
    <w:rsid w:val="0A747118"/>
    <w:rsid w:val="0A801619"/>
    <w:rsid w:val="0AB15C77"/>
    <w:rsid w:val="0ACB4F8A"/>
    <w:rsid w:val="0AD020DC"/>
    <w:rsid w:val="0B261C02"/>
    <w:rsid w:val="0B280ED1"/>
    <w:rsid w:val="0B5605CC"/>
    <w:rsid w:val="0B9B6FB8"/>
    <w:rsid w:val="0BBC7B0E"/>
    <w:rsid w:val="0BF72E73"/>
    <w:rsid w:val="0BFD6B61"/>
    <w:rsid w:val="0C2547C3"/>
    <w:rsid w:val="0C882A07"/>
    <w:rsid w:val="0C915D60"/>
    <w:rsid w:val="0C9F6E57"/>
    <w:rsid w:val="0CD93263"/>
    <w:rsid w:val="0CE916F8"/>
    <w:rsid w:val="0D097FEC"/>
    <w:rsid w:val="0D643188"/>
    <w:rsid w:val="0DE1094B"/>
    <w:rsid w:val="0DE46D10"/>
    <w:rsid w:val="0DFB313B"/>
    <w:rsid w:val="0E0453D8"/>
    <w:rsid w:val="0E323572"/>
    <w:rsid w:val="0E652AC5"/>
    <w:rsid w:val="0E9E6512"/>
    <w:rsid w:val="0EAE0E4B"/>
    <w:rsid w:val="0F3A448D"/>
    <w:rsid w:val="0F3B1FB3"/>
    <w:rsid w:val="0F452E31"/>
    <w:rsid w:val="0F591525"/>
    <w:rsid w:val="0F657030"/>
    <w:rsid w:val="0FA91612"/>
    <w:rsid w:val="0FB00B75"/>
    <w:rsid w:val="0FD348E1"/>
    <w:rsid w:val="10081CEE"/>
    <w:rsid w:val="100912AD"/>
    <w:rsid w:val="103E61FE"/>
    <w:rsid w:val="1053332C"/>
    <w:rsid w:val="10637A6B"/>
    <w:rsid w:val="10BA6FB5"/>
    <w:rsid w:val="10C77FA2"/>
    <w:rsid w:val="10D73F5D"/>
    <w:rsid w:val="10F14C4A"/>
    <w:rsid w:val="10F54A36"/>
    <w:rsid w:val="111331E7"/>
    <w:rsid w:val="1178129C"/>
    <w:rsid w:val="119220D9"/>
    <w:rsid w:val="11B61DC5"/>
    <w:rsid w:val="11B761D9"/>
    <w:rsid w:val="11B85B3D"/>
    <w:rsid w:val="11CB5870"/>
    <w:rsid w:val="11D36195"/>
    <w:rsid w:val="12062D4C"/>
    <w:rsid w:val="12104EB8"/>
    <w:rsid w:val="121A2353"/>
    <w:rsid w:val="12334547"/>
    <w:rsid w:val="12421A01"/>
    <w:rsid w:val="125519F5"/>
    <w:rsid w:val="12772BC8"/>
    <w:rsid w:val="129C0FBA"/>
    <w:rsid w:val="12A367ED"/>
    <w:rsid w:val="12AA36D7"/>
    <w:rsid w:val="131C1168"/>
    <w:rsid w:val="132E255A"/>
    <w:rsid w:val="136E6DFB"/>
    <w:rsid w:val="13904FC3"/>
    <w:rsid w:val="13A1426D"/>
    <w:rsid w:val="13A303FD"/>
    <w:rsid w:val="13B3480E"/>
    <w:rsid w:val="13BB14CF"/>
    <w:rsid w:val="13CE7899"/>
    <w:rsid w:val="13F22685"/>
    <w:rsid w:val="141E2CF7"/>
    <w:rsid w:val="14357918"/>
    <w:rsid w:val="14733F9D"/>
    <w:rsid w:val="14EA0703"/>
    <w:rsid w:val="14F50E56"/>
    <w:rsid w:val="150B2427"/>
    <w:rsid w:val="155913E5"/>
    <w:rsid w:val="156264EB"/>
    <w:rsid w:val="158741A4"/>
    <w:rsid w:val="15AA668C"/>
    <w:rsid w:val="15AE1730"/>
    <w:rsid w:val="15B36D47"/>
    <w:rsid w:val="15C26F8A"/>
    <w:rsid w:val="161B0C52"/>
    <w:rsid w:val="1638549E"/>
    <w:rsid w:val="165F2A2B"/>
    <w:rsid w:val="16821794"/>
    <w:rsid w:val="168A199F"/>
    <w:rsid w:val="1691474E"/>
    <w:rsid w:val="16BC5AB7"/>
    <w:rsid w:val="172C5003"/>
    <w:rsid w:val="176A1687"/>
    <w:rsid w:val="179761F4"/>
    <w:rsid w:val="17DD00AB"/>
    <w:rsid w:val="17F453F5"/>
    <w:rsid w:val="17FB2C27"/>
    <w:rsid w:val="180B4D80"/>
    <w:rsid w:val="183E2945"/>
    <w:rsid w:val="187529D9"/>
    <w:rsid w:val="18866995"/>
    <w:rsid w:val="18AD3F21"/>
    <w:rsid w:val="18B27647"/>
    <w:rsid w:val="18DC4A8F"/>
    <w:rsid w:val="18F41B50"/>
    <w:rsid w:val="192455D8"/>
    <w:rsid w:val="193755E9"/>
    <w:rsid w:val="195A5B26"/>
    <w:rsid w:val="19AF3CC9"/>
    <w:rsid w:val="19B7492C"/>
    <w:rsid w:val="19B965EE"/>
    <w:rsid w:val="19CA28B1"/>
    <w:rsid w:val="1A004525"/>
    <w:rsid w:val="1A4771FA"/>
    <w:rsid w:val="1A5D1977"/>
    <w:rsid w:val="1A642D06"/>
    <w:rsid w:val="1A7F5449"/>
    <w:rsid w:val="1A9D6217"/>
    <w:rsid w:val="1ADD640F"/>
    <w:rsid w:val="1AE57555"/>
    <w:rsid w:val="1AFF658A"/>
    <w:rsid w:val="1B3F60E7"/>
    <w:rsid w:val="1B5763C6"/>
    <w:rsid w:val="1B7C5E2D"/>
    <w:rsid w:val="1BFE4A94"/>
    <w:rsid w:val="1C0E117B"/>
    <w:rsid w:val="1C2208E7"/>
    <w:rsid w:val="1C60574F"/>
    <w:rsid w:val="1C872CDB"/>
    <w:rsid w:val="1CB06E4A"/>
    <w:rsid w:val="1CE0623B"/>
    <w:rsid w:val="1D1F3284"/>
    <w:rsid w:val="1D6945D8"/>
    <w:rsid w:val="1DCB2234"/>
    <w:rsid w:val="1DF12B02"/>
    <w:rsid w:val="1E49223A"/>
    <w:rsid w:val="1E4F5A7B"/>
    <w:rsid w:val="1E753935"/>
    <w:rsid w:val="1E786D7F"/>
    <w:rsid w:val="1E7D37D0"/>
    <w:rsid w:val="1E8C6387"/>
    <w:rsid w:val="1EDF295B"/>
    <w:rsid w:val="1F0401CE"/>
    <w:rsid w:val="1F226CEB"/>
    <w:rsid w:val="1F3233D2"/>
    <w:rsid w:val="1F4B7FF0"/>
    <w:rsid w:val="1F8B3432"/>
    <w:rsid w:val="1FEA15B7"/>
    <w:rsid w:val="20210D51"/>
    <w:rsid w:val="202B1BD0"/>
    <w:rsid w:val="204D5FEA"/>
    <w:rsid w:val="205E1FA5"/>
    <w:rsid w:val="206F7D0E"/>
    <w:rsid w:val="207A75B5"/>
    <w:rsid w:val="207D067D"/>
    <w:rsid w:val="20BD4367"/>
    <w:rsid w:val="20C81854"/>
    <w:rsid w:val="20DA1ED6"/>
    <w:rsid w:val="20EF2BFD"/>
    <w:rsid w:val="210668C5"/>
    <w:rsid w:val="218A3F2C"/>
    <w:rsid w:val="219F0AC7"/>
    <w:rsid w:val="21A9437E"/>
    <w:rsid w:val="21B77BBF"/>
    <w:rsid w:val="21CB4AE5"/>
    <w:rsid w:val="21F67755"/>
    <w:rsid w:val="22521696"/>
    <w:rsid w:val="22717D6E"/>
    <w:rsid w:val="2277734E"/>
    <w:rsid w:val="227A2A2F"/>
    <w:rsid w:val="22873A35"/>
    <w:rsid w:val="228D0920"/>
    <w:rsid w:val="22A31EF1"/>
    <w:rsid w:val="23144B9D"/>
    <w:rsid w:val="233174FD"/>
    <w:rsid w:val="23356FED"/>
    <w:rsid w:val="237A70F6"/>
    <w:rsid w:val="237F295E"/>
    <w:rsid w:val="23810484"/>
    <w:rsid w:val="23841D23"/>
    <w:rsid w:val="23D700A4"/>
    <w:rsid w:val="23E40A13"/>
    <w:rsid w:val="23E8553C"/>
    <w:rsid w:val="23F5286D"/>
    <w:rsid w:val="240115C5"/>
    <w:rsid w:val="2403533D"/>
    <w:rsid w:val="24080A60"/>
    <w:rsid w:val="2432352D"/>
    <w:rsid w:val="243948BB"/>
    <w:rsid w:val="24681644"/>
    <w:rsid w:val="24B36813"/>
    <w:rsid w:val="24B71C84"/>
    <w:rsid w:val="24EF58C2"/>
    <w:rsid w:val="25315EDA"/>
    <w:rsid w:val="255045B2"/>
    <w:rsid w:val="257D111F"/>
    <w:rsid w:val="259F1096"/>
    <w:rsid w:val="259F4BF2"/>
    <w:rsid w:val="25AE12D9"/>
    <w:rsid w:val="25CB1E8B"/>
    <w:rsid w:val="25D725DE"/>
    <w:rsid w:val="25F211C5"/>
    <w:rsid w:val="26170C2C"/>
    <w:rsid w:val="26286395"/>
    <w:rsid w:val="263974F7"/>
    <w:rsid w:val="26470B1C"/>
    <w:rsid w:val="26647BE9"/>
    <w:rsid w:val="267267AA"/>
    <w:rsid w:val="267473A3"/>
    <w:rsid w:val="269A360B"/>
    <w:rsid w:val="26A52F7B"/>
    <w:rsid w:val="26D23DFE"/>
    <w:rsid w:val="26EF7DFB"/>
    <w:rsid w:val="2703459E"/>
    <w:rsid w:val="272730F1"/>
    <w:rsid w:val="276A2965"/>
    <w:rsid w:val="27814EF7"/>
    <w:rsid w:val="278E3320"/>
    <w:rsid w:val="27A40D9A"/>
    <w:rsid w:val="27D03788"/>
    <w:rsid w:val="27E47572"/>
    <w:rsid w:val="28281F2E"/>
    <w:rsid w:val="283A50A6"/>
    <w:rsid w:val="289444D8"/>
    <w:rsid w:val="289C7B0E"/>
    <w:rsid w:val="28A876E0"/>
    <w:rsid w:val="28AA222B"/>
    <w:rsid w:val="290731DA"/>
    <w:rsid w:val="291A08A2"/>
    <w:rsid w:val="291E67ED"/>
    <w:rsid w:val="29231FDE"/>
    <w:rsid w:val="29446E37"/>
    <w:rsid w:val="295B52D4"/>
    <w:rsid w:val="2973544C"/>
    <w:rsid w:val="29764DB1"/>
    <w:rsid w:val="29910CF5"/>
    <w:rsid w:val="29B87B25"/>
    <w:rsid w:val="29D532D8"/>
    <w:rsid w:val="2A025DDB"/>
    <w:rsid w:val="2A0E120D"/>
    <w:rsid w:val="2A2B429D"/>
    <w:rsid w:val="2A5A1A2F"/>
    <w:rsid w:val="2A612DBE"/>
    <w:rsid w:val="2A6D50E4"/>
    <w:rsid w:val="2AB23619"/>
    <w:rsid w:val="2AFB213B"/>
    <w:rsid w:val="2B17347C"/>
    <w:rsid w:val="2B365FF8"/>
    <w:rsid w:val="2B706E60"/>
    <w:rsid w:val="2B7B1C5D"/>
    <w:rsid w:val="2B91322F"/>
    <w:rsid w:val="2BBD4024"/>
    <w:rsid w:val="2BFA7026"/>
    <w:rsid w:val="2C156FDF"/>
    <w:rsid w:val="2C2E3173"/>
    <w:rsid w:val="2C5A5D16"/>
    <w:rsid w:val="2C764495"/>
    <w:rsid w:val="2C950AFD"/>
    <w:rsid w:val="2CC13E88"/>
    <w:rsid w:val="2CC82C80"/>
    <w:rsid w:val="2CDB02CC"/>
    <w:rsid w:val="2D2105E2"/>
    <w:rsid w:val="2D2E54AB"/>
    <w:rsid w:val="2D406CBA"/>
    <w:rsid w:val="2D652BC5"/>
    <w:rsid w:val="2D88240F"/>
    <w:rsid w:val="2D9139BA"/>
    <w:rsid w:val="2DA76D39"/>
    <w:rsid w:val="2DDE1E4E"/>
    <w:rsid w:val="2E053A60"/>
    <w:rsid w:val="2E06026B"/>
    <w:rsid w:val="2E0A551A"/>
    <w:rsid w:val="2E0C436F"/>
    <w:rsid w:val="2E102281"/>
    <w:rsid w:val="2E494401"/>
    <w:rsid w:val="2E536EC1"/>
    <w:rsid w:val="2E7110F5"/>
    <w:rsid w:val="2EA66FF1"/>
    <w:rsid w:val="2EAE5EA6"/>
    <w:rsid w:val="2EB55486"/>
    <w:rsid w:val="2EC91D56"/>
    <w:rsid w:val="2EF20488"/>
    <w:rsid w:val="2F0026A8"/>
    <w:rsid w:val="2F4B1946"/>
    <w:rsid w:val="2F5F067B"/>
    <w:rsid w:val="2FB83480"/>
    <w:rsid w:val="2FFD64DA"/>
    <w:rsid w:val="300C3EC3"/>
    <w:rsid w:val="302503E9"/>
    <w:rsid w:val="302F1268"/>
    <w:rsid w:val="30450A8C"/>
    <w:rsid w:val="30977539"/>
    <w:rsid w:val="30E43E01"/>
    <w:rsid w:val="31376626"/>
    <w:rsid w:val="313C7001"/>
    <w:rsid w:val="315039F4"/>
    <w:rsid w:val="315D04A6"/>
    <w:rsid w:val="31AB3D5B"/>
    <w:rsid w:val="31AC0DC2"/>
    <w:rsid w:val="31DB16A7"/>
    <w:rsid w:val="31E06CBE"/>
    <w:rsid w:val="327D37D4"/>
    <w:rsid w:val="32C959A4"/>
    <w:rsid w:val="3335389C"/>
    <w:rsid w:val="33522495"/>
    <w:rsid w:val="337C76E9"/>
    <w:rsid w:val="33B757FC"/>
    <w:rsid w:val="33C441D6"/>
    <w:rsid w:val="33DB598F"/>
    <w:rsid w:val="33DF6B01"/>
    <w:rsid w:val="34044598"/>
    <w:rsid w:val="3431735D"/>
    <w:rsid w:val="34473C96"/>
    <w:rsid w:val="344C23E9"/>
    <w:rsid w:val="34781263"/>
    <w:rsid w:val="348E47AF"/>
    <w:rsid w:val="34930017"/>
    <w:rsid w:val="34BB756E"/>
    <w:rsid w:val="34CE44CF"/>
    <w:rsid w:val="353115DE"/>
    <w:rsid w:val="357D4824"/>
    <w:rsid w:val="35B90109"/>
    <w:rsid w:val="35E11256"/>
    <w:rsid w:val="35E84393"/>
    <w:rsid w:val="360F7B72"/>
    <w:rsid w:val="36104FF7"/>
    <w:rsid w:val="364C22CB"/>
    <w:rsid w:val="36767BF1"/>
    <w:rsid w:val="36EF5067"/>
    <w:rsid w:val="3709636F"/>
    <w:rsid w:val="37135440"/>
    <w:rsid w:val="372E4027"/>
    <w:rsid w:val="375021F0"/>
    <w:rsid w:val="37677539"/>
    <w:rsid w:val="378679C0"/>
    <w:rsid w:val="378D51F2"/>
    <w:rsid w:val="379D2F5B"/>
    <w:rsid w:val="384412E5"/>
    <w:rsid w:val="385973C2"/>
    <w:rsid w:val="38BD1B07"/>
    <w:rsid w:val="38E30E42"/>
    <w:rsid w:val="393450E2"/>
    <w:rsid w:val="39522F81"/>
    <w:rsid w:val="396226AE"/>
    <w:rsid w:val="39804AD4"/>
    <w:rsid w:val="399E7355"/>
    <w:rsid w:val="39B4306C"/>
    <w:rsid w:val="39F41558"/>
    <w:rsid w:val="39FF2737"/>
    <w:rsid w:val="3A1F234D"/>
    <w:rsid w:val="3A4D14B3"/>
    <w:rsid w:val="3AAF1923"/>
    <w:rsid w:val="3AAF372C"/>
    <w:rsid w:val="3AC667F1"/>
    <w:rsid w:val="3AEC5299"/>
    <w:rsid w:val="3AFF6974"/>
    <w:rsid w:val="3B024F0B"/>
    <w:rsid w:val="3B5D137F"/>
    <w:rsid w:val="3BA42D92"/>
    <w:rsid w:val="3BC16273"/>
    <w:rsid w:val="3BDA2F69"/>
    <w:rsid w:val="3C1001A0"/>
    <w:rsid w:val="3C2527ED"/>
    <w:rsid w:val="3C463BC1"/>
    <w:rsid w:val="3CE07B72"/>
    <w:rsid w:val="3CE77152"/>
    <w:rsid w:val="3CF67395"/>
    <w:rsid w:val="3DB50FFF"/>
    <w:rsid w:val="3DE9514C"/>
    <w:rsid w:val="3DF8713D"/>
    <w:rsid w:val="3E077380"/>
    <w:rsid w:val="3E353EED"/>
    <w:rsid w:val="3E483C21"/>
    <w:rsid w:val="3E5A0659"/>
    <w:rsid w:val="3E9B4698"/>
    <w:rsid w:val="3EC62D97"/>
    <w:rsid w:val="3EDE6333"/>
    <w:rsid w:val="3EF47905"/>
    <w:rsid w:val="3EFE0783"/>
    <w:rsid w:val="3F487C50"/>
    <w:rsid w:val="3F5574D3"/>
    <w:rsid w:val="3F6C7DE3"/>
    <w:rsid w:val="3F7E3672"/>
    <w:rsid w:val="3F8847ED"/>
    <w:rsid w:val="3FA43E50"/>
    <w:rsid w:val="3FB11C9A"/>
    <w:rsid w:val="3FB31421"/>
    <w:rsid w:val="3FC03423"/>
    <w:rsid w:val="400E49F6"/>
    <w:rsid w:val="40202D3B"/>
    <w:rsid w:val="404F0677"/>
    <w:rsid w:val="405A5E8D"/>
    <w:rsid w:val="409C4993"/>
    <w:rsid w:val="40A11D0E"/>
    <w:rsid w:val="40AA0BC3"/>
    <w:rsid w:val="41083B3B"/>
    <w:rsid w:val="414F52C6"/>
    <w:rsid w:val="416854F8"/>
    <w:rsid w:val="41F540C0"/>
    <w:rsid w:val="420E5181"/>
    <w:rsid w:val="423746D8"/>
    <w:rsid w:val="423A5F76"/>
    <w:rsid w:val="42462B6D"/>
    <w:rsid w:val="429531AD"/>
    <w:rsid w:val="42B45D29"/>
    <w:rsid w:val="42BC4BDD"/>
    <w:rsid w:val="42C10446"/>
    <w:rsid w:val="42CF5C44"/>
    <w:rsid w:val="42E03AEE"/>
    <w:rsid w:val="4315253F"/>
    <w:rsid w:val="43291B47"/>
    <w:rsid w:val="43370BA5"/>
    <w:rsid w:val="43877E89"/>
    <w:rsid w:val="439367F3"/>
    <w:rsid w:val="439E353F"/>
    <w:rsid w:val="43FF6362"/>
    <w:rsid w:val="446077EA"/>
    <w:rsid w:val="446D59C9"/>
    <w:rsid w:val="44AC7A56"/>
    <w:rsid w:val="44B738AE"/>
    <w:rsid w:val="44DC5866"/>
    <w:rsid w:val="44EE129A"/>
    <w:rsid w:val="44F00B6E"/>
    <w:rsid w:val="44F034EF"/>
    <w:rsid w:val="45246A6A"/>
    <w:rsid w:val="45B17DCF"/>
    <w:rsid w:val="45C30031"/>
    <w:rsid w:val="45D53782"/>
    <w:rsid w:val="45F468CD"/>
    <w:rsid w:val="46367216"/>
    <w:rsid w:val="464C6F34"/>
    <w:rsid w:val="46510B63"/>
    <w:rsid w:val="465B12BD"/>
    <w:rsid w:val="467F664E"/>
    <w:rsid w:val="469A7569"/>
    <w:rsid w:val="46C91677"/>
    <w:rsid w:val="46DF533E"/>
    <w:rsid w:val="46F506BE"/>
    <w:rsid w:val="47264D1B"/>
    <w:rsid w:val="474F4272"/>
    <w:rsid w:val="476F0470"/>
    <w:rsid w:val="477535AD"/>
    <w:rsid w:val="477D7D08"/>
    <w:rsid w:val="47961C9D"/>
    <w:rsid w:val="47CF0F0F"/>
    <w:rsid w:val="481334F1"/>
    <w:rsid w:val="48174664"/>
    <w:rsid w:val="48174B31"/>
    <w:rsid w:val="481E59F2"/>
    <w:rsid w:val="48302E11"/>
    <w:rsid w:val="484F2CA0"/>
    <w:rsid w:val="48B85E47"/>
    <w:rsid w:val="48FC530A"/>
    <w:rsid w:val="490C1CEF"/>
    <w:rsid w:val="49290AF3"/>
    <w:rsid w:val="49724248"/>
    <w:rsid w:val="49E30CA1"/>
    <w:rsid w:val="49F66FDD"/>
    <w:rsid w:val="49F70BF1"/>
    <w:rsid w:val="4A2C7DA4"/>
    <w:rsid w:val="4A352B3D"/>
    <w:rsid w:val="4A4856A8"/>
    <w:rsid w:val="4A5A33C8"/>
    <w:rsid w:val="4A6242BC"/>
    <w:rsid w:val="4A7933B4"/>
    <w:rsid w:val="4A987CDE"/>
    <w:rsid w:val="4AB42243"/>
    <w:rsid w:val="4ABD14F2"/>
    <w:rsid w:val="4AE62407"/>
    <w:rsid w:val="4AE747C1"/>
    <w:rsid w:val="4B2D29F5"/>
    <w:rsid w:val="4B35552D"/>
    <w:rsid w:val="4B475260"/>
    <w:rsid w:val="4B4B6AFE"/>
    <w:rsid w:val="4BA25610"/>
    <w:rsid w:val="4BB84D1D"/>
    <w:rsid w:val="4BC16E18"/>
    <w:rsid w:val="4C0575F5"/>
    <w:rsid w:val="4C152386"/>
    <w:rsid w:val="4C2F01CE"/>
    <w:rsid w:val="4C6D6F48"/>
    <w:rsid w:val="4D791D44"/>
    <w:rsid w:val="4D7A7353"/>
    <w:rsid w:val="4D7E2762"/>
    <w:rsid w:val="4D9A1FBF"/>
    <w:rsid w:val="4DAB5F7A"/>
    <w:rsid w:val="4DF55447"/>
    <w:rsid w:val="4E2D2E33"/>
    <w:rsid w:val="4E3441C2"/>
    <w:rsid w:val="4E590F98"/>
    <w:rsid w:val="4E6E5956"/>
    <w:rsid w:val="4E74636C"/>
    <w:rsid w:val="4E981473"/>
    <w:rsid w:val="4EB62E28"/>
    <w:rsid w:val="4ECF2C73"/>
    <w:rsid w:val="4F0973FC"/>
    <w:rsid w:val="4F4977F9"/>
    <w:rsid w:val="4F4E12B3"/>
    <w:rsid w:val="4F92218D"/>
    <w:rsid w:val="4FAB400F"/>
    <w:rsid w:val="4FAE3B00"/>
    <w:rsid w:val="4FC24FED"/>
    <w:rsid w:val="4FED287A"/>
    <w:rsid w:val="4FEE65F2"/>
    <w:rsid w:val="503E30D6"/>
    <w:rsid w:val="505226DD"/>
    <w:rsid w:val="505F0E17"/>
    <w:rsid w:val="50827466"/>
    <w:rsid w:val="5086682B"/>
    <w:rsid w:val="5087655E"/>
    <w:rsid w:val="50942CF5"/>
    <w:rsid w:val="50AD060A"/>
    <w:rsid w:val="50B415EA"/>
    <w:rsid w:val="51142088"/>
    <w:rsid w:val="511560DE"/>
    <w:rsid w:val="51200A2D"/>
    <w:rsid w:val="51534A93"/>
    <w:rsid w:val="51986815"/>
    <w:rsid w:val="51AB3D3B"/>
    <w:rsid w:val="51DA4839"/>
    <w:rsid w:val="51E90E1F"/>
    <w:rsid w:val="521F2DEA"/>
    <w:rsid w:val="52953F30"/>
    <w:rsid w:val="52BF5CBB"/>
    <w:rsid w:val="530F2B07"/>
    <w:rsid w:val="533E3ACE"/>
    <w:rsid w:val="537806AC"/>
    <w:rsid w:val="53FF0DCE"/>
    <w:rsid w:val="54040192"/>
    <w:rsid w:val="5415239F"/>
    <w:rsid w:val="54361E39"/>
    <w:rsid w:val="54576514"/>
    <w:rsid w:val="546011B9"/>
    <w:rsid w:val="547C0049"/>
    <w:rsid w:val="54947768"/>
    <w:rsid w:val="5495528E"/>
    <w:rsid w:val="54E54F02"/>
    <w:rsid w:val="551C775D"/>
    <w:rsid w:val="552705DC"/>
    <w:rsid w:val="55597B62"/>
    <w:rsid w:val="5560589C"/>
    <w:rsid w:val="55894DF3"/>
    <w:rsid w:val="55AC288F"/>
    <w:rsid w:val="55AE6607"/>
    <w:rsid w:val="55B16A87"/>
    <w:rsid w:val="560501F2"/>
    <w:rsid w:val="56270168"/>
    <w:rsid w:val="562763BA"/>
    <w:rsid w:val="56386BDE"/>
    <w:rsid w:val="563C00B7"/>
    <w:rsid w:val="56616D4A"/>
    <w:rsid w:val="567D422C"/>
    <w:rsid w:val="56B0015D"/>
    <w:rsid w:val="56C63E25"/>
    <w:rsid w:val="56C9121F"/>
    <w:rsid w:val="570701C8"/>
    <w:rsid w:val="571A6C30"/>
    <w:rsid w:val="5729188C"/>
    <w:rsid w:val="572E7BCD"/>
    <w:rsid w:val="57471B46"/>
    <w:rsid w:val="577B4C0F"/>
    <w:rsid w:val="578332CF"/>
    <w:rsid w:val="5794182D"/>
    <w:rsid w:val="579D6934"/>
    <w:rsid w:val="57A05E6D"/>
    <w:rsid w:val="57CA6EF3"/>
    <w:rsid w:val="57E04A72"/>
    <w:rsid w:val="58094E28"/>
    <w:rsid w:val="58451CF8"/>
    <w:rsid w:val="58516B1B"/>
    <w:rsid w:val="585D60C3"/>
    <w:rsid w:val="586D648B"/>
    <w:rsid w:val="58951D01"/>
    <w:rsid w:val="58A67A66"/>
    <w:rsid w:val="58B64839"/>
    <w:rsid w:val="58EA672E"/>
    <w:rsid w:val="58F44C79"/>
    <w:rsid w:val="58FE78A6"/>
    <w:rsid w:val="59143DC5"/>
    <w:rsid w:val="59180612"/>
    <w:rsid w:val="59266DFD"/>
    <w:rsid w:val="5971064D"/>
    <w:rsid w:val="598C7682"/>
    <w:rsid w:val="59A66141"/>
    <w:rsid w:val="59B30690"/>
    <w:rsid w:val="59EB1740"/>
    <w:rsid w:val="5A094754"/>
    <w:rsid w:val="5A405C9C"/>
    <w:rsid w:val="5A8E4C59"/>
    <w:rsid w:val="5ACB1DED"/>
    <w:rsid w:val="5ACC12DE"/>
    <w:rsid w:val="5AD07020"/>
    <w:rsid w:val="5AF423C3"/>
    <w:rsid w:val="5B44356A"/>
    <w:rsid w:val="5B751975"/>
    <w:rsid w:val="5BD91F04"/>
    <w:rsid w:val="5C20162E"/>
    <w:rsid w:val="5C225659"/>
    <w:rsid w:val="5C252EE1"/>
    <w:rsid w:val="5C273ACF"/>
    <w:rsid w:val="5C5B0B6B"/>
    <w:rsid w:val="5C626F00"/>
    <w:rsid w:val="5C6A5252"/>
    <w:rsid w:val="5C78171D"/>
    <w:rsid w:val="5C950521"/>
    <w:rsid w:val="5C9A78E6"/>
    <w:rsid w:val="5CBA05C5"/>
    <w:rsid w:val="5D4B5084"/>
    <w:rsid w:val="5D4B6E32"/>
    <w:rsid w:val="5D543F38"/>
    <w:rsid w:val="5D6323CD"/>
    <w:rsid w:val="5D755C5D"/>
    <w:rsid w:val="5DCD3CEB"/>
    <w:rsid w:val="5DEA21A7"/>
    <w:rsid w:val="5DEC21C1"/>
    <w:rsid w:val="5E20206C"/>
    <w:rsid w:val="5E5E654B"/>
    <w:rsid w:val="5E6957C1"/>
    <w:rsid w:val="5E6A0227"/>
    <w:rsid w:val="5E6F6B50"/>
    <w:rsid w:val="5EB97DCB"/>
    <w:rsid w:val="5F076D88"/>
    <w:rsid w:val="5F0F74DD"/>
    <w:rsid w:val="5F610B8F"/>
    <w:rsid w:val="5FB84B90"/>
    <w:rsid w:val="5FE231A1"/>
    <w:rsid w:val="60017C7C"/>
    <w:rsid w:val="60554C43"/>
    <w:rsid w:val="60563B24"/>
    <w:rsid w:val="606D6C2A"/>
    <w:rsid w:val="60820DBC"/>
    <w:rsid w:val="608C5CBC"/>
    <w:rsid w:val="6090182F"/>
    <w:rsid w:val="60940AF0"/>
    <w:rsid w:val="60B33F1D"/>
    <w:rsid w:val="61581B1D"/>
    <w:rsid w:val="6162484F"/>
    <w:rsid w:val="61B3163D"/>
    <w:rsid w:val="61DA006A"/>
    <w:rsid w:val="61ED3E04"/>
    <w:rsid w:val="62287742"/>
    <w:rsid w:val="623941D1"/>
    <w:rsid w:val="628A21AA"/>
    <w:rsid w:val="628E1C9B"/>
    <w:rsid w:val="629921A4"/>
    <w:rsid w:val="62AC3ECF"/>
    <w:rsid w:val="62B334AF"/>
    <w:rsid w:val="62E844C4"/>
    <w:rsid w:val="62FC2EBF"/>
    <w:rsid w:val="62FF4946"/>
    <w:rsid w:val="631B2246"/>
    <w:rsid w:val="633914DA"/>
    <w:rsid w:val="634E4F86"/>
    <w:rsid w:val="63827325"/>
    <w:rsid w:val="641053E9"/>
    <w:rsid w:val="64195594"/>
    <w:rsid w:val="645B2050"/>
    <w:rsid w:val="648D1ADE"/>
    <w:rsid w:val="64C73242"/>
    <w:rsid w:val="64D21BE7"/>
    <w:rsid w:val="65295CAB"/>
    <w:rsid w:val="65442AE4"/>
    <w:rsid w:val="65507AC7"/>
    <w:rsid w:val="656F7435"/>
    <w:rsid w:val="659B022A"/>
    <w:rsid w:val="65E1210C"/>
    <w:rsid w:val="65FA7647"/>
    <w:rsid w:val="65FE0EE5"/>
    <w:rsid w:val="65FF5273"/>
    <w:rsid w:val="66644AC0"/>
    <w:rsid w:val="66862210"/>
    <w:rsid w:val="66B141AA"/>
    <w:rsid w:val="67010C05"/>
    <w:rsid w:val="670C7632"/>
    <w:rsid w:val="67136B65"/>
    <w:rsid w:val="67204E8B"/>
    <w:rsid w:val="6732696D"/>
    <w:rsid w:val="675D60DF"/>
    <w:rsid w:val="6796339F"/>
    <w:rsid w:val="67AC4971"/>
    <w:rsid w:val="67AD2497"/>
    <w:rsid w:val="67DD4B2A"/>
    <w:rsid w:val="67FF1859"/>
    <w:rsid w:val="68435CC2"/>
    <w:rsid w:val="68460921"/>
    <w:rsid w:val="68752AEF"/>
    <w:rsid w:val="68F62348"/>
    <w:rsid w:val="68F71C1C"/>
    <w:rsid w:val="694B21F9"/>
    <w:rsid w:val="695B028D"/>
    <w:rsid w:val="69765236"/>
    <w:rsid w:val="698D0391"/>
    <w:rsid w:val="69F301EB"/>
    <w:rsid w:val="69F66377"/>
    <w:rsid w:val="69FF347E"/>
    <w:rsid w:val="6A022D0D"/>
    <w:rsid w:val="6A301889"/>
    <w:rsid w:val="6A6B3750"/>
    <w:rsid w:val="6A935974"/>
    <w:rsid w:val="6AA933EA"/>
    <w:rsid w:val="6AB9187F"/>
    <w:rsid w:val="6ACE4BFE"/>
    <w:rsid w:val="6B0625EA"/>
    <w:rsid w:val="6B811C71"/>
    <w:rsid w:val="6BB81B36"/>
    <w:rsid w:val="6C094140"/>
    <w:rsid w:val="6C3D3559"/>
    <w:rsid w:val="6C8859AD"/>
    <w:rsid w:val="6C9551C7"/>
    <w:rsid w:val="6CA6001D"/>
    <w:rsid w:val="6CC12C6C"/>
    <w:rsid w:val="6CDB1F80"/>
    <w:rsid w:val="6CE801F9"/>
    <w:rsid w:val="6CEB1A97"/>
    <w:rsid w:val="6DB97DE8"/>
    <w:rsid w:val="6DF04A06"/>
    <w:rsid w:val="6E2D16C1"/>
    <w:rsid w:val="6E571EF4"/>
    <w:rsid w:val="6EA77C40"/>
    <w:rsid w:val="6ECE1671"/>
    <w:rsid w:val="6EE97530"/>
    <w:rsid w:val="6EED1AF7"/>
    <w:rsid w:val="6EF63F6F"/>
    <w:rsid w:val="6EFC61DE"/>
    <w:rsid w:val="6F0532E4"/>
    <w:rsid w:val="6F317299"/>
    <w:rsid w:val="6F562B46"/>
    <w:rsid w:val="6FB92EDC"/>
    <w:rsid w:val="6FC34F4E"/>
    <w:rsid w:val="6FD05147"/>
    <w:rsid w:val="6FF15BC1"/>
    <w:rsid w:val="6FF869A5"/>
    <w:rsid w:val="700417EE"/>
    <w:rsid w:val="701D28B0"/>
    <w:rsid w:val="70311EB7"/>
    <w:rsid w:val="70651B61"/>
    <w:rsid w:val="7086142A"/>
    <w:rsid w:val="709E4A5F"/>
    <w:rsid w:val="70B825D8"/>
    <w:rsid w:val="70BD7BEF"/>
    <w:rsid w:val="70D72155"/>
    <w:rsid w:val="70D72A5F"/>
    <w:rsid w:val="70FA68CC"/>
    <w:rsid w:val="7142463B"/>
    <w:rsid w:val="7181577B"/>
    <w:rsid w:val="71DB657E"/>
    <w:rsid w:val="71ED1E0E"/>
    <w:rsid w:val="720F7FD6"/>
    <w:rsid w:val="723F4D5F"/>
    <w:rsid w:val="72575AC4"/>
    <w:rsid w:val="727E4E2F"/>
    <w:rsid w:val="728269FA"/>
    <w:rsid w:val="729843E7"/>
    <w:rsid w:val="72C54B39"/>
    <w:rsid w:val="73154050"/>
    <w:rsid w:val="7344657D"/>
    <w:rsid w:val="7352129B"/>
    <w:rsid w:val="73591E51"/>
    <w:rsid w:val="735C40F9"/>
    <w:rsid w:val="735C724B"/>
    <w:rsid w:val="738B5D82"/>
    <w:rsid w:val="738D5656"/>
    <w:rsid w:val="73CB37A9"/>
    <w:rsid w:val="746B7053"/>
    <w:rsid w:val="74A65BF1"/>
    <w:rsid w:val="74A76BEC"/>
    <w:rsid w:val="74B84955"/>
    <w:rsid w:val="75101B82"/>
    <w:rsid w:val="75693EA1"/>
    <w:rsid w:val="75D21A46"/>
    <w:rsid w:val="762456BA"/>
    <w:rsid w:val="76291B95"/>
    <w:rsid w:val="762E1C80"/>
    <w:rsid w:val="763E310C"/>
    <w:rsid w:val="76530DD9"/>
    <w:rsid w:val="765927F0"/>
    <w:rsid w:val="76676633"/>
    <w:rsid w:val="76742AFE"/>
    <w:rsid w:val="770E1781"/>
    <w:rsid w:val="77185B7F"/>
    <w:rsid w:val="77B37656"/>
    <w:rsid w:val="77F04406"/>
    <w:rsid w:val="78363F13"/>
    <w:rsid w:val="78B74F24"/>
    <w:rsid w:val="793842B6"/>
    <w:rsid w:val="794669D3"/>
    <w:rsid w:val="7956298E"/>
    <w:rsid w:val="798017B9"/>
    <w:rsid w:val="79955265"/>
    <w:rsid w:val="79A8143C"/>
    <w:rsid w:val="79AC27C7"/>
    <w:rsid w:val="79AD6A52"/>
    <w:rsid w:val="79C913B2"/>
    <w:rsid w:val="79D20267"/>
    <w:rsid w:val="7A603AC5"/>
    <w:rsid w:val="7B445194"/>
    <w:rsid w:val="7B52079C"/>
    <w:rsid w:val="7B9F47D4"/>
    <w:rsid w:val="7BAB0D70"/>
    <w:rsid w:val="7BBC2F7D"/>
    <w:rsid w:val="7BC938EC"/>
    <w:rsid w:val="7BCB1412"/>
    <w:rsid w:val="7BD81D81"/>
    <w:rsid w:val="7BE374A7"/>
    <w:rsid w:val="7BE44282"/>
    <w:rsid w:val="7BE4685A"/>
    <w:rsid w:val="7BF72207"/>
    <w:rsid w:val="7C1B48DE"/>
    <w:rsid w:val="7C4371FA"/>
    <w:rsid w:val="7C4A4A2C"/>
    <w:rsid w:val="7CA13F21"/>
    <w:rsid w:val="7CA37C99"/>
    <w:rsid w:val="7CE16C84"/>
    <w:rsid w:val="7CED7166"/>
    <w:rsid w:val="7D3F20B7"/>
    <w:rsid w:val="7D4A0A5C"/>
    <w:rsid w:val="7D651C73"/>
    <w:rsid w:val="7DAF0AC7"/>
    <w:rsid w:val="7DCE51E9"/>
    <w:rsid w:val="7DCE6F97"/>
    <w:rsid w:val="7DE1316F"/>
    <w:rsid w:val="7DEF4B01"/>
    <w:rsid w:val="7E6E7AAC"/>
    <w:rsid w:val="7E7C2CBC"/>
    <w:rsid w:val="7E9050F8"/>
    <w:rsid w:val="7E941A10"/>
    <w:rsid w:val="7ED42AEF"/>
    <w:rsid w:val="7ED44A81"/>
    <w:rsid w:val="7F25708B"/>
    <w:rsid w:val="7F482D79"/>
    <w:rsid w:val="7F5B391B"/>
    <w:rsid w:val="7F8518D8"/>
    <w:rsid w:val="7F9D1317"/>
    <w:rsid w:val="7FC841C1"/>
    <w:rsid w:val="7FE568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beforeAutospacing="0" w:after="90" w:afterLines="0" w:afterAutospacing="0" w:line="360" w:lineRule="auto"/>
      <w:jc w:val="center"/>
      <w:outlineLvl w:val="0"/>
    </w:pPr>
    <w:rPr>
      <w:rFonts w:ascii="Arial" w:hAnsi="Arial" w:eastAsia="黑体"/>
      <w:kern w:val="44"/>
      <w:sz w:val="44"/>
    </w:rPr>
  </w:style>
  <w:style w:type="paragraph" w:styleId="4">
    <w:name w:val="heading 2"/>
    <w:basedOn w:val="1"/>
    <w:next w:val="1"/>
    <w:unhideWhenUsed/>
    <w:qFormat/>
    <w:uiPriority w:val="0"/>
    <w:pPr>
      <w:keepNext/>
      <w:keepLines/>
      <w:spacing w:before="260" w:beforeLines="0" w:beforeAutospacing="0" w:after="20" w:afterLines="0" w:afterAutospacing="0" w:line="360" w:lineRule="auto"/>
      <w:outlineLvl w:val="1"/>
    </w:pPr>
    <w:rPr>
      <w:rFonts w:ascii="Arial" w:hAnsi="Arial" w:eastAsia="黑体"/>
      <w:b/>
      <w:sz w:val="32"/>
    </w:rPr>
  </w:style>
  <w:style w:type="paragraph" w:styleId="5">
    <w:name w:val="heading 3"/>
    <w:basedOn w:val="1"/>
    <w:next w:val="1"/>
    <w:unhideWhenUsed/>
    <w:qFormat/>
    <w:uiPriority w:val="0"/>
    <w:pPr>
      <w:keepNext/>
      <w:keepLines/>
      <w:outlineLvl w:val="2"/>
    </w:pPr>
    <w:rPr>
      <w:b/>
      <w:sz w:val="28"/>
    </w:rPr>
  </w:style>
  <w:style w:type="character" w:default="1" w:styleId="19">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2">
    <w:name w:val="Body Text 2"/>
    <w:basedOn w:val="1"/>
    <w:qFormat/>
    <w:uiPriority w:val="0"/>
    <w:pPr>
      <w:spacing w:line="312" w:lineRule="auto"/>
    </w:pPr>
    <w:rPr>
      <w:rFonts w:ascii="宋体"/>
      <w:sz w:val="28"/>
      <w:szCs w:val="20"/>
    </w:rPr>
  </w:style>
  <w:style w:type="paragraph" w:styleId="6">
    <w:name w:val="Normal Indent"/>
    <w:basedOn w:val="1"/>
    <w:qFormat/>
    <w:uiPriority w:val="0"/>
    <w:rPr>
      <w:sz w:val="28"/>
    </w:rPr>
  </w:style>
  <w:style w:type="paragraph" w:styleId="7">
    <w:name w:val="annotation text"/>
    <w:basedOn w:val="1"/>
    <w:qFormat/>
    <w:uiPriority w:val="0"/>
    <w:pPr>
      <w:jc w:val="left"/>
    </w:p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ody Text Indent"/>
    <w:basedOn w:val="1"/>
    <w:unhideWhenUsed/>
    <w:qFormat/>
    <w:uiPriority w:val="99"/>
    <w:pPr>
      <w:spacing w:after="120"/>
      <w:ind w:left="420" w:leftChars="200"/>
    </w:pPr>
  </w:style>
  <w:style w:type="paragraph" w:styleId="10">
    <w:name w:val="Block Text"/>
    <w:basedOn w:val="1"/>
    <w:next w:val="1"/>
    <w:unhideWhenUsed/>
    <w:qFormat/>
    <w:uiPriority w:val="99"/>
    <w:pPr>
      <w:snapToGrid w:val="0"/>
      <w:spacing w:line="408" w:lineRule="auto"/>
      <w:ind w:left="-113" w:right="-510" w:firstLine="510"/>
    </w:pPr>
    <w:rPr>
      <w:szCs w:val="20"/>
    </w:r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Body Text First Indent 2"/>
    <w:basedOn w:val="9"/>
    <w:next w:val="1"/>
    <w:qFormat/>
    <w:uiPriority w:val="0"/>
    <w:pPr>
      <w:ind w:firstLine="420" w:firstLineChars="200"/>
    </w:p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0"/>
  </w:style>
  <w:style w:type="paragraph" w:styleId="16">
    <w:name w:val="List"/>
    <w:basedOn w:val="1"/>
    <w:qFormat/>
    <w:uiPriority w:val="0"/>
    <w:pPr>
      <w:ind w:left="200" w:hanging="200" w:hangingChars="200"/>
      <w:contextualSpacing/>
    </w:pPr>
  </w:style>
  <w:style w:type="paragraph" w:styleId="17">
    <w:name w:val="toc 2"/>
    <w:basedOn w:val="1"/>
    <w:next w:val="1"/>
    <w:qFormat/>
    <w:uiPriority w:val="0"/>
    <w:pPr>
      <w:ind w:left="420" w:leftChars="200"/>
    </w:pPr>
  </w:style>
  <w:style w:type="paragraph" w:styleId="18">
    <w:name w:val="Normal (Web)"/>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
    <w:name w:val="Default"/>
    <w:basedOn w:val="23"/>
    <w:next w:val="16"/>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customStyle="1" w:styleId="24">
    <w:name w:val="Table Normal"/>
    <w:unhideWhenUsed/>
    <w:qFormat/>
    <w:uiPriority w:val="0"/>
    <w:tblPr>
      <w:tblLayout w:type="fixed"/>
      <w:tblCellMar>
        <w:top w:w="0" w:type="dxa"/>
        <w:left w:w="0" w:type="dxa"/>
        <w:bottom w:w="0" w:type="dxa"/>
        <w:right w:w="0" w:type="dxa"/>
      </w:tblCellMar>
    </w:tblPr>
  </w:style>
  <w:style w:type="paragraph" w:customStyle="1" w:styleId="25">
    <w:name w:val="Table Text"/>
    <w:basedOn w:val="1"/>
    <w:semiHidden/>
    <w:qFormat/>
    <w:uiPriority w:val="0"/>
    <w:rPr>
      <w:rFonts w:ascii="宋体" w:hAnsi="宋体" w:eastAsia="宋体" w:cs="宋体"/>
      <w:sz w:val="20"/>
      <w:szCs w:val="20"/>
      <w:lang w:val="en-US" w:eastAsia="en-US" w:bidi="ar-SA"/>
    </w:rPr>
  </w:style>
  <w:style w:type="paragraph" w:customStyle="1" w:styleId="26">
    <w:name w:val="00"/>
    <w:basedOn w:val="1"/>
    <w:qFormat/>
    <w:uiPriority w:val="0"/>
    <w:pPr>
      <w:spacing w:line="520" w:lineRule="exact"/>
      <w:ind w:firstLine="480"/>
    </w:pPr>
    <w:rPr>
      <w:rFonts w:hAnsi="宋体"/>
    </w:rPr>
  </w:style>
  <w:style w:type="paragraph" w:customStyle="1" w:styleId="27">
    <w:name w:val="p0"/>
    <w:qFormat/>
    <w:uiPriority w:val="0"/>
    <w:pPr>
      <w:widowControl/>
      <w:spacing w:line="360" w:lineRule="auto"/>
      <w:jc w:val="both"/>
    </w:pPr>
    <w:rPr>
      <w:rFonts w:ascii="Times New Roman" w:hAnsi="Times New Roman" w:eastAsia="宋体" w:cs="Times New Roman"/>
      <w:kern w:val="0"/>
      <w:sz w:val="24"/>
      <w:szCs w:val="21"/>
      <w:lang w:val="en-US" w:eastAsia="zh-CN" w:bidi="ar-SA"/>
    </w:rPr>
  </w:style>
  <w:style w:type="paragraph" w:customStyle="1" w:styleId="28">
    <w:name w:val="表格"/>
    <w:basedOn w:val="1"/>
    <w:qFormat/>
    <w:uiPriority w:val="0"/>
    <w:pPr>
      <w:widowControl/>
      <w:spacing w:line="240" w:lineRule="auto"/>
      <w:ind w:firstLine="0" w:firstLineChars="0"/>
      <w:jc w:val="center"/>
    </w:pPr>
    <w:rPr>
      <w:rFonts w:hint="eastAsia" w:cs="Times New Roman"/>
      <w:color w:val="000000"/>
      <w:sz w:val="21"/>
      <w:szCs w:val="21"/>
    </w:rPr>
  </w:style>
  <w:style w:type="paragraph" w:customStyle="1" w:styleId="29">
    <w:name w:val="book"/>
    <w:basedOn w:val="1"/>
    <w:qFormat/>
    <w:uiPriority w:val="0"/>
    <w:pPr>
      <w:widowControl w:val="0"/>
      <w:spacing w:line="360" w:lineRule="exact"/>
      <w:jc w:val="center"/>
    </w:pPr>
    <w:rPr>
      <w:kern w:val="2"/>
      <w:sz w:val="21"/>
      <w:szCs w:val="24"/>
    </w:rPr>
  </w:style>
  <w:style w:type="character" w:customStyle="1" w:styleId="30">
    <w:name w:val="font01"/>
    <w:qFormat/>
    <w:uiPriority w:val="0"/>
    <w:rPr>
      <w:rFonts w:hint="default" w:ascii="Times New Roman" w:hAnsi="Times New Roman" w:cs="Times New Roman"/>
      <w:color w:val="000000"/>
      <w:sz w:val="21"/>
      <w:szCs w:val="21"/>
      <w:u w:val="none"/>
    </w:rPr>
  </w:style>
  <w:style w:type="character" w:customStyle="1" w:styleId="31">
    <w:name w:val="font11"/>
    <w:qFormat/>
    <w:uiPriority w:val="0"/>
    <w:rPr>
      <w:rFonts w:hint="default" w:ascii="Times New Roman" w:hAnsi="Times New Roman" w:cs="Times New Roman"/>
      <w:color w:val="000000"/>
      <w:sz w:val="21"/>
      <w:szCs w:val="21"/>
      <w:u w:val="none"/>
    </w:rPr>
  </w:style>
  <w:style w:type="paragraph" w:customStyle="1" w:styleId="32">
    <w:name w:val="正文_30"/>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footer" Target="footer7.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6.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jpeg"/><Relationship Id="rId71" Type="http://schemas.openxmlformats.org/officeDocument/2006/relationships/image" Target="media/image45.png"/><Relationship Id="rId70" Type="http://schemas.openxmlformats.org/officeDocument/2006/relationships/image" Target="media/image44.jpeg"/><Relationship Id="rId7" Type="http://schemas.openxmlformats.org/officeDocument/2006/relationships/footer" Target="footer5.xml"/><Relationship Id="rId69" Type="http://schemas.openxmlformats.org/officeDocument/2006/relationships/image" Target="media/image43.jpeg"/><Relationship Id="rId68" Type="http://schemas.openxmlformats.org/officeDocument/2006/relationships/image" Target="media/image42.jpeg"/><Relationship Id="rId67" Type="http://schemas.openxmlformats.org/officeDocument/2006/relationships/image" Target="media/image41.jpeg"/><Relationship Id="rId66" Type="http://schemas.openxmlformats.org/officeDocument/2006/relationships/image" Target="media/image40.jpeg"/><Relationship Id="rId65" Type="http://schemas.openxmlformats.org/officeDocument/2006/relationships/image" Target="media/image39.jpeg"/><Relationship Id="rId64" Type="http://schemas.openxmlformats.org/officeDocument/2006/relationships/image" Target="media/image38.jpeg"/><Relationship Id="rId63" Type="http://schemas.openxmlformats.org/officeDocument/2006/relationships/image" Target="media/image37.jpeg"/><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jpeg"/><Relationship Id="rId6" Type="http://schemas.openxmlformats.org/officeDocument/2006/relationships/footer" Target="footer4.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jpeg"/><Relationship Id="rId50" Type="http://schemas.openxmlformats.org/officeDocument/2006/relationships/image" Target="media/image24.png"/><Relationship Id="rId5" Type="http://schemas.openxmlformats.org/officeDocument/2006/relationships/footer" Target="footer3.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2.xml"/><Relationship Id="rId39" Type="http://schemas.openxmlformats.org/officeDocument/2006/relationships/image" Target="media/image13.jpe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er" Target="foot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ntTable" Target="fontTable.xml"/><Relationship Id="rId198" Type="http://schemas.openxmlformats.org/officeDocument/2006/relationships/customXml" Target="../customXml/item1.xml"/><Relationship Id="rId197" Type="http://schemas.openxmlformats.org/officeDocument/2006/relationships/image" Target="media/image171.png"/><Relationship Id="rId196" Type="http://schemas.openxmlformats.org/officeDocument/2006/relationships/image" Target="media/image170.png"/><Relationship Id="rId195" Type="http://schemas.openxmlformats.org/officeDocument/2006/relationships/image" Target="media/image169.png"/><Relationship Id="rId194" Type="http://schemas.openxmlformats.org/officeDocument/2006/relationships/image" Target="media/image168.png"/><Relationship Id="rId193" Type="http://schemas.openxmlformats.org/officeDocument/2006/relationships/image" Target="media/image167.png"/><Relationship Id="rId192" Type="http://schemas.openxmlformats.org/officeDocument/2006/relationships/image" Target="media/image166.png"/><Relationship Id="rId191" Type="http://schemas.openxmlformats.org/officeDocument/2006/relationships/image" Target="media/image165.png"/><Relationship Id="rId190" Type="http://schemas.openxmlformats.org/officeDocument/2006/relationships/image" Target="media/image164.png"/><Relationship Id="rId19" Type="http://schemas.openxmlformats.org/officeDocument/2006/relationships/footer" Target="footer15.xml"/><Relationship Id="rId189" Type="http://schemas.openxmlformats.org/officeDocument/2006/relationships/image" Target="media/image163.png"/><Relationship Id="rId188" Type="http://schemas.openxmlformats.org/officeDocument/2006/relationships/image" Target="media/image162.png"/><Relationship Id="rId187" Type="http://schemas.openxmlformats.org/officeDocument/2006/relationships/image" Target="media/image161.png"/><Relationship Id="rId186" Type="http://schemas.openxmlformats.org/officeDocument/2006/relationships/image" Target="media/image160.png"/><Relationship Id="rId185" Type="http://schemas.openxmlformats.org/officeDocument/2006/relationships/image" Target="media/image159.png"/><Relationship Id="rId184" Type="http://schemas.openxmlformats.org/officeDocument/2006/relationships/image" Target="media/image158.png"/><Relationship Id="rId183" Type="http://schemas.openxmlformats.org/officeDocument/2006/relationships/image" Target="media/image157.png"/><Relationship Id="rId182" Type="http://schemas.openxmlformats.org/officeDocument/2006/relationships/image" Target="media/image156.png"/><Relationship Id="rId181" Type="http://schemas.openxmlformats.org/officeDocument/2006/relationships/image" Target="media/image155.png"/><Relationship Id="rId180" Type="http://schemas.openxmlformats.org/officeDocument/2006/relationships/image" Target="media/image154.png"/><Relationship Id="rId18" Type="http://schemas.openxmlformats.org/officeDocument/2006/relationships/footer" Target="footer14.xml"/><Relationship Id="rId179" Type="http://schemas.openxmlformats.org/officeDocument/2006/relationships/image" Target="media/image153.png"/><Relationship Id="rId178" Type="http://schemas.openxmlformats.org/officeDocument/2006/relationships/image" Target="media/image152.png"/><Relationship Id="rId177" Type="http://schemas.openxmlformats.org/officeDocument/2006/relationships/image" Target="media/image151.png"/><Relationship Id="rId176" Type="http://schemas.openxmlformats.org/officeDocument/2006/relationships/image" Target="media/image150.png"/><Relationship Id="rId175" Type="http://schemas.openxmlformats.org/officeDocument/2006/relationships/image" Target="media/image149.png"/><Relationship Id="rId174" Type="http://schemas.openxmlformats.org/officeDocument/2006/relationships/image" Target="media/image148.png"/><Relationship Id="rId173" Type="http://schemas.openxmlformats.org/officeDocument/2006/relationships/image" Target="media/image147.png"/><Relationship Id="rId172" Type="http://schemas.openxmlformats.org/officeDocument/2006/relationships/image" Target="media/image146.png"/><Relationship Id="rId171" Type="http://schemas.openxmlformats.org/officeDocument/2006/relationships/image" Target="media/image145.png"/><Relationship Id="rId170" Type="http://schemas.openxmlformats.org/officeDocument/2006/relationships/image" Target="media/image144.png"/><Relationship Id="rId17" Type="http://schemas.openxmlformats.org/officeDocument/2006/relationships/footer" Target="footer13.xml"/><Relationship Id="rId169" Type="http://schemas.openxmlformats.org/officeDocument/2006/relationships/image" Target="media/image143.png"/><Relationship Id="rId168" Type="http://schemas.openxmlformats.org/officeDocument/2006/relationships/image" Target="media/image142.png"/><Relationship Id="rId167" Type="http://schemas.openxmlformats.org/officeDocument/2006/relationships/image" Target="media/image141.png"/><Relationship Id="rId166" Type="http://schemas.openxmlformats.org/officeDocument/2006/relationships/image" Target="media/image140.png"/><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footer" Target="footer12.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footer" Target="footer11.xml"/><Relationship Id="rId149" Type="http://schemas.openxmlformats.org/officeDocument/2006/relationships/image" Target="media/image123.png"/><Relationship Id="rId148" Type="http://schemas.openxmlformats.org/officeDocument/2006/relationships/image" Target="media/image122.pn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footer" Target="footer10.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header" Target="header2.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jpeg"/><Relationship Id="rId120" Type="http://schemas.openxmlformats.org/officeDocument/2006/relationships/image" Target="media/image94.jpeg"/><Relationship Id="rId12" Type="http://schemas.openxmlformats.org/officeDocument/2006/relationships/footer" Target="footer9.xml"/><Relationship Id="rId119" Type="http://schemas.openxmlformats.org/officeDocument/2006/relationships/image" Target="media/image93.jpeg"/><Relationship Id="rId118" Type="http://schemas.openxmlformats.org/officeDocument/2006/relationships/image" Target="media/image92.jpeg"/><Relationship Id="rId117" Type="http://schemas.openxmlformats.org/officeDocument/2006/relationships/image" Target="media/image91.jpe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header" Target="header1.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142"/>
    <customShpInfo spid="_x0000_s1151"/>
    <customShpInfo spid="_x0000_s1152"/>
    <customShpInfo spid="_x0000_s1153"/>
    <customShpInfo spid="_x0000_s1155"/>
    <customShpInfo spid="_x0000_s1156"/>
    <customShpInfo spid="_x0000_s1154"/>
    <customShpInfo spid="_x0000_s1157"/>
    <customShpInfo spid="_x0000_s1158"/>
    <customShpInfo spid="_x0000_s1160"/>
    <customShpInfo spid="_x0000_s1161"/>
    <customShpInfo spid="_x0000_s1162"/>
    <customShpInfo spid="_x0000_s1163"/>
    <customShpInfo spid="_x0000_s1164"/>
    <customShpInfo spid="_x0000_s1166"/>
    <customShpInfo spid="_x0000_s1167"/>
    <customShpInfo spid="_x0000_s1165"/>
    <customShpInfo spid="_x0000_s1169"/>
    <customShpInfo spid="_x0000_s1170"/>
    <customShpInfo spid="_x0000_s11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200</Pages>
  <Words>121594</Words>
  <Characters>145782</Characters>
  <TotalTime>0</TotalTime>
  <ScaleCrop>false</ScaleCrop>
  <LinksUpToDate>false</LinksUpToDate>
  <CharactersWithSpaces>149056</CharactersWithSpaces>
  <Application>WPS Office_10.8.0.6379_F1E327BC-269C-435d-A152-05C5408002CA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2023-10-19T15:27:00Z</dcterms:created>
  <dc:creator>Administrator</dc:creator>
  <cp:lastModifiedBy>孙天立</cp:lastModifiedBy>
  <cp:lastPrinted>2024-02-28T01:39:00Z</cp:lastPrinted>
  <dcterms:modified xsi:type="dcterms:W3CDTF">2024-03-20T09:16:29Z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2023-10-23T20:31:37Z</vt:filetime>
  </property>
  <property fmtid="{D5CDD505-2E9C-101B-9397-08002B2CF9AE}" pid="4" name="KSOProductBuildVer">
    <vt:lpwstr>2052-10.8.0.6379</vt:lpwstr>
  </property>
  <property fmtid="{D5CDD505-2E9C-101B-9397-08002B2CF9AE}" pid="5" name="ICV">
    <vt:lpwstr>688F126D70AD4AC1B32DB5D1741F92BF_13</vt:lpwstr>
  </property>
</Properties>
</file>